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35" w:rsidRDefault="00793935" w:rsidP="00793935">
      <w:pPr>
        <w:pStyle w:val="Heading1"/>
        <w:jc w:val="left"/>
        <w:rPr>
          <w:rFonts w:hint="cs"/>
          <w:sz w:val="32"/>
          <w:szCs w:val="32"/>
        </w:rPr>
      </w:pPr>
    </w:p>
    <w:p w:rsidR="00793935" w:rsidRPr="00793935" w:rsidRDefault="00793935" w:rsidP="00793935">
      <w:pPr>
        <w:pStyle w:val="Heading1"/>
        <w:jc w:val="center"/>
        <w:rPr>
          <w:b w:val="0"/>
          <w:bCs w:val="0"/>
          <w:color w:val="000000"/>
          <w:sz w:val="32"/>
          <w:szCs w:val="32"/>
          <w:rtl/>
        </w:rPr>
      </w:pPr>
      <w:r>
        <w:rPr>
          <w:sz w:val="32"/>
          <w:szCs w:val="32"/>
        </w:rPr>
        <w:t>Palestinian Central Bureau of Statistics (PCBS)</w:t>
      </w:r>
    </w:p>
    <w:p w:rsidR="00793935" w:rsidRDefault="00793935" w:rsidP="00116C2C">
      <w:pPr>
        <w:bidi w:val="0"/>
        <w:spacing w:before="100" w:beforeAutospacing="1" w:after="100" w:afterAutospacing="1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rtl/>
        </w:rPr>
      </w:pPr>
      <w:r>
        <w:rPr>
          <w:b/>
          <w:bCs/>
          <w:color w:val="000000"/>
          <w:sz w:val="32"/>
          <w:szCs w:val="32"/>
        </w:rPr>
        <w:t>Palestinian</w:t>
      </w:r>
      <w:r>
        <w:rPr>
          <w:b/>
          <w:bCs/>
          <w:sz w:val="32"/>
          <w:szCs w:val="32"/>
        </w:rPr>
        <w:t xml:space="preserve"> Consumer Price Index, </w:t>
      </w:r>
      <w:r w:rsidR="00116C2C">
        <w:rPr>
          <w:b/>
          <w:bCs/>
          <w:sz w:val="32"/>
          <w:szCs w:val="32"/>
        </w:rPr>
        <w:t>2016</w:t>
      </w:r>
    </w:p>
    <w:p w:rsidR="00793935" w:rsidRPr="00793935" w:rsidRDefault="00793935" w:rsidP="00793935">
      <w:pPr>
        <w:bidi w:val="0"/>
        <w:spacing w:line="360" w:lineRule="auto"/>
        <w:jc w:val="lowKashida"/>
        <w:rPr>
          <w:b/>
          <w:bCs/>
          <w:color w:val="000000"/>
          <w:sz w:val="16"/>
          <w:szCs w:val="16"/>
        </w:rPr>
      </w:pPr>
    </w:p>
    <w:p w:rsidR="00E005FF" w:rsidRPr="00793935" w:rsidRDefault="00793935" w:rsidP="00793935">
      <w:pPr>
        <w:bidi w:val="0"/>
        <w:spacing w:line="360" w:lineRule="auto"/>
        <w:jc w:val="lowKashida"/>
        <w:rPr>
          <w:rFonts w:ascii="Calibri" w:hAnsi="Calibri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Decrease in the CPI </w:t>
      </w:r>
      <w:r>
        <w:rPr>
          <w:rStyle w:val="hps"/>
          <w:b/>
          <w:bCs/>
          <w:color w:val="222222"/>
          <w:sz w:val="28"/>
          <w:szCs w:val="28"/>
        </w:rPr>
        <w:t>during 2016</w:t>
      </w:r>
      <w:r>
        <w:rPr>
          <w:b/>
          <w:bCs/>
          <w:color w:val="22222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compared with the previous year</w:t>
      </w:r>
    </w:p>
    <w:p w:rsidR="004079A5" w:rsidRDefault="00867FF7" w:rsidP="00793935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Since 2004, t</w:t>
      </w:r>
      <w:r w:rsidR="004079A5">
        <w:rPr>
          <w:color w:val="000000"/>
        </w:rPr>
        <w:t>he overall</w:t>
      </w:r>
      <w:r w:rsidR="00F00E8E">
        <w:rPr>
          <w:color w:val="000000"/>
        </w:rPr>
        <w:t xml:space="preserve"> </w:t>
      </w:r>
      <w:r w:rsidR="00F00E8E">
        <w:rPr>
          <w:b/>
          <w:bCs/>
          <w:color w:val="000000"/>
        </w:rPr>
        <w:t>CPI</w:t>
      </w:r>
      <w:r w:rsidR="004079A5" w:rsidRPr="002D4443">
        <w:rPr>
          <w:b/>
          <w:bCs/>
          <w:color w:val="000000"/>
        </w:rPr>
        <w:t xml:space="preserve"> fo</w:t>
      </w:r>
      <w:r w:rsidR="00F40B11" w:rsidRPr="002D4443">
        <w:rPr>
          <w:b/>
          <w:bCs/>
          <w:color w:val="000000"/>
        </w:rPr>
        <w:t xml:space="preserve">r </w:t>
      </w:r>
      <w:r w:rsidR="006F0B8C" w:rsidRPr="002D4443">
        <w:rPr>
          <w:b/>
          <w:bCs/>
          <w:color w:val="000000"/>
        </w:rPr>
        <w:t>Palestine</w:t>
      </w:r>
      <w:r w:rsidR="00F40B11" w:rsidRPr="002D4443">
        <w:rPr>
          <w:b/>
          <w:bCs/>
          <w:color w:val="000000"/>
        </w:rPr>
        <w:t xml:space="preserve"> </w:t>
      </w:r>
      <w:r w:rsidR="001A1C4F" w:rsidRPr="002D4443">
        <w:rPr>
          <w:b/>
          <w:bCs/>
          <w:color w:val="000000"/>
        </w:rPr>
        <w:t xml:space="preserve">during </w:t>
      </w:r>
      <w:r w:rsidR="0040504C">
        <w:rPr>
          <w:b/>
          <w:bCs/>
          <w:color w:val="000000"/>
        </w:rPr>
        <w:t>2016</w:t>
      </w:r>
      <w:r w:rsidR="004079A5" w:rsidRPr="002D4443">
        <w:rPr>
          <w:b/>
          <w:bCs/>
          <w:color w:val="000000"/>
        </w:rPr>
        <w:t xml:space="preserve"> </w:t>
      </w:r>
      <w:r w:rsidR="0040504C">
        <w:rPr>
          <w:b/>
          <w:bCs/>
          <w:color w:val="000000"/>
        </w:rPr>
        <w:t>de</w:t>
      </w:r>
      <w:r w:rsidR="004079A5" w:rsidRPr="002D4443">
        <w:rPr>
          <w:b/>
          <w:bCs/>
          <w:color w:val="000000"/>
        </w:rPr>
        <w:t xml:space="preserve">creased by </w:t>
      </w:r>
      <w:r w:rsidR="0040504C">
        <w:rPr>
          <w:b/>
          <w:bCs/>
          <w:color w:val="000000"/>
        </w:rPr>
        <w:t>0.22</w:t>
      </w:r>
      <w:r w:rsidR="004079A5" w:rsidRPr="002D4443">
        <w:rPr>
          <w:b/>
          <w:bCs/>
          <w:color w:val="000000"/>
        </w:rPr>
        <w:t xml:space="preserve">% compared </w:t>
      </w:r>
      <w:r w:rsidR="00E939CB" w:rsidRPr="002D4443">
        <w:rPr>
          <w:b/>
          <w:bCs/>
          <w:color w:val="000000"/>
        </w:rPr>
        <w:t>with</w:t>
      </w:r>
      <w:r w:rsidR="004079A5" w:rsidRPr="002D4443">
        <w:rPr>
          <w:b/>
          <w:bCs/>
          <w:color w:val="000000"/>
        </w:rPr>
        <w:t xml:space="preserve"> </w:t>
      </w:r>
      <w:r w:rsidR="0040504C">
        <w:rPr>
          <w:b/>
          <w:bCs/>
          <w:color w:val="000000"/>
        </w:rPr>
        <w:t>2015</w:t>
      </w:r>
      <w:r w:rsidR="00285A6B">
        <w:rPr>
          <w:color w:val="000000"/>
        </w:rPr>
        <w:t xml:space="preserve"> (</w:t>
      </w:r>
      <w:r w:rsidR="00E60FD9">
        <w:rPr>
          <w:color w:val="000000"/>
        </w:rPr>
        <w:t xml:space="preserve">by </w:t>
      </w:r>
      <w:r w:rsidR="0040504C">
        <w:rPr>
          <w:color w:val="000000"/>
        </w:rPr>
        <w:t>0.96</w:t>
      </w:r>
      <w:r w:rsidR="00310D59">
        <w:rPr>
          <w:color w:val="000000"/>
        </w:rPr>
        <w:t>% in</w:t>
      </w:r>
      <w:r w:rsidR="00631430" w:rsidRPr="00631430">
        <w:rPr>
          <w:color w:val="000000"/>
        </w:rPr>
        <w:t xml:space="preserve"> </w:t>
      </w:r>
      <w:r w:rsidR="0040504C">
        <w:rPr>
          <w:color w:val="000000"/>
        </w:rPr>
        <w:t xml:space="preserve">Jerusalem J1*, by 0.84% in </w:t>
      </w:r>
      <w:r w:rsidR="008C5638">
        <w:rPr>
          <w:color w:val="000000"/>
        </w:rPr>
        <w:t>Gaza Strip</w:t>
      </w:r>
      <w:r w:rsidR="00441187">
        <w:rPr>
          <w:color w:val="000000"/>
        </w:rPr>
        <w:t>,</w:t>
      </w:r>
      <w:r w:rsidR="00EA56E1">
        <w:rPr>
          <w:color w:val="000000"/>
        </w:rPr>
        <w:t xml:space="preserve"> </w:t>
      </w:r>
      <w:r w:rsidR="001365D1">
        <w:rPr>
          <w:color w:val="000000"/>
        </w:rPr>
        <w:t>and</w:t>
      </w:r>
      <w:r w:rsidR="00F00E8E">
        <w:rPr>
          <w:color w:val="000000"/>
        </w:rPr>
        <w:t xml:space="preserve"> slight</w:t>
      </w:r>
      <w:r w:rsidR="001365D1">
        <w:rPr>
          <w:color w:val="000000"/>
        </w:rPr>
        <w:t>ly</w:t>
      </w:r>
      <w:r w:rsidR="00F00E8E">
        <w:rPr>
          <w:color w:val="000000"/>
        </w:rPr>
        <w:t xml:space="preserve"> decrease</w:t>
      </w:r>
      <w:r w:rsidR="001365D1">
        <w:rPr>
          <w:color w:val="000000"/>
        </w:rPr>
        <w:t>d</w:t>
      </w:r>
      <w:r w:rsidR="0040504C">
        <w:rPr>
          <w:color w:val="000000"/>
        </w:rPr>
        <w:t xml:space="preserve"> by 0.08% </w:t>
      </w:r>
      <w:r w:rsidR="008C5638">
        <w:rPr>
          <w:color w:val="000000"/>
        </w:rPr>
        <w:t>in the West Bank</w:t>
      </w:r>
      <w:r w:rsidR="0040504C">
        <w:rPr>
          <w:color w:val="000000"/>
        </w:rPr>
        <w:t>**)</w:t>
      </w:r>
      <w:r w:rsidR="00285A6B">
        <w:rPr>
          <w:color w:val="000000"/>
        </w:rPr>
        <w:t>.</w:t>
      </w:r>
    </w:p>
    <w:p w:rsidR="00F00E8E" w:rsidRPr="00793935" w:rsidRDefault="00F00E8E" w:rsidP="00F00E8E">
      <w:pPr>
        <w:bidi w:val="0"/>
        <w:spacing w:line="360" w:lineRule="auto"/>
        <w:jc w:val="lowKashida"/>
        <w:rPr>
          <w:color w:val="000000"/>
          <w:sz w:val="16"/>
          <w:szCs w:val="16"/>
        </w:rPr>
      </w:pPr>
    </w:p>
    <w:p w:rsidR="00F00E8E" w:rsidRPr="00793935" w:rsidRDefault="001365D1" w:rsidP="00A51821">
      <w:pPr>
        <w:bidi w:val="0"/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793935">
        <w:rPr>
          <w:b/>
          <w:bCs/>
          <w:color w:val="000000"/>
          <w:sz w:val="26"/>
          <w:szCs w:val="26"/>
        </w:rPr>
        <w:t xml:space="preserve">Yearly </w:t>
      </w:r>
      <w:r w:rsidR="00A51821" w:rsidRPr="00793935">
        <w:rPr>
          <w:b/>
          <w:bCs/>
          <w:color w:val="000000"/>
          <w:sz w:val="26"/>
          <w:szCs w:val="26"/>
        </w:rPr>
        <w:t xml:space="preserve">inflation rate of </w:t>
      </w:r>
      <w:r w:rsidR="00F00E8E" w:rsidRPr="00793935">
        <w:rPr>
          <w:b/>
          <w:bCs/>
          <w:color w:val="000000"/>
          <w:sz w:val="26"/>
          <w:szCs w:val="26"/>
        </w:rPr>
        <w:t>Consumer price index in Palestine for 2004 – 2016</w:t>
      </w:r>
    </w:p>
    <w:p w:rsidR="00F00E8E" w:rsidRPr="003A03B3" w:rsidRDefault="00F00E8E" w:rsidP="003A03B3">
      <w:pPr>
        <w:bidi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lang w:eastAsia="en-US"/>
        </w:rPr>
        <w:drawing>
          <wp:inline distT="0" distB="0" distL="0" distR="0">
            <wp:extent cx="3074670" cy="2381250"/>
            <wp:effectExtent l="19050" t="0" r="1143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3B3" w:rsidRPr="003A03B3" w:rsidRDefault="003A03B3" w:rsidP="0040504C">
      <w:pPr>
        <w:bidi w:val="0"/>
        <w:spacing w:line="360" w:lineRule="auto"/>
        <w:jc w:val="lowKashida"/>
        <w:rPr>
          <w:color w:val="000000"/>
          <w:sz w:val="8"/>
          <w:szCs w:val="8"/>
        </w:rPr>
      </w:pPr>
    </w:p>
    <w:p w:rsidR="004079A5" w:rsidRPr="00793935" w:rsidRDefault="004079A5" w:rsidP="00793935">
      <w:pPr>
        <w:bidi w:val="0"/>
        <w:jc w:val="lowKashida"/>
        <w:rPr>
          <w:b/>
          <w:bCs/>
          <w:color w:val="000000"/>
          <w:sz w:val="26"/>
          <w:szCs w:val="26"/>
        </w:rPr>
      </w:pPr>
      <w:r w:rsidRPr="00793935">
        <w:rPr>
          <w:b/>
          <w:bCs/>
          <w:color w:val="000000"/>
          <w:sz w:val="26"/>
          <w:szCs w:val="26"/>
        </w:rPr>
        <w:t xml:space="preserve">The </w:t>
      </w:r>
      <w:r w:rsidR="003A03B3" w:rsidRPr="00793935">
        <w:rPr>
          <w:b/>
          <w:bCs/>
          <w:color w:val="000000"/>
          <w:sz w:val="26"/>
          <w:szCs w:val="26"/>
        </w:rPr>
        <w:t>change in CPI in Palestine</w:t>
      </w:r>
      <w:r w:rsidRPr="00793935">
        <w:rPr>
          <w:b/>
          <w:bCs/>
          <w:color w:val="000000"/>
          <w:sz w:val="26"/>
          <w:szCs w:val="26"/>
        </w:rPr>
        <w:t xml:space="preserve"> for </w:t>
      </w:r>
      <w:r w:rsidR="0040504C" w:rsidRPr="00793935">
        <w:rPr>
          <w:b/>
          <w:bCs/>
          <w:color w:val="000000"/>
          <w:sz w:val="26"/>
          <w:szCs w:val="26"/>
        </w:rPr>
        <w:t>2016</w:t>
      </w:r>
      <w:r w:rsidRPr="00793935">
        <w:rPr>
          <w:b/>
          <w:bCs/>
          <w:color w:val="000000"/>
          <w:sz w:val="26"/>
          <w:szCs w:val="26"/>
        </w:rPr>
        <w:t xml:space="preserve"> is traced back to changes in prices of the following expenditure </w:t>
      </w:r>
      <w:r w:rsidR="003A03B3" w:rsidRPr="00793935">
        <w:rPr>
          <w:b/>
          <w:bCs/>
          <w:color w:val="000000"/>
          <w:sz w:val="26"/>
          <w:szCs w:val="26"/>
        </w:rPr>
        <w:t xml:space="preserve">major and </w:t>
      </w:r>
      <w:r w:rsidR="00D60062" w:rsidRPr="00793935">
        <w:rPr>
          <w:b/>
          <w:bCs/>
          <w:color w:val="000000"/>
          <w:sz w:val="26"/>
          <w:szCs w:val="26"/>
        </w:rPr>
        <w:t xml:space="preserve">sub </w:t>
      </w:r>
      <w:r w:rsidR="00B81FD5" w:rsidRPr="00793935">
        <w:rPr>
          <w:b/>
          <w:bCs/>
          <w:color w:val="000000"/>
          <w:sz w:val="26"/>
          <w:szCs w:val="26"/>
        </w:rPr>
        <w:t>groups compared with</w:t>
      </w:r>
      <w:r w:rsidRPr="00793935">
        <w:rPr>
          <w:b/>
          <w:bCs/>
          <w:color w:val="000000"/>
          <w:sz w:val="26"/>
          <w:szCs w:val="26"/>
        </w:rPr>
        <w:t xml:space="preserve"> the previous </w:t>
      </w:r>
      <w:r w:rsidR="00CB0C33" w:rsidRPr="00793935">
        <w:rPr>
          <w:b/>
          <w:bCs/>
          <w:color w:val="000000"/>
          <w:sz w:val="26"/>
          <w:szCs w:val="26"/>
        </w:rPr>
        <w:t>year</w:t>
      </w:r>
      <w:r w:rsidRPr="00793935">
        <w:rPr>
          <w:b/>
          <w:bCs/>
          <w:color w:val="000000"/>
          <w:sz w:val="26"/>
          <w:szCs w:val="26"/>
        </w:rPr>
        <w:t>:</w:t>
      </w:r>
    </w:p>
    <w:p w:rsidR="004079A5" w:rsidRPr="00793935" w:rsidRDefault="004079A5" w:rsidP="004079A5">
      <w:pPr>
        <w:bidi w:val="0"/>
        <w:jc w:val="both"/>
        <w:rPr>
          <w:color w:val="000000"/>
          <w:sz w:val="16"/>
          <w:szCs w:val="16"/>
        </w:rPr>
      </w:pPr>
    </w:p>
    <w:tbl>
      <w:tblPr>
        <w:tblW w:w="5880" w:type="dxa"/>
        <w:jc w:val="center"/>
        <w:tblInd w:w="-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656"/>
        <w:gridCol w:w="2224"/>
      </w:tblGrid>
      <w:tr w:rsidR="006C23CE" w:rsidRPr="00E338C7" w:rsidTr="00793935">
        <w:trPr>
          <w:trHeight w:hRule="exact" w:val="396"/>
          <w:tblHeader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pStyle w:val="BodyText3"/>
              <w:bidi w:val="0"/>
              <w:jc w:val="center"/>
              <w:rPr>
                <w:sz w:val="24"/>
                <w:szCs w:val="24"/>
              </w:rPr>
            </w:pPr>
            <w:r w:rsidRPr="00E338C7">
              <w:rPr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793935">
            <w:pPr>
              <w:pStyle w:val="BodyText3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E338C7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6C23CE" w:rsidRPr="00E338C7" w:rsidTr="00793935">
        <w:trPr>
          <w:trHeight w:hRule="exact" w:val="288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Housing Services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- 2.61%</w:t>
            </w:r>
          </w:p>
        </w:tc>
      </w:tr>
      <w:tr w:rsidR="006C23CE" w:rsidRPr="00E338C7" w:rsidTr="00793935">
        <w:trPr>
          <w:trHeight w:hRule="exact" w:val="454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Liquid Fuel for House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- 6.34%</w:t>
            </w:r>
          </w:p>
        </w:tc>
      </w:tr>
      <w:tr w:rsidR="006C23CE" w:rsidRPr="00E338C7" w:rsidTr="00793935">
        <w:trPr>
          <w:trHeight w:hRule="exact" w:val="257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Gas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- 4.47%</w:t>
            </w:r>
          </w:p>
        </w:tc>
      </w:tr>
      <w:tr w:rsidR="006C23CE" w:rsidRPr="00E338C7" w:rsidTr="00793935">
        <w:trPr>
          <w:trHeight w:hRule="exact" w:val="276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Electricity Tariff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color w:val="000000"/>
              </w:rPr>
              <w:t>- 2.84%</w:t>
            </w:r>
          </w:p>
        </w:tc>
      </w:tr>
      <w:tr w:rsidR="006C23CE" w:rsidRPr="00E338C7" w:rsidTr="00793935">
        <w:trPr>
          <w:trHeight w:hRule="exact" w:val="408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Food and Soft Drinks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- 1.50%</w:t>
            </w:r>
          </w:p>
        </w:tc>
      </w:tr>
      <w:tr w:rsidR="006C23CE" w:rsidRPr="00E338C7" w:rsidTr="00793935">
        <w:trPr>
          <w:trHeight w:hRule="exact" w:val="287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Eggs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- 15.53%</w:t>
            </w:r>
          </w:p>
        </w:tc>
      </w:tr>
      <w:tr w:rsidR="006C23CE" w:rsidRPr="00E338C7" w:rsidTr="00793935">
        <w:trPr>
          <w:trHeight w:hRule="exact" w:val="290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Fresh Poultry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- 9.60%</w:t>
            </w:r>
          </w:p>
        </w:tc>
      </w:tr>
      <w:tr w:rsidR="006C23CE" w:rsidRPr="00E338C7" w:rsidTr="00793935">
        <w:trPr>
          <w:trHeight w:hRule="exact" w:val="281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Flour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- 6.62%</w:t>
            </w:r>
          </w:p>
        </w:tc>
      </w:tr>
      <w:tr w:rsidR="006C23CE" w:rsidRPr="00E338C7" w:rsidTr="00793935">
        <w:trPr>
          <w:trHeight w:hRule="exact" w:val="284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Dried Vegetables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+ 13.33%</w:t>
            </w:r>
          </w:p>
        </w:tc>
      </w:tr>
      <w:tr w:rsidR="006C23CE" w:rsidRPr="00E338C7" w:rsidTr="00793935">
        <w:trPr>
          <w:trHeight w:hRule="exact" w:val="430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Potatoes and other Tubers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+ 6.34%</w:t>
            </w:r>
          </w:p>
        </w:tc>
      </w:tr>
      <w:tr w:rsidR="006C23CE" w:rsidRPr="00E338C7" w:rsidTr="00793935">
        <w:trPr>
          <w:trHeight w:hRule="exact" w:val="280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Transportation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- 0.80%</w:t>
            </w:r>
          </w:p>
        </w:tc>
      </w:tr>
      <w:tr w:rsidR="006C23CE" w:rsidRPr="00E338C7" w:rsidTr="00793935">
        <w:trPr>
          <w:trHeight w:hRule="exact" w:val="412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color w:val="000000"/>
              </w:rPr>
            </w:pPr>
            <w:r w:rsidRPr="00E338C7">
              <w:rPr>
                <w:color w:val="000000"/>
              </w:rPr>
              <w:t>Liquid Fuel for Car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 w:rsidRPr="00E338C7">
              <w:rPr>
                <w:color w:val="000000"/>
              </w:rPr>
              <w:t>- 5.70%</w:t>
            </w:r>
          </w:p>
        </w:tc>
      </w:tr>
      <w:tr w:rsidR="006C23CE" w:rsidRPr="00E338C7" w:rsidTr="00793935">
        <w:trPr>
          <w:trHeight w:hRule="exact" w:val="419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Education Services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+ 3.09%</w:t>
            </w:r>
          </w:p>
        </w:tc>
      </w:tr>
      <w:tr w:rsidR="006C23CE" w:rsidRPr="00E338C7" w:rsidTr="00793935">
        <w:trPr>
          <w:trHeight w:hRule="exact" w:val="396"/>
          <w:jc w:val="center"/>
        </w:trPr>
        <w:tc>
          <w:tcPr>
            <w:tcW w:w="3656" w:type="dxa"/>
            <w:vAlign w:val="center"/>
          </w:tcPr>
          <w:p w:rsidR="006C23CE" w:rsidRPr="00E338C7" w:rsidRDefault="006C23CE" w:rsidP="00793935">
            <w:pPr>
              <w:bidi w:val="0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Medical Care</w:t>
            </w:r>
          </w:p>
        </w:tc>
        <w:tc>
          <w:tcPr>
            <w:tcW w:w="2224" w:type="dxa"/>
            <w:vAlign w:val="center"/>
          </w:tcPr>
          <w:p w:rsidR="006C23CE" w:rsidRPr="00E338C7" w:rsidRDefault="006C23CE" w:rsidP="00381CC2">
            <w:pPr>
              <w:tabs>
                <w:tab w:val="right" w:pos="338"/>
              </w:tabs>
              <w:bidi w:val="0"/>
              <w:jc w:val="right"/>
              <w:rPr>
                <w:b/>
                <w:bCs/>
                <w:color w:val="000000"/>
              </w:rPr>
            </w:pPr>
            <w:r w:rsidRPr="00E338C7">
              <w:rPr>
                <w:b/>
                <w:bCs/>
                <w:color w:val="000000"/>
              </w:rPr>
              <w:t>+ 1.13%</w:t>
            </w:r>
          </w:p>
        </w:tc>
      </w:tr>
    </w:tbl>
    <w:p w:rsidR="00BE1DDF" w:rsidRPr="001D241C" w:rsidRDefault="00BE1DDF" w:rsidP="00780BAA">
      <w:pPr>
        <w:autoSpaceDE w:val="0"/>
        <w:autoSpaceDN w:val="0"/>
        <w:bidi w:val="0"/>
        <w:adjustRightInd w:val="0"/>
        <w:rPr>
          <w:rFonts w:cs="Simplified Arabic"/>
          <w:b/>
          <w:bCs/>
          <w:snapToGrid w:val="0"/>
          <w:color w:val="000000"/>
          <w:sz w:val="10"/>
          <w:szCs w:val="10"/>
        </w:rPr>
      </w:pPr>
    </w:p>
    <w:p w:rsidR="0040504C" w:rsidRDefault="0040504C" w:rsidP="0040504C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40504C" w:rsidRPr="00793935" w:rsidRDefault="0040504C" w:rsidP="00793935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The table below shows </w:t>
      </w:r>
      <w:r w:rsidR="00447F85"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>yearly</w:t>
      </w:r>
      <w:r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</w:t>
      </w:r>
      <w:r w:rsidR="00447F85"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>inflation rate</w:t>
      </w:r>
      <w:r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in CPI by region for the period </w:t>
      </w:r>
      <w:r w:rsidR="00447F85"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>2004</w:t>
      </w:r>
      <w:r w:rsidRPr="00793935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–2016:</w:t>
      </w:r>
    </w:p>
    <w:p w:rsidR="0040504C" w:rsidRPr="00A63AEF" w:rsidRDefault="0040504C" w:rsidP="0040504C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16"/>
          <w:szCs w:val="16"/>
        </w:rPr>
      </w:pPr>
    </w:p>
    <w:tbl>
      <w:tblPr>
        <w:tblW w:w="5829" w:type="dxa"/>
        <w:jc w:val="center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1319"/>
        <w:gridCol w:w="1134"/>
        <w:gridCol w:w="999"/>
        <w:gridCol w:w="1418"/>
      </w:tblGrid>
      <w:tr w:rsidR="0040504C" w:rsidRPr="00793935" w:rsidTr="00793935">
        <w:trPr>
          <w:jc w:val="center"/>
        </w:trPr>
        <w:tc>
          <w:tcPr>
            <w:tcW w:w="959" w:type="dxa"/>
            <w:vMerge w:val="restart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Year</w:t>
            </w:r>
          </w:p>
        </w:tc>
        <w:tc>
          <w:tcPr>
            <w:tcW w:w="4870" w:type="dxa"/>
            <w:gridSpan w:val="4"/>
            <w:vAlign w:val="center"/>
          </w:tcPr>
          <w:p w:rsidR="0040504C" w:rsidRPr="00793935" w:rsidRDefault="00447F85" w:rsidP="001365D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Yearly</w:t>
            </w:r>
            <w:r w:rsidR="0040504C"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 xml:space="preserve"> </w:t>
            </w:r>
            <w:r w:rsidR="001365D1"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Inflation Rate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Merge/>
            <w:vAlign w:val="center"/>
          </w:tcPr>
          <w:p w:rsidR="0040504C" w:rsidRPr="00793935" w:rsidRDefault="0040504C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</w:p>
        </w:tc>
        <w:tc>
          <w:tcPr>
            <w:tcW w:w="1319" w:type="dxa"/>
          </w:tcPr>
          <w:p w:rsidR="0040504C" w:rsidRPr="00793935" w:rsidRDefault="0040504C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color w:val="000000"/>
              </w:rPr>
              <w:t>Palestine</w:t>
            </w:r>
          </w:p>
        </w:tc>
        <w:tc>
          <w:tcPr>
            <w:tcW w:w="1134" w:type="dxa"/>
          </w:tcPr>
          <w:p w:rsidR="0040504C" w:rsidRPr="00793935" w:rsidRDefault="0040504C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color w:val="000000"/>
              </w:rPr>
              <w:t>West Bank**</w:t>
            </w:r>
          </w:p>
        </w:tc>
        <w:tc>
          <w:tcPr>
            <w:tcW w:w="999" w:type="dxa"/>
          </w:tcPr>
          <w:p w:rsidR="0040504C" w:rsidRPr="00793935" w:rsidRDefault="0040504C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color w:val="000000"/>
              </w:rPr>
              <w:t>Gaza Strip</w:t>
            </w:r>
          </w:p>
        </w:tc>
        <w:tc>
          <w:tcPr>
            <w:tcW w:w="1418" w:type="dxa"/>
          </w:tcPr>
          <w:p w:rsidR="0040504C" w:rsidRPr="00793935" w:rsidRDefault="0040504C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proofErr w:type="spellStart"/>
            <w:r w:rsidRPr="00793935">
              <w:rPr>
                <w:rFonts w:asciiTheme="majorBidi" w:hAnsiTheme="majorBidi" w:cstheme="majorBidi"/>
                <w:b/>
                <w:bCs/>
                <w:color w:val="000000"/>
              </w:rPr>
              <w:t>Jerusal-em</w:t>
            </w:r>
            <w:proofErr w:type="spellEnd"/>
            <w:r w:rsidRPr="0079393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J1</w:t>
            </w: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*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2004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+ 3.00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+ 2.89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+ 3.18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+ 4.42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2005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+ 4.11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+ 4.00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+ 2.45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+ 5.10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2006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+ 3.84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+ 5.02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+ 4.64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+ 1.77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2007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+ 1.86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+ 0.75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+ 1.56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+ 3.10</w:t>
            </w:r>
          </w:p>
        </w:tc>
      </w:tr>
      <w:tr w:rsidR="0040504C" w:rsidRPr="00793935" w:rsidTr="00793935">
        <w:trPr>
          <w:trHeight w:val="350"/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2008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+ 9.89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+ 9.81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+ 13.98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+ 7.12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2009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+ 2.75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+ 0.57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+ 4.42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+ 3.54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2010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+ 3.75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+ 4.24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+ 1.72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+ 5.25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2011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+ 2.88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+ 3.54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+ 0.57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+ 4.13</w:t>
            </w:r>
          </w:p>
        </w:tc>
      </w:tr>
      <w:tr w:rsidR="0040504C" w:rsidRPr="00793935" w:rsidTr="00793935">
        <w:trPr>
          <w:jc w:val="center"/>
        </w:trPr>
        <w:tc>
          <w:tcPr>
            <w:tcW w:w="95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2012</w:t>
            </w:r>
          </w:p>
        </w:tc>
        <w:tc>
          <w:tcPr>
            <w:tcW w:w="131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+ 2.78</w:t>
            </w:r>
          </w:p>
        </w:tc>
        <w:tc>
          <w:tcPr>
            <w:tcW w:w="1134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+ 4.08</w:t>
            </w:r>
          </w:p>
        </w:tc>
        <w:tc>
          <w:tcPr>
            <w:tcW w:w="999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+ 0.48</w:t>
            </w:r>
          </w:p>
        </w:tc>
        <w:tc>
          <w:tcPr>
            <w:tcW w:w="1418" w:type="dxa"/>
            <w:vAlign w:val="center"/>
          </w:tcPr>
          <w:p w:rsidR="0040504C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+ 3.23</w:t>
            </w:r>
          </w:p>
        </w:tc>
      </w:tr>
      <w:tr w:rsidR="00447F85" w:rsidRPr="00793935" w:rsidTr="00793935">
        <w:trPr>
          <w:jc w:val="center"/>
        </w:trPr>
        <w:tc>
          <w:tcPr>
            <w:tcW w:w="95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2013</w:t>
            </w:r>
          </w:p>
        </w:tc>
        <w:tc>
          <w:tcPr>
            <w:tcW w:w="1319" w:type="dxa"/>
            <w:vAlign w:val="center"/>
          </w:tcPr>
          <w:p w:rsidR="00447F85" w:rsidRPr="00793935" w:rsidRDefault="00447F85" w:rsidP="0004475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+ 1.72</w:t>
            </w:r>
          </w:p>
        </w:tc>
        <w:tc>
          <w:tcPr>
            <w:tcW w:w="1134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+ 3.10</w:t>
            </w:r>
          </w:p>
        </w:tc>
        <w:tc>
          <w:tcPr>
            <w:tcW w:w="99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- 0.76</w:t>
            </w:r>
          </w:p>
        </w:tc>
        <w:tc>
          <w:tcPr>
            <w:tcW w:w="1418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+ 1.81</w:t>
            </w:r>
          </w:p>
        </w:tc>
      </w:tr>
      <w:tr w:rsidR="00447F85" w:rsidRPr="00793935" w:rsidTr="00793935">
        <w:trPr>
          <w:jc w:val="center"/>
        </w:trPr>
        <w:tc>
          <w:tcPr>
            <w:tcW w:w="95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2014</w:t>
            </w:r>
          </w:p>
        </w:tc>
        <w:tc>
          <w:tcPr>
            <w:tcW w:w="1319" w:type="dxa"/>
            <w:vAlign w:val="center"/>
          </w:tcPr>
          <w:p w:rsidR="00447F85" w:rsidRPr="00793935" w:rsidRDefault="00447F85" w:rsidP="0004475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+ 1.73</w:t>
            </w:r>
          </w:p>
        </w:tc>
        <w:tc>
          <w:tcPr>
            <w:tcW w:w="1134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+ 1.20</w:t>
            </w:r>
          </w:p>
        </w:tc>
        <w:tc>
          <w:tcPr>
            <w:tcW w:w="99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+ 2.85</w:t>
            </w:r>
          </w:p>
        </w:tc>
        <w:tc>
          <w:tcPr>
            <w:tcW w:w="1418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+ 3.84</w:t>
            </w:r>
          </w:p>
        </w:tc>
      </w:tr>
      <w:tr w:rsidR="00447F85" w:rsidRPr="00793935" w:rsidTr="00793935">
        <w:trPr>
          <w:jc w:val="center"/>
        </w:trPr>
        <w:tc>
          <w:tcPr>
            <w:tcW w:w="95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2015</w:t>
            </w:r>
          </w:p>
        </w:tc>
        <w:tc>
          <w:tcPr>
            <w:tcW w:w="131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+ 1.43</w:t>
            </w:r>
          </w:p>
        </w:tc>
        <w:tc>
          <w:tcPr>
            <w:tcW w:w="1134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+ 1.29</w:t>
            </w:r>
          </w:p>
        </w:tc>
        <w:tc>
          <w:tcPr>
            <w:tcW w:w="99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+ 1.77</w:t>
            </w:r>
          </w:p>
        </w:tc>
        <w:tc>
          <w:tcPr>
            <w:tcW w:w="1418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+ 0.33</w:t>
            </w:r>
          </w:p>
        </w:tc>
      </w:tr>
      <w:tr w:rsidR="00447F85" w:rsidRPr="00793935" w:rsidTr="00793935">
        <w:trPr>
          <w:jc w:val="center"/>
        </w:trPr>
        <w:tc>
          <w:tcPr>
            <w:tcW w:w="95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2016</w:t>
            </w:r>
          </w:p>
        </w:tc>
        <w:tc>
          <w:tcPr>
            <w:tcW w:w="131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- 0.22</w:t>
            </w:r>
          </w:p>
        </w:tc>
        <w:tc>
          <w:tcPr>
            <w:tcW w:w="1134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- 0.08</w:t>
            </w:r>
          </w:p>
        </w:tc>
        <w:tc>
          <w:tcPr>
            <w:tcW w:w="99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- 0.84</w:t>
            </w:r>
          </w:p>
        </w:tc>
        <w:tc>
          <w:tcPr>
            <w:tcW w:w="1418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snapToGrid w:val="0"/>
                <w:color w:val="000000"/>
              </w:rPr>
              <w:t>- 0.96</w:t>
            </w:r>
          </w:p>
        </w:tc>
      </w:tr>
      <w:tr w:rsidR="00447F85" w:rsidRPr="00793935" w:rsidTr="00793935">
        <w:trPr>
          <w:jc w:val="center"/>
        </w:trPr>
        <w:tc>
          <w:tcPr>
            <w:tcW w:w="95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Cum.</w:t>
            </w:r>
          </w:p>
        </w:tc>
        <w:tc>
          <w:tcPr>
            <w:tcW w:w="131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+ 47.16</w:t>
            </w:r>
          </w:p>
        </w:tc>
        <w:tc>
          <w:tcPr>
            <w:tcW w:w="1134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+ 48.32</w:t>
            </w:r>
          </w:p>
        </w:tc>
        <w:tc>
          <w:tcPr>
            <w:tcW w:w="999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+ 41.54</w:t>
            </w:r>
          </w:p>
        </w:tc>
        <w:tc>
          <w:tcPr>
            <w:tcW w:w="1418" w:type="dxa"/>
            <w:vAlign w:val="center"/>
          </w:tcPr>
          <w:p w:rsidR="00447F85" w:rsidRPr="00793935" w:rsidRDefault="00447F85" w:rsidP="0040504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79393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+ 51.81</w:t>
            </w:r>
          </w:p>
        </w:tc>
      </w:tr>
    </w:tbl>
    <w:p w:rsidR="009C028E" w:rsidRDefault="009C028E" w:rsidP="00E005F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793935" w:rsidRDefault="00793935" w:rsidP="00793935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3E3171" w:rsidRDefault="003E3171" w:rsidP="009C028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0"/>
          <w:szCs w:val="20"/>
        </w:rPr>
      </w:pPr>
      <w:r>
        <w:rPr>
          <w:rFonts w:cs="Simplified Arabic"/>
          <w:b/>
          <w:bCs/>
          <w:snapToGrid w:val="0"/>
          <w:color w:val="000000"/>
          <w:sz w:val="20"/>
          <w:szCs w:val="20"/>
        </w:rPr>
        <w:t>Notes</w:t>
      </w:r>
      <w:r>
        <w:rPr>
          <w:rFonts w:cs="Simplified Arabic"/>
          <w:snapToGrid w:val="0"/>
          <w:color w:val="000000"/>
          <w:sz w:val="20"/>
          <w:szCs w:val="20"/>
        </w:rPr>
        <w:t>:</w:t>
      </w:r>
    </w:p>
    <w:p w:rsidR="003E3171" w:rsidRDefault="003E3171" w:rsidP="003E3171">
      <w:pPr>
        <w:bidi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>The data of Jerusalem J1 i</w:t>
      </w:r>
      <w:r w:rsidRPr="00A122F8">
        <w:rPr>
          <w:color w:val="000000"/>
          <w:sz w:val="20"/>
          <w:szCs w:val="20"/>
        </w:rPr>
        <w:t xml:space="preserve">ncludes that part of Jerusalem </w:t>
      </w:r>
      <w:r>
        <w:rPr>
          <w:color w:val="000000"/>
          <w:sz w:val="20"/>
          <w:szCs w:val="20"/>
        </w:rPr>
        <w:t xml:space="preserve">governorate </w:t>
      </w:r>
      <w:r w:rsidRPr="00A122F8">
        <w:rPr>
          <w:color w:val="000000"/>
          <w:sz w:val="20"/>
          <w:szCs w:val="20"/>
        </w:rPr>
        <w:t>which was annexed forcefully by Israel following its occupation of the West Bank in 1967.</w:t>
      </w:r>
    </w:p>
    <w:p w:rsidR="003E3171" w:rsidRDefault="003E3171" w:rsidP="003E3171">
      <w:pPr>
        <w:bidi w:val="0"/>
        <w:jc w:val="both"/>
        <w:rPr>
          <w:color w:val="000000"/>
        </w:rPr>
      </w:pPr>
    </w:p>
    <w:p w:rsidR="003E3171" w:rsidRDefault="003E3171" w:rsidP="003E3171">
      <w:pPr>
        <w:bidi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**</w:t>
      </w:r>
      <w:r>
        <w:rPr>
          <w:sz w:val="20"/>
          <w:szCs w:val="20"/>
        </w:rPr>
        <w:t>The data of  West Bank</w:t>
      </w:r>
      <w:r w:rsidRPr="00A122F8">
        <w:rPr>
          <w:sz w:val="20"/>
          <w:szCs w:val="20"/>
        </w:rPr>
        <w:t xml:space="preserve"> doesn't include that part of Jerusalem </w:t>
      </w:r>
      <w:r>
        <w:rPr>
          <w:color w:val="000000"/>
          <w:sz w:val="20"/>
          <w:szCs w:val="20"/>
        </w:rPr>
        <w:t>governorate</w:t>
      </w:r>
      <w:r w:rsidRPr="00A122F8">
        <w:rPr>
          <w:sz w:val="20"/>
          <w:szCs w:val="20"/>
        </w:rPr>
        <w:t xml:space="preserve"> which was annexed forcefully by Israel following its occupation of the West Bank in 1967.</w:t>
      </w:r>
    </w:p>
    <w:p w:rsidR="003E3171" w:rsidRPr="00A122F8" w:rsidRDefault="003E3171" w:rsidP="003E3171">
      <w:pPr>
        <w:bidi w:val="0"/>
        <w:ind w:left="720"/>
        <w:jc w:val="both"/>
        <w:rPr>
          <w:color w:val="000000"/>
          <w:sz w:val="20"/>
          <w:szCs w:val="20"/>
        </w:rPr>
      </w:pPr>
    </w:p>
    <w:p w:rsidR="003E3171" w:rsidRDefault="003E3171" w:rsidP="003E3171">
      <w:pPr>
        <w:bidi w:val="0"/>
        <w:jc w:val="both"/>
      </w:pPr>
    </w:p>
    <w:sectPr w:rsidR="003E3171" w:rsidSect="00793935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FF" w:rsidRDefault="00A305FF">
      <w:r>
        <w:separator/>
      </w:r>
    </w:p>
  </w:endnote>
  <w:endnote w:type="continuationSeparator" w:id="0">
    <w:p w:rsidR="00A305FF" w:rsidRDefault="00A3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C2" w:rsidRDefault="004C063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81CC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81CC2" w:rsidRDefault="00381CC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40253416"/>
      <w:docPartObj>
        <w:docPartGallery w:val="Page Numbers (Bottom of Page)"/>
        <w:docPartUnique/>
      </w:docPartObj>
    </w:sdtPr>
    <w:sdtContent>
      <w:p w:rsidR="00793935" w:rsidRDefault="004C063A">
        <w:pPr>
          <w:pStyle w:val="Footer"/>
          <w:jc w:val="center"/>
        </w:pPr>
        <w:fldSimple w:instr=" PAGE   \* MERGEFORMAT ">
          <w:r w:rsidR="00116C2C">
            <w:rPr>
              <w:noProof/>
              <w:rtl/>
            </w:rPr>
            <w:t>1</w:t>
          </w:r>
        </w:fldSimple>
      </w:p>
    </w:sdtContent>
  </w:sdt>
  <w:p w:rsidR="00793935" w:rsidRDefault="007939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FF" w:rsidRDefault="00A305FF">
      <w:r>
        <w:separator/>
      </w:r>
    </w:p>
  </w:footnote>
  <w:footnote w:type="continuationSeparator" w:id="0">
    <w:p w:rsidR="00A305FF" w:rsidRDefault="00A30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1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D022A0"/>
    <w:rsid w:val="00003BE4"/>
    <w:rsid w:val="0002118E"/>
    <w:rsid w:val="000221D3"/>
    <w:rsid w:val="0002644D"/>
    <w:rsid w:val="0004173B"/>
    <w:rsid w:val="000427E2"/>
    <w:rsid w:val="00054B17"/>
    <w:rsid w:val="00060ED9"/>
    <w:rsid w:val="00067CB2"/>
    <w:rsid w:val="00071304"/>
    <w:rsid w:val="00073642"/>
    <w:rsid w:val="000B62D7"/>
    <w:rsid w:val="000C17B3"/>
    <w:rsid w:val="000C3942"/>
    <w:rsid w:val="000D1511"/>
    <w:rsid w:val="000E2C3E"/>
    <w:rsid w:val="00101548"/>
    <w:rsid w:val="00105F12"/>
    <w:rsid w:val="00116C2C"/>
    <w:rsid w:val="00123C56"/>
    <w:rsid w:val="001277CD"/>
    <w:rsid w:val="00130D6B"/>
    <w:rsid w:val="00131306"/>
    <w:rsid w:val="001365D1"/>
    <w:rsid w:val="0013724F"/>
    <w:rsid w:val="0015686C"/>
    <w:rsid w:val="001678C1"/>
    <w:rsid w:val="001718B1"/>
    <w:rsid w:val="001957C3"/>
    <w:rsid w:val="00197C47"/>
    <w:rsid w:val="001A1C4F"/>
    <w:rsid w:val="001B581E"/>
    <w:rsid w:val="001C3DB7"/>
    <w:rsid w:val="001C4981"/>
    <w:rsid w:val="001C6537"/>
    <w:rsid w:val="001D1440"/>
    <w:rsid w:val="001D241C"/>
    <w:rsid w:val="001E4287"/>
    <w:rsid w:val="002060F4"/>
    <w:rsid w:val="002126C2"/>
    <w:rsid w:val="002140F2"/>
    <w:rsid w:val="00221761"/>
    <w:rsid w:val="00224EF6"/>
    <w:rsid w:val="00235C24"/>
    <w:rsid w:val="00247498"/>
    <w:rsid w:val="002518F7"/>
    <w:rsid w:val="0025601B"/>
    <w:rsid w:val="00257A70"/>
    <w:rsid w:val="00261A6D"/>
    <w:rsid w:val="00273615"/>
    <w:rsid w:val="002779D4"/>
    <w:rsid w:val="00285A6B"/>
    <w:rsid w:val="002A2725"/>
    <w:rsid w:val="002D238F"/>
    <w:rsid w:val="002D4443"/>
    <w:rsid w:val="002F1812"/>
    <w:rsid w:val="002F4A1D"/>
    <w:rsid w:val="002F6F7A"/>
    <w:rsid w:val="00305B59"/>
    <w:rsid w:val="00306CD0"/>
    <w:rsid w:val="00310D59"/>
    <w:rsid w:val="0031748D"/>
    <w:rsid w:val="003324D6"/>
    <w:rsid w:val="003339E6"/>
    <w:rsid w:val="00337618"/>
    <w:rsid w:val="00360CBA"/>
    <w:rsid w:val="003732C9"/>
    <w:rsid w:val="003745F7"/>
    <w:rsid w:val="00376A22"/>
    <w:rsid w:val="00381CC2"/>
    <w:rsid w:val="00390535"/>
    <w:rsid w:val="003A0009"/>
    <w:rsid w:val="003A03B3"/>
    <w:rsid w:val="003A5BA8"/>
    <w:rsid w:val="003A7BF1"/>
    <w:rsid w:val="003B1950"/>
    <w:rsid w:val="003B50B4"/>
    <w:rsid w:val="003C7CF1"/>
    <w:rsid w:val="003D3B0C"/>
    <w:rsid w:val="003D73E5"/>
    <w:rsid w:val="003E3171"/>
    <w:rsid w:val="003E5257"/>
    <w:rsid w:val="003F5DF5"/>
    <w:rsid w:val="0040504C"/>
    <w:rsid w:val="004079A5"/>
    <w:rsid w:val="00415025"/>
    <w:rsid w:val="0041507C"/>
    <w:rsid w:val="00417F81"/>
    <w:rsid w:val="004232C7"/>
    <w:rsid w:val="00430B67"/>
    <w:rsid w:val="004316FB"/>
    <w:rsid w:val="00435439"/>
    <w:rsid w:val="00441187"/>
    <w:rsid w:val="0044198A"/>
    <w:rsid w:val="00447D4A"/>
    <w:rsid w:val="00447F85"/>
    <w:rsid w:val="0045193D"/>
    <w:rsid w:val="00456C86"/>
    <w:rsid w:val="00462287"/>
    <w:rsid w:val="004717E5"/>
    <w:rsid w:val="00474501"/>
    <w:rsid w:val="0047735D"/>
    <w:rsid w:val="004820A6"/>
    <w:rsid w:val="00490525"/>
    <w:rsid w:val="004968D7"/>
    <w:rsid w:val="004A4901"/>
    <w:rsid w:val="004B2215"/>
    <w:rsid w:val="004B64FC"/>
    <w:rsid w:val="004C0507"/>
    <w:rsid w:val="004C063A"/>
    <w:rsid w:val="004C2832"/>
    <w:rsid w:val="004C52A0"/>
    <w:rsid w:val="004D4443"/>
    <w:rsid w:val="004E1606"/>
    <w:rsid w:val="004E1FA0"/>
    <w:rsid w:val="004E34C4"/>
    <w:rsid w:val="004E56FB"/>
    <w:rsid w:val="004E6A9D"/>
    <w:rsid w:val="004F6FFC"/>
    <w:rsid w:val="00500B2A"/>
    <w:rsid w:val="005134BC"/>
    <w:rsid w:val="0053383D"/>
    <w:rsid w:val="00541F35"/>
    <w:rsid w:val="00543ECF"/>
    <w:rsid w:val="00554720"/>
    <w:rsid w:val="00565D7A"/>
    <w:rsid w:val="0057006B"/>
    <w:rsid w:val="0057347A"/>
    <w:rsid w:val="005863CE"/>
    <w:rsid w:val="005937A9"/>
    <w:rsid w:val="005B17BA"/>
    <w:rsid w:val="005C691C"/>
    <w:rsid w:val="005D31AA"/>
    <w:rsid w:val="005E136C"/>
    <w:rsid w:val="005E3CD8"/>
    <w:rsid w:val="005F2FD4"/>
    <w:rsid w:val="005F39C9"/>
    <w:rsid w:val="005F62F0"/>
    <w:rsid w:val="00601BD1"/>
    <w:rsid w:val="00604ED1"/>
    <w:rsid w:val="00631430"/>
    <w:rsid w:val="006316F0"/>
    <w:rsid w:val="00632316"/>
    <w:rsid w:val="006440B5"/>
    <w:rsid w:val="00645E11"/>
    <w:rsid w:val="006516CA"/>
    <w:rsid w:val="00653516"/>
    <w:rsid w:val="00655B22"/>
    <w:rsid w:val="00665330"/>
    <w:rsid w:val="00665FDB"/>
    <w:rsid w:val="006728A0"/>
    <w:rsid w:val="00691CC4"/>
    <w:rsid w:val="00691D09"/>
    <w:rsid w:val="006A52B5"/>
    <w:rsid w:val="006A6B78"/>
    <w:rsid w:val="006B1D22"/>
    <w:rsid w:val="006C23CE"/>
    <w:rsid w:val="006D5235"/>
    <w:rsid w:val="006E470E"/>
    <w:rsid w:val="006F0B8C"/>
    <w:rsid w:val="006F39BF"/>
    <w:rsid w:val="006F7E42"/>
    <w:rsid w:val="00700557"/>
    <w:rsid w:val="00710513"/>
    <w:rsid w:val="00711112"/>
    <w:rsid w:val="00711EE6"/>
    <w:rsid w:val="00715B91"/>
    <w:rsid w:val="007203EB"/>
    <w:rsid w:val="00735E2C"/>
    <w:rsid w:val="0074044F"/>
    <w:rsid w:val="00743ED6"/>
    <w:rsid w:val="0075710D"/>
    <w:rsid w:val="00761341"/>
    <w:rsid w:val="00780BAA"/>
    <w:rsid w:val="0078459D"/>
    <w:rsid w:val="00791AAF"/>
    <w:rsid w:val="00793935"/>
    <w:rsid w:val="007A0688"/>
    <w:rsid w:val="007A4FA2"/>
    <w:rsid w:val="007D0600"/>
    <w:rsid w:val="007E6F73"/>
    <w:rsid w:val="007F383D"/>
    <w:rsid w:val="00803E44"/>
    <w:rsid w:val="00806BD2"/>
    <w:rsid w:val="00811354"/>
    <w:rsid w:val="008265C1"/>
    <w:rsid w:val="008463A9"/>
    <w:rsid w:val="0086248B"/>
    <w:rsid w:val="00863992"/>
    <w:rsid w:val="00867989"/>
    <w:rsid w:val="00867FF7"/>
    <w:rsid w:val="0087748E"/>
    <w:rsid w:val="008864F6"/>
    <w:rsid w:val="00890130"/>
    <w:rsid w:val="008B0063"/>
    <w:rsid w:val="008B0BB8"/>
    <w:rsid w:val="008B2195"/>
    <w:rsid w:val="008C2770"/>
    <w:rsid w:val="008C2F38"/>
    <w:rsid w:val="008C362F"/>
    <w:rsid w:val="008C4528"/>
    <w:rsid w:val="008C5638"/>
    <w:rsid w:val="008D10A4"/>
    <w:rsid w:val="008D5C26"/>
    <w:rsid w:val="008D7FCD"/>
    <w:rsid w:val="008E0558"/>
    <w:rsid w:val="008E1D5B"/>
    <w:rsid w:val="008E3BB2"/>
    <w:rsid w:val="008E4FF4"/>
    <w:rsid w:val="008F035B"/>
    <w:rsid w:val="008F2A3C"/>
    <w:rsid w:val="008F7853"/>
    <w:rsid w:val="008F7942"/>
    <w:rsid w:val="0090451F"/>
    <w:rsid w:val="00927F4B"/>
    <w:rsid w:val="009517BF"/>
    <w:rsid w:val="00966359"/>
    <w:rsid w:val="00967A43"/>
    <w:rsid w:val="00977B6C"/>
    <w:rsid w:val="00982B2C"/>
    <w:rsid w:val="00982B79"/>
    <w:rsid w:val="00984F80"/>
    <w:rsid w:val="009B3CE0"/>
    <w:rsid w:val="009C028E"/>
    <w:rsid w:val="009C54F3"/>
    <w:rsid w:val="009D7193"/>
    <w:rsid w:val="00A00D74"/>
    <w:rsid w:val="00A01E03"/>
    <w:rsid w:val="00A12D01"/>
    <w:rsid w:val="00A21FD6"/>
    <w:rsid w:val="00A27364"/>
    <w:rsid w:val="00A305FF"/>
    <w:rsid w:val="00A30C09"/>
    <w:rsid w:val="00A34CC2"/>
    <w:rsid w:val="00A359A6"/>
    <w:rsid w:val="00A440FA"/>
    <w:rsid w:val="00A50807"/>
    <w:rsid w:val="00A51821"/>
    <w:rsid w:val="00A550AD"/>
    <w:rsid w:val="00A575D4"/>
    <w:rsid w:val="00A613A8"/>
    <w:rsid w:val="00A6185A"/>
    <w:rsid w:val="00A66E91"/>
    <w:rsid w:val="00A740B4"/>
    <w:rsid w:val="00A764E4"/>
    <w:rsid w:val="00AA1A48"/>
    <w:rsid w:val="00AA2AC1"/>
    <w:rsid w:val="00AB2AA5"/>
    <w:rsid w:val="00AC43F2"/>
    <w:rsid w:val="00AE029F"/>
    <w:rsid w:val="00AF6D1E"/>
    <w:rsid w:val="00B01032"/>
    <w:rsid w:val="00B17291"/>
    <w:rsid w:val="00B22262"/>
    <w:rsid w:val="00B26D65"/>
    <w:rsid w:val="00B31357"/>
    <w:rsid w:val="00B31F75"/>
    <w:rsid w:val="00B73F80"/>
    <w:rsid w:val="00B80259"/>
    <w:rsid w:val="00B81FD5"/>
    <w:rsid w:val="00B841CA"/>
    <w:rsid w:val="00BA74DA"/>
    <w:rsid w:val="00BB7030"/>
    <w:rsid w:val="00BB7A55"/>
    <w:rsid w:val="00BC49FF"/>
    <w:rsid w:val="00BC7CE2"/>
    <w:rsid w:val="00BE1DDF"/>
    <w:rsid w:val="00BF7358"/>
    <w:rsid w:val="00C21A94"/>
    <w:rsid w:val="00C247E0"/>
    <w:rsid w:val="00C316FC"/>
    <w:rsid w:val="00C418D7"/>
    <w:rsid w:val="00C43A73"/>
    <w:rsid w:val="00C564AB"/>
    <w:rsid w:val="00C74DBE"/>
    <w:rsid w:val="00C81088"/>
    <w:rsid w:val="00C821EA"/>
    <w:rsid w:val="00C970A9"/>
    <w:rsid w:val="00CB078C"/>
    <w:rsid w:val="00CB0C33"/>
    <w:rsid w:val="00CC3D22"/>
    <w:rsid w:val="00CF456F"/>
    <w:rsid w:val="00D021C0"/>
    <w:rsid w:val="00D022A0"/>
    <w:rsid w:val="00D12576"/>
    <w:rsid w:val="00D135BB"/>
    <w:rsid w:val="00D223BF"/>
    <w:rsid w:val="00D31218"/>
    <w:rsid w:val="00D338F0"/>
    <w:rsid w:val="00D346E2"/>
    <w:rsid w:val="00D3706E"/>
    <w:rsid w:val="00D445AD"/>
    <w:rsid w:val="00D46FAD"/>
    <w:rsid w:val="00D53CC1"/>
    <w:rsid w:val="00D60062"/>
    <w:rsid w:val="00D72E15"/>
    <w:rsid w:val="00D869F3"/>
    <w:rsid w:val="00D93416"/>
    <w:rsid w:val="00D96C4F"/>
    <w:rsid w:val="00DA3416"/>
    <w:rsid w:val="00DB1243"/>
    <w:rsid w:val="00DC0E9B"/>
    <w:rsid w:val="00DC1047"/>
    <w:rsid w:val="00DD1C83"/>
    <w:rsid w:val="00DD4FCC"/>
    <w:rsid w:val="00DE1515"/>
    <w:rsid w:val="00DE60F7"/>
    <w:rsid w:val="00DE618E"/>
    <w:rsid w:val="00DF37D0"/>
    <w:rsid w:val="00DF3BB1"/>
    <w:rsid w:val="00E005FF"/>
    <w:rsid w:val="00E03554"/>
    <w:rsid w:val="00E06416"/>
    <w:rsid w:val="00E0690C"/>
    <w:rsid w:val="00E075B0"/>
    <w:rsid w:val="00E1043B"/>
    <w:rsid w:val="00E14038"/>
    <w:rsid w:val="00E219D0"/>
    <w:rsid w:val="00E267AA"/>
    <w:rsid w:val="00E27D78"/>
    <w:rsid w:val="00E338C7"/>
    <w:rsid w:val="00E60FD9"/>
    <w:rsid w:val="00E65CC2"/>
    <w:rsid w:val="00E707ED"/>
    <w:rsid w:val="00E720FB"/>
    <w:rsid w:val="00E85A09"/>
    <w:rsid w:val="00E91101"/>
    <w:rsid w:val="00E9387F"/>
    <w:rsid w:val="00E939CB"/>
    <w:rsid w:val="00EA56E1"/>
    <w:rsid w:val="00EA6A3B"/>
    <w:rsid w:val="00EA6C65"/>
    <w:rsid w:val="00EB7A1A"/>
    <w:rsid w:val="00ED1329"/>
    <w:rsid w:val="00F00E8E"/>
    <w:rsid w:val="00F061CA"/>
    <w:rsid w:val="00F13318"/>
    <w:rsid w:val="00F221E2"/>
    <w:rsid w:val="00F3384F"/>
    <w:rsid w:val="00F33FF3"/>
    <w:rsid w:val="00F362BD"/>
    <w:rsid w:val="00F40B11"/>
    <w:rsid w:val="00F50FA5"/>
    <w:rsid w:val="00F55CEA"/>
    <w:rsid w:val="00F80EA0"/>
    <w:rsid w:val="00F935F5"/>
    <w:rsid w:val="00FA0E64"/>
    <w:rsid w:val="00FB3996"/>
    <w:rsid w:val="00FC6E03"/>
    <w:rsid w:val="00FE2A50"/>
    <w:rsid w:val="00FE30FA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E2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93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3263347694110398"/>
          <c:y val="8.0645161290322787E-2"/>
          <c:w val="0.74992516570451162"/>
          <c:h val="0.7616170595977556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inflation rate</c:v>
                </c:pt>
              </c:strCache>
            </c:strRef>
          </c:tx>
          <c:dLbls>
            <c:dLbl>
              <c:idx val="0"/>
              <c:layout>
                <c:manualLayout>
                  <c:x val="-1.7104981825956832E-2"/>
                  <c:y val="8.0645161290322787E-2"/>
                </c:manualLayout>
              </c:layout>
              <c:showVal val="1"/>
            </c:dLbl>
            <c:dLbl>
              <c:idx val="4"/>
              <c:layout>
                <c:manualLayout>
                  <c:x val="-5.9867436390849064E-2"/>
                  <c:y val="-8.0645161290322787E-2"/>
                </c:manualLayout>
              </c:layout>
              <c:showVal val="1"/>
            </c:dLbl>
            <c:dLbl>
              <c:idx val="8"/>
              <c:layout>
                <c:manualLayout>
                  <c:x val="-5.9867436390849064E-2"/>
                  <c:y val="-0.10997067448680381"/>
                </c:manualLayout>
              </c:layout>
              <c:showVal val="1"/>
            </c:dLbl>
            <c:dLbl>
              <c:idx val="12"/>
              <c:layout>
                <c:manualLayout>
                  <c:x val="-1.2828736369467655E-2"/>
                  <c:y val="6.5982404692082122E-2"/>
                </c:manualLayout>
              </c:layout>
              <c:showVal val="1"/>
            </c:dLbl>
            <c:delete val="1"/>
          </c:dLbls>
          <c:cat>
            <c:numRef>
              <c:f>Sheet1!$B$1:$N$1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Sheet1!$B$2:$N$2</c:f>
              <c:numCache>
                <c:formatCode>0.00%</c:formatCode>
                <c:ptCount val="13"/>
                <c:pt idx="0">
                  <c:v>3.0041749863859296E-2</c:v>
                </c:pt>
                <c:pt idx="1">
                  <c:v>4.1072507071593087E-2</c:v>
                </c:pt>
                <c:pt idx="2">
                  <c:v>3.8423412562478144E-2</c:v>
                </c:pt>
                <c:pt idx="3">
                  <c:v>1.8597437935110865E-2</c:v>
                </c:pt>
                <c:pt idx="4">
                  <c:v>9.8899978869185584E-2</c:v>
                </c:pt>
                <c:pt idx="5">
                  <c:v>2.7539348508314996E-2</c:v>
                </c:pt>
                <c:pt idx="6">
                  <c:v>3.7491572759710559E-2</c:v>
                </c:pt>
                <c:pt idx="7">
                  <c:v>2.8772435849593589E-2</c:v>
                </c:pt>
                <c:pt idx="8">
                  <c:v>2.779087682825002E-2</c:v>
                </c:pt>
                <c:pt idx="9">
                  <c:v>1.7243993362690738E-2</c:v>
                </c:pt>
                <c:pt idx="10">
                  <c:v>1.7329851003746795E-2</c:v>
                </c:pt>
                <c:pt idx="11">
                  <c:v>1.4316114581047118E-2</c:v>
                </c:pt>
                <c:pt idx="12">
                  <c:v>-2.1910660490753789E-3</c:v>
                </c:pt>
              </c:numCache>
            </c:numRef>
          </c:val>
        </c:ser>
        <c:marker val="1"/>
        <c:axId val="120107776"/>
        <c:axId val="120109312"/>
      </c:lineChart>
      <c:catAx>
        <c:axId val="120107776"/>
        <c:scaling>
          <c:orientation val="minMax"/>
        </c:scaling>
        <c:axPos val="b"/>
        <c:numFmt formatCode="General" sourceLinked="1"/>
        <c:tickLblPos val="nextTo"/>
        <c:crossAx val="120109312"/>
        <c:crosses val="autoZero"/>
        <c:auto val="1"/>
        <c:lblAlgn val="ctr"/>
        <c:lblOffset val="400"/>
      </c:catAx>
      <c:valAx>
        <c:axId val="120109312"/>
        <c:scaling>
          <c:orientation val="minMax"/>
          <c:max val="0.13"/>
          <c:min val="-1.0000000000000011E-2"/>
        </c:scaling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Yearly</a:t>
                </a:r>
                <a:r>
                  <a:rPr lang="en-US" b="0" baseline="0"/>
                  <a:t> CPI Inflation Rate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1.2828736369467655E-2"/>
              <c:y val="0.11246334310850453"/>
            </c:manualLayout>
          </c:layout>
        </c:title>
        <c:numFmt formatCode="0.0%" sourceLinked="0"/>
        <c:tickLblPos val="nextTo"/>
        <c:crossAx val="120107776"/>
        <c:crossesAt val="1"/>
        <c:crossBetween val="midCat"/>
        <c:majorUnit val="2.0000000000000021E-2"/>
        <c:minorUnit val="8.0000000000000123E-3"/>
      </c:valAx>
    </c:plotArea>
    <c:plotVisOnly val="1"/>
  </c:chart>
  <c:spPr>
    <a:ln>
      <a:solidFill>
        <a:sysClr val="windowText" lastClr="000000">
          <a:alpha val="50000"/>
        </a:sysClr>
      </a:solidFill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3A7A-ADED-4657-B03A-F9ADB833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hbadran</cp:lastModifiedBy>
  <cp:revision>139</cp:revision>
  <cp:lastPrinted>2017-01-11T07:39:00Z</cp:lastPrinted>
  <dcterms:created xsi:type="dcterms:W3CDTF">2012-09-10T07:05:00Z</dcterms:created>
  <dcterms:modified xsi:type="dcterms:W3CDTF">2017-01-11T08:01:00Z</dcterms:modified>
</cp:coreProperties>
</file>