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26A" w:rsidRPr="0060226A" w:rsidRDefault="0060226A" w:rsidP="00C1193D">
      <w:pPr>
        <w:bidi w:val="0"/>
        <w:jc w:val="center"/>
        <w:rPr>
          <w:rFonts w:asciiTheme="majorBidi" w:hAnsiTheme="majorBidi" w:cstheme="majorBidi"/>
          <w:b/>
          <w:bCs/>
          <w:snapToGrid w:val="0"/>
          <w:color w:val="000000" w:themeColor="text1"/>
          <w:rtl/>
          <w:lang w:eastAsia="en-US"/>
        </w:rPr>
      </w:pPr>
      <w:bookmarkStart w:id="0" w:name="_GoBack"/>
      <w:bookmarkEnd w:id="0"/>
    </w:p>
    <w:p w:rsidR="0060226A" w:rsidRPr="0060226A" w:rsidRDefault="0060226A" w:rsidP="0060226A">
      <w:pPr>
        <w:pStyle w:val="Heading5"/>
        <w:bidi w:val="0"/>
        <w:rPr>
          <w:rFonts w:asciiTheme="majorBidi" w:hAnsiTheme="majorBidi" w:cstheme="majorBidi"/>
          <w:color w:val="000000"/>
          <w:sz w:val="32"/>
          <w:szCs w:val="32"/>
        </w:rPr>
      </w:pPr>
      <w:r w:rsidRPr="0060226A">
        <w:rPr>
          <w:rFonts w:asciiTheme="majorBidi" w:hAnsiTheme="majorBidi" w:cstheme="majorBidi"/>
          <w:color w:val="000000"/>
          <w:sz w:val="32"/>
          <w:szCs w:val="32"/>
        </w:rPr>
        <w:t>Palestinian Central Bureau of Statistics (PCBS)</w:t>
      </w:r>
    </w:p>
    <w:p w:rsidR="0060226A" w:rsidRPr="00E410E1" w:rsidRDefault="0060226A" w:rsidP="00E410E1">
      <w:pPr>
        <w:bidi w:val="0"/>
        <w:jc w:val="center"/>
        <w:rPr>
          <w:rFonts w:asciiTheme="majorBidi" w:eastAsiaTheme="minorHAnsi" w:hAnsiTheme="majorBidi" w:cstheme="majorBidi"/>
          <w:sz w:val="16"/>
          <w:szCs w:val="16"/>
          <w:rtl/>
        </w:rPr>
      </w:pPr>
    </w:p>
    <w:p w:rsidR="0060226A" w:rsidRPr="0060226A" w:rsidRDefault="0060226A" w:rsidP="0060226A">
      <w:pPr>
        <w:pStyle w:val="Heading6"/>
        <w:rPr>
          <w:rFonts w:asciiTheme="majorBidi" w:hAnsiTheme="majorBidi" w:cstheme="majorBidi"/>
          <w:color w:val="000000"/>
        </w:rPr>
      </w:pPr>
      <w:r w:rsidRPr="0060226A">
        <w:rPr>
          <w:rFonts w:asciiTheme="majorBidi" w:hAnsiTheme="majorBidi" w:cstheme="majorBidi"/>
        </w:rPr>
        <w:t>International Youth Day,12/08/</w:t>
      </w:r>
      <w:r w:rsidRPr="0060226A">
        <w:rPr>
          <w:rFonts w:asciiTheme="majorBidi" w:hAnsiTheme="majorBidi" w:cstheme="majorBidi"/>
          <w:color w:val="000000"/>
        </w:rPr>
        <w:t>2018</w:t>
      </w:r>
    </w:p>
    <w:p w:rsidR="0060226A" w:rsidRDefault="0060226A" w:rsidP="0060226A">
      <w:pPr>
        <w:bidi w:val="0"/>
        <w:jc w:val="center"/>
        <w:rPr>
          <w:rFonts w:asciiTheme="majorBidi" w:hAnsiTheme="majorBidi" w:cstheme="majorBidi"/>
          <w:b/>
          <w:bCs/>
          <w:snapToGrid w:val="0"/>
          <w:color w:val="000000" w:themeColor="text1"/>
          <w:lang w:eastAsia="en-US"/>
        </w:rPr>
      </w:pPr>
    </w:p>
    <w:p w:rsidR="00E410E1" w:rsidRPr="0060226A" w:rsidRDefault="00E410E1" w:rsidP="00E410E1">
      <w:pPr>
        <w:bidi w:val="0"/>
        <w:jc w:val="center"/>
        <w:rPr>
          <w:rFonts w:asciiTheme="majorBidi" w:hAnsiTheme="majorBidi" w:cstheme="majorBidi" w:hint="cs"/>
          <w:b/>
          <w:bCs/>
          <w:snapToGrid w:val="0"/>
          <w:color w:val="000000" w:themeColor="text1"/>
          <w:rtl/>
          <w:lang w:eastAsia="en-US"/>
        </w:rPr>
      </w:pPr>
    </w:p>
    <w:p w:rsidR="00E410E1" w:rsidRDefault="00054720" w:rsidP="00E410E1">
      <w:pPr>
        <w:bidi w:val="0"/>
        <w:jc w:val="center"/>
        <w:rPr>
          <w:rFonts w:asciiTheme="majorBidi" w:hAnsiTheme="majorBidi" w:cstheme="majorBidi"/>
          <w:b/>
          <w:bCs/>
          <w:snapToGrid w:val="0"/>
          <w:sz w:val="28"/>
          <w:szCs w:val="28"/>
          <w:lang w:eastAsia="en-US"/>
        </w:rPr>
      </w:pPr>
      <w:r w:rsidRPr="00E410E1">
        <w:rPr>
          <w:rFonts w:asciiTheme="majorBidi" w:hAnsiTheme="majorBidi" w:cstheme="majorBidi"/>
          <w:b/>
          <w:bCs/>
          <w:snapToGrid w:val="0"/>
          <w:sz w:val="28"/>
          <w:szCs w:val="28"/>
          <w:lang w:eastAsia="en-US"/>
        </w:rPr>
        <w:t xml:space="preserve">On the occasion of the International Youth Day, the Palestinian Central Bureau of Statistics (PCBS) issues a press release </w:t>
      </w:r>
      <w:r w:rsidR="00F93933" w:rsidRPr="00E410E1">
        <w:rPr>
          <w:rFonts w:asciiTheme="majorBidi" w:hAnsiTheme="majorBidi" w:cstheme="majorBidi"/>
          <w:b/>
          <w:bCs/>
          <w:snapToGrid w:val="0"/>
          <w:sz w:val="28"/>
          <w:szCs w:val="28"/>
          <w:lang w:eastAsia="en-US"/>
        </w:rPr>
        <w:t>demonstrating</w:t>
      </w:r>
      <w:r w:rsidRPr="00E410E1">
        <w:rPr>
          <w:rFonts w:asciiTheme="majorBidi" w:hAnsiTheme="majorBidi" w:cstheme="majorBidi"/>
          <w:b/>
          <w:bCs/>
          <w:snapToGrid w:val="0"/>
          <w:sz w:val="28"/>
          <w:szCs w:val="28"/>
          <w:lang w:eastAsia="en-US"/>
        </w:rPr>
        <w:t xml:space="preserve"> the situation of </w:t>
      </w:r>
      <w:r w:rsidR="00F93933" w:rsidRPr="00E410E1">
        <w:rPr>
          <w:rFonts w:asciiTheme="majorBidi" w:hAnsiTheme="majorBidi" w:cstheme="majorBidi"/>
          <w:b/>
          <w:bCs/>
          <w:snapToGrid w:val="0"/>
          <w:sz w:val="28"/>
          <w:szCs w:val="28"/>
          <w:lang w:eastAsia="en-US"/>
        </w:rPr>
        <w:t xml:space="preserve">the youth </w:t>
      </w:r>
    </w:p>
    <w:p w:rsidR="00054720" w:rsidRPr="00E410E1" w:rsidRDefault="00054720" w:rsidP="00E410E1">
      <w:pPr>
        <w:bidi w:val="0"/>
        <w:jc w:val="center"/>
        <w:rPr>
          <w:rFonts w:asciiTheme="majorBidi" w:hAnsiTheme="majorBidi" w:cstheme="majorBidi"/>
          <w:b/>
          <w:bCs/>
          <w:snapToGrid w:val="0"/>
          <w:sz w:val="28"/>
          <w:szCs w:val="28"/>
          <w:lang w:eastAsia="en-US"/>
        </w:rPr>
      </w:pPr>
      <w:r w:rsidRPr="00E410E1">
        <w:rPr>
          <w:rFonts w:asciiTheme="majorBidi" w:hAnsiTheme="majorBidi" w:cstheme="majorBidi"/>
          <w:b/>
          <w:bCs/>
          <w:snapToGrid w:val="0"/>
          <w:sz w:val="28"/>
          <w:szCs w:val="28"/>
          <w:lang w:eastAsia="en-US"/>
        </w:rPr>
        <w:t xml:space="preserve">in </w:t>
      </w:r>
      <w:r w:rsidR="007A4018" w:rsidRPr="00E410E1">
        <w:rPr>
          <w:rFonts w:asciiTheme="majorBidi" w:hAnsiTheme="majorBidi" w:cstheme="majorBidi"/>
          <w:b/>
          <w:bCs/>
          <w:snapToGrid w:val="0"/>
          <w:sz w:val="28"/>
          <w:szCs w:val="28"/>
          <w:lang w:eastAsia="en-US"/>
        </w:rPr>
        <w:t xml:space="preserve">the </w:t>
      </w:r>
      <w:r w:rsidRPr="00E410E1">
        <w:rPr>
          <w:rFonts w:asciiTheme="majorBidi" w:hAnsiTheme="majorBidi" w:cstheme="majorBidi"/>
          <w:b/>
          <w:bCs/>
          <w:snapToGrid w:val="0"/>
          <w:sz w:val="28"/>
          <w:szCs w:val="28"/>
          <w:lang w:eastAsia="en-US"/>
        </w:rPr>
        <w:t>Palestinian society</w:t>
      </w:r>
    </w:p>
    <w:p w:rsidR="00054720" w:rsidRDefault="00054720" w:rsidP="00C1193D">
      <w:pPr>
        <w:bidi w:val="0"/>
        <w:jc w:val="both"/>
        <w:rPr>
          <w:rFonts w:asciiTheme="majorBidi" w:hAnsiTheme="majorBidi" w:cstheme="majorBidi"/>
          <w:snapToGrid w:val="0"/>
          <w:color w:val="000000" w:themeColor="text1"/>
          <w:lang w:eastAsia="en-US"/>
        </w:rPr>
      </w:pPr>
    </w:p>
    <w:p w:rsidR="0060226A" w:rsidRPr="00E410E1" w:rsidRDefault="0060226A" w:rsidP="0060226A">
      <w:pPr>
        <w:bidi w:val="0"/>
        <w:jc w:val="both"/>
        <w:rPr>
          <w:rFonts w:asciiTheme="majorBidi" w:hAnsiTheme="majorBidi" w:cstheme="majorBidi"/>
          <w:snapToGrid w:val="0"/>
          <w:color w:val="000000" w:themeColor="text1"/>
          <w:sz w:val="16"/>
          <w:szCs w:val="16"/>
          <w:rtl/>
          <w:lang w:eastAsia="en-US"/>
        </w:rPr>
      </w:pPr>
    </w:p>
    <w:p w:rsidR="00054720" w:rsidRPr="0060226A" w:rsidRDefault="00054720" w:rsidP="004800F3">
      <w:pPr>
        <w:bidi w:val="0"/>
        <w:jc w:val="both"/>
        <w:rPr>
          <w:rFonts w:asciiTheme="majorBidi" w:hAnsiTheme="majorBidi" w:cstheme="majorBidi"/>
          <w:b/>
          <w:bCs/>
          <w:snapToGrid w:val="0"/>
          <w:sz w:val="26"/>
          <w:szCs w:val="26"/>
          <w:lang w:eastAsia="en-US"/>
        </w:rPr>
      </w:pPr>
      <w:r w:rsidRPr="0060226A">
        <w:rPr>
          <w:rFonts w:asciiTheme="majorBidi" w:hAnsiTheme="majorBidi" w:cstheme="majorBidi"/>
          <w:b/>
          <w:bCs/>
          <w:snapToGrid w:val="0"/>
          <w:sz w:val="26"/>
          <w:szCs w:val="26"/>
          <w:lang w:eastAsia="en-US"/>
        </w:rPr>
        <w:t xml:space="preserve">One-third of the Palestinian population is </w:t>
      </w:r>
      <w:r w:rsidR="004800F3" w:rsidRPr="0060226A">
        <w:rPr>
          <w:rFonts w:asciiTheme="majorBidi" w:hAnsiTheme="majorBidi" w:cstheme="majorBidi"/>
          <w:b/>
          <w:bCs/>
          <w:snapToGrid w:val="0"/>
          <w:sz w:val="26"/>
          <w:szCs w:val="26"/>
          <w:lang w:eastAsia="en-US"/>
        </w:rPr>
        <w:t>youth</w:t>
      </w:r>
      <w:r w:rsidRPr="0060226A">
        <w:rPr>
          <w:rFonts w:asciiTheme="majorBidi" w:hAnsiTheme="majorBidi" w:cstheme="majorBidi"/>
          <w:b/>
          <w:bCs/>
          <w:snapToGrid w:val="0"/>
          <w:sz w:val="26"/>
          <w:szCs w:val="26"/>
          <w:lang w:eastAsia="en-US"/>
        </w:rPr>
        <w:t xml:space="preserve">, and more than half </w:t>
      </w:r>
      <w:r w:rsidR="0070129F" w:rsidRPr="0060226A">
        <w:rPr>
          <w:rFonts w:asciiTheme="majorBidi" w:hAnsiTheme="majorBidi" w:cstheme="majorBidi"/>
          <w:b/>
          <w:bCs/>
          <w:snapToGrid w:val="0"/>
          <w:sz w:val="26"/>
          <w:szCs w:val="26"/>
          <w:lang w:eastAsia="en-US"/>
        </w:rPr>
        <w:t xml:space="preserve">of them </w:t>
      </w:r>
      <w:r w:rsidRPr="0060226A">
        <w:rPr>
          <w:rFonts w:asciiTheme="majorBidi" w:hAnsiTheme="majorBidi" w:cstheme="majorBidi"/>
          <w:b/>
          <w:bCs/>
          <w:snapToGrid w:val="0"/>
          <w:sz w:val="26"/>
          <w:szCs w:val="26"/>
          <w:lang w:eastAsia="en-US"/>
        </w:rPr>
        <w:t xml:space="preserve">live in Area </w:t>
      </w:r>
      <w:r w:rsidR="0079745E" w:rsidRPr="0060226A">
        <w:rPr>
          <w:rFonts w:asciiTheme="majorBidi" w:hAnsiTheme="majorBidi" w:cstheme="majorBidi"/>
          <w:b/>
          <w:bCs/>
          <w:snapToGrid w:val="0"/>
          <w:sz w:val="26"/>
          <w:szCs w:val="26"/>
          <w:lang w:eastAsia="en-US"/>
        </w:rPr>
        <w:t>(</w:t>
      </w:r>
      <w:r w:rsidRPr="0060226A">
        <w:rPr>
          <w:rFonts w:asciiTheme="majorBidi" w:hAnsiTheme="majorBidi" w:cstheme="majorBidi"/>
          <w:b/>
          <w:bCs/>
          <w:snapToGrid w:val="0"/>
          <w:sz w:val="26"/>
          <w:szCs w:val="26"/>
          <w:lang w:eastAsia="en-US"/>
        </w:rPr>
        <w:t>C</w:t>
      </w:r>
      <w:r w:rsidR="0079745E" w:rsidRPr="0060226A">
        <w:rPr>
          <w:rFonts w:asciiTheme="majorBidi" w:hAnsiTheme="majorBidi" w:cstheme="majorBidi"/>
          <w:b/>
          <w:bCs/>
          <w:snapToGrid w:val="0"/>
          <w:sz w:val="26"/>
          <w:szCs w:val="26"/>
          <w:lang w:eastAsia="en-US"/>
        </w:rPr>
        <w:t>)</w:t>
      </w:r>
      <w:r w:rsidRPr="0060226A">
        <w:rPr>
          <w:rFonts w:asciiTheme="majorBidi" w:hAnsiTheme="majorBidi" w:cstheme="majorBidi"/>
          <w:b/>
          <w:bCs/>
          <w:snapToGrid w:val="0"/>
          <w:sz w:val="26"/>
          <w:szCs w:val="26"/>
          <w:lang w:eastAsia="en-US"/>
        </w:rPr>
        <w:t xml:space="preserve"> close to the </w:t>
      </w:r>
      <w:r w:rsidR="00772148" w:rsidRPr="0060226A">
        <w:rPr>
          <w:rFonts w:asciiTheme="majorBidi" w:hAnsiTheme="majorBidi" w:cstheme="majorBidi"/>
          <w:b/>
          <w:bCs/>
          <w:snapToGrid w:val="0"/>
          <w:sz w:val="26"/>
          <w:szCs w:val="26"/>
          <w:lang w:eastAsia="en-US"/>
        </w:rPr>
        <w:t>apartheid w</w:t>
      </w:r>
      <w:r w:rsidRPr="0060226A">
        <w:rPr>
          <w:rFonts w:asciiTheme="majorBidi" w:hAnsiTheme="majorBidi" w:cstheme="majorBidi"/>
          <w:b/>
          <w:bCs/>
          <w:snapToGrid w:val="0"/>
          <w:sz w:val="26"/>
          <w:szCs w:val="26"/>
          <w:lang w:eastAsia="en-US"/>
        </w:rPr>
        <w:t>all and the settlements</w:t>
      </w:r>
    </w:p>
    <w:p w:rsidR="00054720" w:rsidRPr="0060226A" w:rsidRDefault="00054720" w:rsidP="00CC4EAB">
      <w:pPr>
        <w:bidi w:val="0"/>
        <w:jc w:val="both"/>
        <w:rPr>
          <w:rFonts w:asciiTheme="majorBidi" w:hAnsiTheme="majorBidi" w:cstheme="majorBidi"/>
          <w:snapToGrid w:val="0"/>
          <w:color w:val="000000" w:themeColor="text1"/>
          <w:rtl/>
          <w:lang w:eastAsia="en-US"/>
        </w:rPr>
      </w:pPr>
      <w:r w:rsidRPr="0060226A">
        <w:rPr>
          <w:rFonts w:asciiTheme="majorBidi" w:hAnsiTheme="majorBidi" w:cstheme="majorBidi"/>
          <w:snapToGrid w:val="0"/>
          <w:color w:val="000000" w:themeColor="text1"/>
          <w:lang w:eastAsia="en-US"/>
        </w:rPr>
        <w:t xml:space="preserve">The percentage of individuals (15-29 years) in Palestine increased from about 28.2% in 2007 to about 29.2% of the total population in 2017, which is equivalent to about 1.37 million </w:t>
      </w:r>
      <w:r w:rsidR="004800F3" w:rsidRPr="0060226A">
        <w:rPr>
          <w:rFonts w:asciiTheme="majorBidi" w:hAnsiTheme="majorBidi" w:cstheme="majorBidi"/>
          <w:snapToGrid w:val="0"/>
          <w:color w:val="000000" w:themeColor="text1"/>
          <w:lang w:eastAsia="en-US"/>
        </w:rPr>
        <w:t xml:space="preserve">individuals </w:t>
      </w:r>
      <w:r w:rsidRPr="0060226A">
        <w:rPr>
          <w:rFonts w:asciiTheme="majorBidi" w:hAnsiTheme="majorBidi" w:cstheme="majorBidi"/>
          <w:snapToGrid w:val="0"/>
          <w:color w:val="000000" w:themeColor="text1"/>
          <w:lang w:eastAsia="en-US"/>
        </w:rPr>
        <w:t xml:space="preserve">and a </w:t>
      </w:r>
      <w:r w:rsidR="004800F3" w:rsidRPr="0060226A">
        <w:rPr>
          <w:rFonts w:asciiTheme="majorBidi" w:hAnsiTheme="majorBidi" w:cstheme="majorBidi"/>
          <w:snapToGrid w:val="0"/>
          <w:color w:val="000000" w:themeColor="text1"/>
          <w:lang w:eastAsia="en-US"/>
        </w:rPr>
        <w:t>sex</w:t>
      </w:r>
      <w:r w:rsidRPr="0060226A">
        <w:rPr>
          <w:rFonts w:asciiTheme="majorBidi" w:hAnsiTheme="majorBidi" w:cstheme="majorBidi"/>
          <w:snapToGrid w:val="0"/>
          <w:color w:val="000000" w:themeColor="text1"/>
          <w:lang w:eastAsia="en-US"/>
        </w:rPr>
        <w:t xml:space="preserve"> ratio of 104.5 males per 100 females in 2017. At the level of </w:t>
      </w:r>
      <w:r w:rsidR="00CC4EAB" w:rsidRPr="0060226A">
        <w:rPr>
          <w:rFonts w:asciiTheme="majorBidi" w:hAnsiTheme="majorBidi" w:cstheme="majorBidi"/>
          <w:snapToGrid w:val="0"/>
          <w:color w:val="000000" w:themeColor="text1"/>
          <w:lang w:eastAsia="en-US"/>
        </w:rPr>
        <w:t>region</w:t>
      </w:r>
      <w:r w:rsidR="00174F66" w:rsidRPr="0060226A">
        <w:rPr>
          <w:rFonts w:asciiTheme="majorBidi" w:hAnsiTheme="majorBidi" w:cstheme="majorBidi"/>
          <w:snapToGrid w:val="0"/>
          <w:color w:val="000000" w:themeColor="text1"/>
          <w:lang w:eastAsia="en-US"/>
        </w:rPr>
        <w:t>, t</w:t>
      </w:r>
      <w:r w:rsidRPr="0060226A">
        <w:rPr>
          <w:rFonts w:asciiTheme="majorBidi" w:hAnsiTheme="majorBidi" w:cstheme="majorBidi"/>
          <w:snapToGrid w:val="0"/>
          <w:color w:val="000000" w:themeColor="text1"/>
          <w:lang w:eastAsia="en-US"/>
        </w:rPr>
        <w:t>he percentage of individuals (15-29 years) of 2017 in the West Bank was 29.0% compared to 29.5% in Gaza Strip. On the other hand, the data indicate</w:t>
      </w:r>
      <w:r w:rsidR="00E740EE" w:rsidRPr="0060226A">
        <w:rPr>
          <w:rFonts w:asciiTheme="majorBidi" w:hAnsiTheme="majorBidi" w:cstheme="majorBidi"/>
          <w:snapToGrid w:val="0"/>
          <w:color w:val="000000" w:themeColor="text1"/>
          <w:lang w:eastAsia="en-US"/>
        </w:rPr>
        <w:t>d</w:t>
      </w:r>
      <w:r w:rsidRPr="0060226A">
        <w:rPr>
          <w:rFonts w:asciiTheme="majorBidi" w:hAnsiTheme="majorBidi" w:cstheme="majorBidi"/>
          <w:snapToGrid w:val="0"/>
          <w:color w:val="000000" w:themeColor="text1"/>
          <w:lang w:eastAsia="en-US"/>
        </w:rPr>
        <w:t xml:space="preserve"> that the </w:t>
      </w:r>
      <w:r w:rsidR="00E740EE" w:rsidRPr="0060226A">
        <w:rPr>
          <w:rFonts w:asciiTheme="majorBidi" w:hAnsiTheme="majorBidi" w:cstheme="majorBidi"/>
          <w:snapToGrid w:val="0"/>
          <w:color w:val="000000" w:themeColor="text1"/>
          <w:lang w:eastAsia="en-US"/>
        </w:rPr>
        <w:t>percentage</w:t>
      </w:r>
      <w:r w:rsidRPr="0060226A">
        <w:rPr>
          <w:rFonts w:asciiTheme="majorBidi" w:hAnsiTheme="majorBidi" w:cstheme="majorBidi"/>
          <w:snapToGrid w:val="0"/>
          <w:color w:val="000000" w:themeColor="text1"/>
          <w:lang w:eastAsia="en-US"/>
        </w:rPr>
        <w:t xml:space="preserve"> of individuals (15-29 years) in Palestine</w:t>
      </w:r>
      <w:r w:rsidR="00E740EE" w:rsidRPr="0060226A">
        <w:rPr>
          <w:rFonts w:asciiTheme="majorBidi" w:hAnsiTheme="majorBidi" w:cstheme="majorBidi"/>
          <w:snapToGrid w:val="0"/>
          <w:color w:val="000000" w:themeColor="text1"/>
          <w:lang w:eastAsia="en-US"/>
        </w:rPr>
        <w:t>,</w:t>
      </w:r>
      <w:r w:rsidRPr="0060226A">
        <w:rPr>
          <w:rFonts w:asciiTheme="majorBidi" w:hAnsiTheme="majorBidi" w:cstheme="majorBidi"/>
          <w:snapToGrid w:val="0"/>
          <w:color w:val="000000" w:themeColor="text1"/>
          <w:lang w:eastAsia="en-US"/>
        </w:rPr>
        <w:t xml:space="preserve"> who live in areas </w:t>
      </w:r>
      <w:r w:rsidR="002116CB" w:rsidRPr="0060226A">
        <w:rPr>
          <w:rFonts w:asciiTheme="majorBidi" w:hAnsiTheme="majorBidi" w:cstheme="majorBidi"/>
          <w:snapToGrid w:val="0"/>
          <w:color w:val="000000" w:themeColor="text1"/>
          <w:lang w:eastAsia="en-US"/>
        </w:rPr>
        <w:t>(</w:t>
      </w:r>
      <w:r w:rsidRPr="0060226A">
        <w:rPr>
          <w:rFonts w:asciiTheme="majorBidi" w:hAnsiTheme="majorBidi" w:cstheme="majorBidi"/>
          <w:snapToGrid w:val="0"/>
          <w:color w:val="000000" w:themeColor="text1"/>
          <w:lang w:eastAsia="en-US"/>
        </w:rPr>
        <w:t>C</w:t>
      </w:r>
      <w:r w:rsidR="002116CB" w:rsidRPr="0060226A">
        <w:rPr>
          <w:rFonts w:asciiTheme="majorBidi" w:hAnsiTheme="majorBidi" w:cstheme="majorBidi"/>
          <w:snapToGrid w:val="0"/>
          <w:color w:val="000000" w:themeColor="text1"/>
          <w:lang w:eastAsia="en-US"/>
        </w:rPr>
        <w:t>)</w:t>
      </w:r>
      <w:r w:rsidRPr="0060226A">
        <w:rPr>
          <w:rFonts w:asciiTheme="majorBidi" w:hAnsiTheme="majorBidi" w:cstheme="majorBidi"/>
          <w:snapToGrid w:val="0"/>
          <w:color w:val="000000" w:themeColor="text1"/>
          <w:lang w:eastAsia="en-US"/>
        </w:rPr>
        <w:t xml:space="preserve"> close to the </w:t>
      </w:r>
      <w:r w:rsidR="002116CB" w:rsidRPr="0060226A">
        <w:rPr>
          <w:rFonts w:asciiTheme="majorBidi" w:hAnsiTheme="majorBidi" w:cstheme="majorBidi"/>
          <w:snapToGrid w:val="0"/>
          <w:color w:val="000000" w:themeColor="text1"/>
          <w:lang w:eastAsia="en-US"/>
        </w:rPr>
        <w:t xml:space="preserve">apartheid </w:t>
      </w:r>
      <w:r w:rsidRPr="0060226A">
        <w:rPr>
          <w:rFonts w:asciiTheme="majorBidi" w:hAnsiTheme="majorBidi" w:cstheme="majorBidi"/>
          <w:snapToGrid w:val="0"/>
          <w:color w:val="000000" w:themeColor="text1"/>
          <w:lang w:eastAsia="en-US"/>
        </w:rPr>
        <w:t xml:space="preserve">wall and </w:t>
      </w:r>
      <w:r w:rsidR="002116CB" w:rsidRPr="0060226A">
        <w:rPr>
          <w:rFonts w:asciiTheme="majorBidi" w:hAnsiTheme="majorBidi" w:cstheme="majorBidi"/>
          <w:snapToGrid w:val="0"/>
          <w:color w:val="000000" w:themeColor="text1"/>
          <w:lang w:eastAsia="en-US"/>
        </w:rPr>
        <w:t>settlements</w:t>
      </w:r>
      <w:r w:rsidR="00E740EE" w:rsidRPr="0060226A">
        <w:rPr>
          <w:rFonts w:asciiTheme="majorBidi" w:hAnsiTheme="majorBidi" w:cstheme="majorBidi"/>
          <w:snapToGrid w:val="0"/>
          <w:color w:val="000000" w:themeColor="text1"/>
          <w:lang w:eastAsia="en-US"/>
        </w:rPr>
        <w:t>, reached</w:t>
      </w:r>
      <w:r w:rsidRPr="0060226A">
        <w:rPr>
          <w:rFonts w:asciiTheme="majorBidi" w:hAnsiTheme="majorBidi" w:cstheme="majorBidi"/>
          <w:snapToGrid w:val="0"/>
          <w:color w:val="000000" w:themeColor="text1"/>
          <w:lang w:eastAsia="en-US"/>
        </w:rPr>
        <w:t xml:space="preserve"> 54.2%, which is equivalent to 743,160 individuals</w:t>
      </w:r>
      <w:r w:rsidR="007F5C50" w:rsidRPr="0060226A">
        <w:rPr>
          <w:rFonts w:asciiTheme="majorBidi" w:hAnsiTheme="majorBidi" w:cstheme="majorBidi"/>
          <w:snapToGrid w:val="0"/>
          <w:color w:val="000000" w:themeColor="text1"/>
          <w:lang w:eastAsia="en-US"/>
        </w:rPr>
        <w:t xml:space="preserve"> (</w:t>
      </w:r>
      <w:r w:rsidRPr="0060226A">
        <w:rPr>
          <w:rFonts w:asciiTheme="majorBidi" w:hAnsiTheme="majorBidi" w:cstheme="majorBidi"/>
          <w:snapToGrid w:val="0"/>
          <w:color w:val="000000" w:themeColor="text1"/>
          <w:lang w:eastAsia="en-US"/>
        </w:rPr>
        <w:t>380,841 males and 362,319 females</w:t>
      </w:r>
      <w:r w:rsidR="007F5C50" w:rsidRPr="0060226A">
        <w:rPr>
          <w:rFonts w:asciiTheme="majorBidi" w:hAnsiTheme="majorBidi" w:cstheme="majorBidi"/>
          <w:snapToGrid w:val="0"/>
          <w:color w:val="000000" w:themeColor="text1"/>
          <w:lang w:eastAsia="en-US"/>
        </w:rPr>
        <w:t>)</w:t>
      </w:r>
      <w:r w:rsidRPr="0060226A">
        <w:rPr>
          <w:rFonts w:asciiTheme="majorBidi" w:hAnsiTheme="majorBidi" w:cstheme="majorBidi"/>
          <w:snapToGrid w:val="0"/>
          <w:color w:val="000000" w:themeColor="text1"/>
          <w:rtl/>
          <w:lang w:eastAsia="en-US"/>
        </w:rPr>
        <w:t>.</w:t>
      </w:r>
    </w:p>
    <w:p w:rsidR="00A65B1B" w:rsidRPr="0060226A" w:rsidRDefault="00A65B1B" w:rsidP="00C1193D">
      <w:pPr>
        <w:pStyle w:val="Header"/>
        <w:bidi w:val="0"/>
        <w:jc w:val="lowKashida"/>
        <w:rPr>
          <w:rFonts w:asciiTheme="majorBidi" w:hAnsiTheme="majorBidi" w:cstheme="majorBidi"/>
          <w:color w:val="000000" w:themeColor="text1"/>
          <w:sz w:val="16"/>
          <w:szCs w:val="16"/>
        </w:rPr>
      </w:pPr>
    </w:p>
    <w:p w:rsidR="007A4A83" w:rsidRPr="00E410E1" w:rsidRDefault="00DD142F" w:rsidP="00C1193D">
      <w:pPr>
        <w:pStyle w:val="Header"/>
        <w:bidi w:val="0"/>
        <w:jc w:val="lowKashida"/>
        <w:rPr>
          <w:rFonts w:asciiTheme="majorBidi" w:hAnsiTheme="majorBidi" w:cstheme="majorBidi"/>
          <w:color w:val="000000" w:themeColor="text1"/>
          <w:sz w:val="16"/>
          <w:szCs w:val="16"/>
          <w:rtl/>
        </w:rPr>
      </w:pPr>
      <w:r w:rsidRPr="00E410E1">
        <w:rPr>
          <w:rFonts w:asciiTheme="majorBidi" w:hAnsiTheme="majorBidi" w:cstheme="majorBidi" w:hint="cs"/>
          <w:color w:val="000000" w:themeColor="text1"/>
          <w:sz w:val="16"/>
          <w:szCs w:val="16"/>
        </w:rPr>
        <w:t xml:space="preserve"> </w:t>
      </w:r>
    </w:p>
    <w:p w:rsidR="005E27BD" w:rsidRPr="0060226A" w:rsidRDefault="004800F3" w:rsidP="00C1193D">
      <w:pPr>
        <w:pStyle w:val="Header"/>
        <w:bidi w:val="0"/>
        <w:jc w:val="center"/>
        <w:rPr>
          <w:rFonts w:asciiTheme="majorBidi" w:hAnsiTheme="majorBidi" w:cstheme="majorBidi"/>
          <w:b/>
          <w:bCs/>
          <w:snapToGrid/>
          <w:sz w:val="26"/>
          <w:szCs w:val="26"/>
        </w:rPr>
      </w:pPr>
      <w:r w:rsidRPr="0060226A">
        <w:rPr>
          <w:rFonts w:asciiTheme="majorBidi" w:hAnsiTheme="majorBidi" w:cstheme="majorBidi"/>
          <w:b/>
          <w:bCs/>
          <w:snapToGrid/>
          <w:sz w:val="26"/>
          <w:szCs w:val="26"/>
        </w:rPr>
        <w:t>Population Pyramid in Palestine</w:t>
      </w:r>
      <w:r w:rsidR="005E27BD" w:rsidRPr="0060226A">
        <w:rPr>
          <w:rFonts w:asciiTheme="majorBidi" w:hAnsiTheme="majorBidi" w:cstheme="majorBidi"/>
          <w:b/>
          <w:bCs/>
          <w:snapToGrid/>
          <w:sz w:val="26"/>
          <w:szCs w:val="26"/>
        </w:rPr>
        <w:t>, 2017</w:t>
      </w:r>
    </w:p>
    <w:p w:rsidR="004800F3" w:rsidRPr="0060226A" w:rsidRDefault="004800F3" w:rsidP="004800F3">
      <w:pPr>
        <w:pStyle w:val="Header"/>
        <w:bidi w:val="0"/>
        <w:jc w:val="center"/>
        <w:rPr>
          <w:rFonts w:asciiTheme="majorBidi" w:hAnsiTheme="majorBidi" w:cstheme="majorBidi"/>
          <w:b/>
          <w:bCs/>
          <w:snapToGrid/>
          <w:sz w:val="16"/>
          <w:szCs w:val="16"/>
        </w:rPr>
      </w:pPr>
    </w:p>
    <w:tbl>
      <w:tblPr>
        <w:tblStyle w:val="TableGrid"/>
        <w:bidiVisual/>
        <w:tblW w:w="0" w:type="auto"/>
        <w:tblInd w:w="1523" w:type="dxa"/>
        <w:tblLayout w:type="fixed"/>
        <w:tblLook w:val="04A0"/>
      </w:tblPr>
      <w:tblGrid>
        <w:gridCol w:w="8222"/>
      </w:tblGrid>
      <w:tr w:rsidR="00766571" w:rsidRPr="0060226A" w:rsidTr="00BB7B2B">
        <w:tc>
          <w:tcPr>
            <w:tcW w:w="8222" w:type="dxa"/>
          </w:tcPr>
          <w:p w:rsidR="00766571" w:rsidRPr="0060226A" w:rsidRDefault="00766571" w:rsidP="00C1193D">
            <w:pPr>
              <w:pStyle w:val="Header"/>
              <w:bidi w:val="0"/>
              <w:jc w:val="center"/>
              <w:rPr>
                <w:rFonts w:asciiTheme="majorBidi" w:hAnsiTheme="majorBidi" w:cstheme="majorBidi"/>
                <w:b/>
                <w:bCs/>
                <w:color w:val="000000" w:themeColor="text1"/>
                <w:sz w:val="24"/>
                <w:szCs w:val="24"/>
                <w:rtl/>
              </w:rPr>
            </w:pPr>
            <w:r w:rsidRPr="0060226A">
              <w:rPr>
                <w:rFonts w:asciiTheme="majorBidi" w:hAnsiTheme="majorBidi" w:cstheme="majorBidi"/>
                <w:b/>
                <w:bCs/>
                <w:noProof/>
                <w:color w:val="000000" w:themeColor="text1"/>
                <w:sz w:val="24"/>
                <w:szCs w:val="24"/>
                <w:rtl/>
              </w:rPr>
              <w:drawing>
                <wp:inline distT="0" distB="0" distL="0" distR="0">
                  <wp:extent cx="5066888" cy="2973859"/>
                  <wp:effectExtent l="19050" t="0" r="412" b="0"/>
                  <wp:docPr id="2"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766571" w:rsidRPr="0060226A" w:rsidRDefault="00766571" w:rsidP="00C1193D">
      <w:pPr>
        <w:pStyle w:val="Header"/>
        <w:bidi w:val="0"/>
        <w:jc w:val="lowKashida"/>
        <w:rPr>
          <w:rFonts w:asciiTheme="majorBidi" w:hAnsiTheme="majorBidi" w:cstheme="majorBidi"/>
          <w:b/>
          <w:bCs/>
          <w:color w:val="000000" w:themeColor="text1"/>
          <w:sz w:val="16"/>
          <w:szCs w:val="16"/>
        </w:rPr>
      </w:pPr>
    </w:p>
    <w:p w:rsidR="005E27BD" w:rsidRPr="0060226A" w:rsidRDefault="005E27BD" w:rsidP="00C1193D">
      <w:pPr>
        <w:bidi w:val="0"/>
        <w:jc w:val="both"/>
        <w:rPr>
          <w:rFonts w:asciiTheme="majorBidi" w:hAnsiTheme="majorBidi" w:cstheme="majorBidi"/>
          <w:b/>
          <w:bCs/>
          <w:snapToGrid w:val="0"/>
          <w:sz w:val="26"/>
          <w:szCs w:val="26"/>
          <w:lang w:eastAsia="en-US"/>
        </w:rPr>
      </w:pPr>
      <w:bookmarkStart w:id="1" w:name="OLE_LINK1"/>
      <w:bookmarkStart w:id="2" w:name="OLE_LINK2"/>
      <w:r w:rsidRPr="0060226A">
        <w:rPr>
          <w:rFonts w:asciiTheme="majorBidi" w:hAnsiTheme="majorBidi" w:cstheme="majorBidi"/>
          <w:b/>
          <w:bCs/>
          <w:snapToGrid w:val="0"/>
          <w:sz w:val="26"/>
          <w:szCs w:val="26"/>
          <w:lang w:eastAsia="en-US"/>
        </w:rPr>
        <w:t>High percentage of households headed by youth during the past ten years</w:t>
      </w:r>
    </w:p>
    <w:p w:rsidR="005E27BD" w:rsidRPr="0060226A" w:rsidRDefault="005E27BD" w:rsidP="004800F3">
      <w:pPr>
        <w:bidi w:val="0"/>
        <w:jc w:val="both"/>
        <w:rPr>
          <w:rFonts w:asciiTheme="majorBidi" w:hAnsiTheme="majorBidi" w:cstheme="majorBidi"/>
          <w:snapToGrid w:val="0"/>
          <w:color w:val="000000" w:themeColor="text1"/>
          <w:rtl/>
          <w:lang w:eastAsia="en-US"/>
        </w:rPr>
      </w:pPr>
      <w:r w:rsidRPr="0060226A">
        <w:rPr>
          <w:rFonts w:asciiTheme="majorBidi" w:hAnsiTheme="majorBidi" w:cstheme="majorBidi"/>
          <w:snapToGrid w:val="0"/>
          <w:color w:val="000000" w:themeColor="text1"/>
          <w:lang w:eastAsia="en-US"/>
        </w:rPr>
        <w:t xml:space="preserve">According to the </w:t>
      </w:r>
      <w:r w:rsidR="000611B5" w:rsidRPr="0060226A">
        <w:rPr>
          <w:rFonts w:asciiTheme="majorBidi" w:hAnsiTheme="majorBidi" w:cstheme="majorBidi"/>
          <w:snapToGrid w:val="0"/>
          <w:color w:val="000000" w:themeColor="text1"/>
          <w:lang w:eastAsia="en-US"/>
        </w:rPr>
        <w:t xml:space="preserve">data of the </w:t>
      </w:r>
      <w:r w:rsidRPr="0060226A">
        <w:rPr>
          <w:rFonts w:asciiTheme="majorBidi" w:hAnsiTheme="majorBidi" w:cstheme="majorBidi"/>
          <w:snapToGrid w:val="0"/>
          <w:color w:val="000000" w:themeColor="text1"/>
          <w:lang w:eastAsia="en-US"/>
        </w:rPr>
        <w:t xml:space="preserve">Population, Housing and Establishments </w:t>
      </w:r>
      <w:r w:rsidR="000611B5" w:rsidRPr="0060226A">
        <w:rPr>
          <w:rFonts w:asciiTheme="majorBidi" w:hAnsiTheme="majorBidi" w:cstheme="majorBidi"/>
          <w:snapToGrid w:val="0"/>
          <w:color w:val="000000" w:themeColor="text1"/>
          <w:lang w:eastAsia="en-US"/>
        </w:rPr>
        <w:t xml:space="preserve">Census </w:t>
      </w:r>
      <w:r w:rsidRPr="0060226A">
        <w:rPr>
          <w:rFonts w:asciiTheme="majorBidi" w:hAnsiTheme="majorBidi" w:cstheme="majorBidi"/>
          <w:snapToGrid w:val="0"/>
          <w:color w:val="000000" w:themeColor="text1"/>
          <w:lang w:eastAsia="en-US"/>
        </w:rPr>
        <w:t xml:space="preserve">2017, the percentage of households headed by </w:t>
      </w:r>
      <w:r w:rsidR="004800F3" w:rsidRPr="0060226A">
        <w:rPr>
          <w:rFonts w:asciiTheme="majorBidi" w:hAnsiTheme="majorBidi" w:cstheme="majorBidi"/>
          <w:snapToGrid w:val="0"/>
          <w:color w:val="000000" w:themeColor="text1"/>
          <w:lang w:eastAsia="en-US"/>
        </w:rPr>
        <w:t>youth</w:t>
      </w:r>
      <w:r w:rsidR="004800F3" w:rsidRPr="0060226A">
        <w:rPr>
          <w:rFonts w:asciiTheme="majorBidi" w:hAnsiTheme="majorBidi" w:cstheme="majorBidi"/>
          <w:b/>
          <w:bCs/>
          <w:snapToGrid w:val="0"/>
          <w:color w:val="000000" w:themeColor="text1"/>
          <w:lang w:eastAsia="en-US"/>
        </w:rPr>
        <w:t xml:space="preserve"> </w:t>
      </w:r>
      <w:r w:rsidRPr="0060226A">
        <w:rPr>
          <w:rFonts w:asciiTheme="majorBidi" w:hAnsiTheme="majorBidi" w:cstheme="majorBidi"/>
          <w:snapToGrid w:val="0"/>
          <w:color w:val="000000" w:themeColor="text1"/>
          <w:lang w:eastAsia="en-US"/>
        </w:rPr>
        <w:t xml:space="preserve">(15-29 years) </w:t>
      </w:r>
      <w:r w:rsidR="00D24CD1" w:rsidRPr="0060226A">
        <w:rPr>
          <w:rFonts w:asciiTheme="majorBidi" w:hAnsiTheme="majorBidi" w:cstheme="majorBidi"/>
          <w:snapToGrid w:val="0"/>
          <w:color w:val="000000" w:themeColor="text1"/>
          <w:lang w:eastAsia="en-US"/>
        </w:rPr>
        <w:t>in Palestine was</w:t>
      </w:r>
      <w:r w:rsidRPr="0060226A">
        <w:rPr>
          <w:rFonts w:asciiTheme="majorBidi" w:hAnsiTheme="majorBidi" w:cstheme="majorBidi"/>
          <w:snapToGrid w:val="0"/>
          <w:color w:val="000000" w:themeColor="text1"/>
          <w:lang w:eastAsia="en-US"/>
        </w:rPr>
        <w:t xml:space="preserve"> 14.9% </w:t>
      </w:r>
      <w:r w:rsidR="00D24CD1" w:rsidRPr="0060226A">
        <w:rPr>
          <w:rFonts w:asciiTheme="majorBidi" w:hAnsiTheme="majorBidi" w:cstheme="majorBidi"/>
          <w:snapToGrid w:val="0"/>
          <w:color w:val="000000" w:themeColor="text1"/>
          <w:lang w:eastAsia="en-US"/>
        </w:rPr>
        <w:t>(</w:t>
      </w:r>
      <w:r w:rsidRPr="0060226A">
        <w:rPr>
          <w:rFonts w:asciiTheme="majorBidi" w:hAnsiTheme="majorBidi" w:cstheme="majorBidi"/>
          <w:snapToGrid w:val="0"/>
          <w:color w:val="000000" w:themeColor="text1"/>
          <w:lang w:eastAsia="en-US"/>
        </w:rPr>
        <w:t>13.9% in the West Bank and 16.5% in Gaza Strip</w:t>
      </w:r>
      <w:r w:rsidR="00D24CD1" w:rsidRPr="0060226A">
        <w:rPr>
          <w:rFonts w:asciiTheme="majorBidi" w:hAnsiTheme="majorBidi" w:cstheme="majorBidi"/>
          <w:snapToGrid w:val="0"/>
          <w:color w:val="000000" w:themeColor="text1"/>
          <w:lang w:eastAsia="en-US"/>
        </w:rPr>
        <w:t>)</w:t>
      </w:r>
      <w:r w:rsidRPr="0060226A">
        <w:rPr>
          <w:rFonts w:asciiTheme="majorBidi" w:hAnsiTheme="majorBidi" w:cstheme="majorBidi"/>
          <w:snapToGrid w:val="0"/>
          <w:color w:val="000000" w:themeColor="text1"/>
          <w:lang w:eastAsia="en-US"/>
        </w:rPr>
        <w:t xml:space="preserve">. While in 2007 this percentage was 9.2% in Palestine </w:t>
      </w:r>
      <w:r w:rsidR="00FB0438" w:rsidRPr="0060226A">
        <w:rPr>
          <w:rFonts w:asciiTheme="majorBidi" w:hAnsiTheme="majorBidi" w:cstheme="majorBidi"/>
          <w:snapToGrid w:val="0"/>
          <w:color w:val="000000" w:themeColor="text1"/>
          <w:lang w:eastAsia="en-US"/>
        </w:rPr>
        <w:t>(</w:t>
      </w:r>
      <w:r w:rsidRPr="0060226A">
        <w:rPr>
          <w:rFonts w:asciiTheme="majorBidi" w:hAnsiTheme="majorBidi" w:cstheme="majorBidi"/>
          <w:snapToGrid w:val="0"/>
          <w:color w:val="000000" w:themeColor="text1"/>
          <w:lang w:eastAsia="en-US"/>
        </w:rPr>
        <w:t>9.9% in the West Bank and 8.1% in Gaza Strip</w:t>
      </w:r>
      <w:r w:rsidR="00FB0438" w:rsidRPr="0060226A">
        <w:rPr>
          <w:rFonts w:asciiTheme="majorBidi" w:hAnsiTheme="majorBidi" w:cstheme="majorBidi"/>
          <w:snapToGrid w:val="0"/>
          <w:color w:val="000000" w:themeColor="text1"/>
          <w:lang w:eastAsia="en-US"/>
        </w:rPr>
        <w:t>)</w:t>
      </w:r>
      <w:r w:rsidRPr="0060226A">
        <w:rPr>
          <w:rFonts w:asciiTheme="majorBidi" w:hAnsiTheme="majorBidi" w:cstheme="majorBidi"/>
          <w:snapToGrid w:val="0"/>
          <w:color w:val="000000" w:themeColor="text1"/>
          <w:lang w:eastAsia="en-US"/>
        </w:rPr>
        <w:t xml:space="preserve">. Which </w:t>
      </w:r>
      <w:r w:rsidR="00E03BFA" w:rsidRPr="0060226A">
        <w:rPr>
          <w:rFonts w:asciiTheme="majorBidi" w:hAnsiTheme="majorBidi" w:cstheme="majorBidi"/>
          <w:snapToGrid w:val="0"/>
          <w:color w:val="000000" w:themeColor="text1"/>
          <w:lang w:eastAsia="en-US"/>
        </w:rPr>
        <w:t>indicates</w:t>
      </w:r>
      <w:r w:rsidR="00F12296" w:rsidRPr="0060226A">
        <w:rPr>
          <w:rFonts w:asciiTheme="majorBidi" w:hAnsiTheme="majorBidi" w:cstheme="majorBidi"/>
          <w:snapToGrid w:val="0"/>
          <w:color w:val="000000" w:themeColor="text1"/>
          <w:lang w:eastAsia="en-US"/>
        </w:rPr>
        <w:t xml:space="preserve"> an</w:t>
      </w:r>
      <w:r w:rsidR="00E03BFA" w:rsidRPr="0060226A">
        <w:rPr>
          <w:rFonts w:asciiTheme="majorBidi" w:hAnsiTheme="majorBidi" w:cstheme="majorBidi"/>
          <w:snapToGrid w:val="0"/>
          <w:color w:val="000000" w:themeColor="text1"/>
          <w:lang w:eastAsia="en-US"/>
        </w:rPr>
        <w:t xml:space="preserve"> </w:t>
      </w:r>
      <w:r w:rsidRPr="0060226A">
        <w:rPr>
          <w:rFonts w:asciiTheme="majorBidi" w:hAnsiTheme="majorBidi" w:cstheme="majorBidi"/>
          <w:snapToGrid w:val="0"/>
          <w:color w:val="000000" w:themeColor="text1"/>
          <w:lang w:eastAsia="en-US"/>
        </w:rPr>
        <w:t xml:space="preserve">increase </w:t>
      </w:r>
      <w:r w:rsidR="00F12296" w:rsidRPr="0060226A">
        <w:rPr>
          <w:rFonts w:asciiTheme="majorBidi" w:hAnsiTheme="majorBidi" w:cstheme="majorBidi"/>
          <w:snapToGrid w:val="0"/>
          <w:color w:val="000000" w:themeColor="text1"/>
          <w:lang w:eastAsia="en-US"/>
        </w:rPr>
        <w:t>in</w:t>
      </w:r>
      <w:r w:rsidRPr="0060226A">
        <w:rPr>
          <w:rFonts w:asciiTheme="majorBidi" w:hAnsiTheme="majorBidi" w:cstheme="majorBidi"/>
          <w:snapToGrid w:val="0"/>
          <w:color w:val="000000" w:themeColor="text1"/>
          <w:lang w:eastAsia="en-US"/>
        </w:rPr>
        <w:t xml:space="preserve"> the social and economic challenges </w:t>
      </w:r>
      <w:r w:rsidR="00F12296" w:rsidRPr="0060226A">
        <w:rPr>
          <w:rFonts w:asciiTheme="majorBidi" w:hAnsiTheme="majorBidi" w:cstheme="majorBidi"/>
          <w:snapToGrid w:val="0"/>
          <w:color w:val="000000" w:themeColor="text1"/>
          <w:lang w:eastAsia="en-US"/>
        </w:rPr>
        <w:t>that face</w:t>
      </w:r>
      <w:r w:rsidRPr="0060226A">
        <w:rPr>
          <w:rFonts w:asciiTheme="majorBidi" w:hAnsiTheme="majorBidi" w:cstheme="majorBidi"/>
          <w:snapToGrid w:val="0"/>
          <w:color w:val="000000" w:themeColor="text1"/>
          <w:lang w:eastAsia="en-US"/>
        </w:rPr>
        <w:t xml:space="preserve"> </w:t>
      </w:r>
      <w:r w:rsidR="00734138" w:rsidRPr="0060226A">
        <w:rPr>
          <w:rFonts w:asciiTheme="majorBidi" w:hAnsiTheme="majorBidi" w:cstheme="majorBidi"/>
          <w:snapToGrid w:val="0"/>
          <w:color w:val="000000" w:themeColor="text1"/>
          <w:lang w:eastAsia="en-US"/>
        </w:rPr>
        <w:t>the youth</w:t>
      </w:r>
      <w:r w:rsidRPr="0060226A">
        <w:rPr>
          <w:rFonts w:asciiTheme="majorBidi" w:hAnsiTheme="majorBidi" w:cstheme="majorBidi"/>
          <w:snapToGrid w:val="0"/>
          <w:color w:val="000000" w:themeColor="text1"/>
          <w:rtl/>
          <w:lang w:eastAsia="en-US"/>
        </w:rPr>
        <w:t>.</w:t>
      </w:r>
    </w:p>
    <w:p w:rsidR="00690B3D" w:rsidRPr="0060226A" w:rsidRDefault="00690B3D" w:rsidP="00C1193D">
      <w:pPr>
        <w:bidi w:val="0"/>
        <w:jc w:val="both"/>
        <w:rPr>
          <w:rFonts w:asciiTheme="majorBidi" w:hAnsiTheme="majorBidi" w:cstheme="majorBidi"/>
          <w:snapToGrid w:val="0"/>
          <w:color w:val="000000" w:themeColor="text1"/>
          <w:sz w:val="16"/>
          <w:szCs w:val="16"/>
          <w:lang w:eastAsia="en-US"/>
        </w:rPr>
      </w:pPr>
    </w:p>
    <w:p w:rsidR="005E27BD" w:rsidRPr="0060226A" w:rsidRDefault="005E27BD" w:rsidP="00C1193D">
      <w:pPr>
        <w:bidi w:val="0"/>
        <w:jc w:val="both"/>
        <w:rPr>
          <w:rFonts w:asciiTheme="majorBidi" w:hAnsiTheme="majorBidi" w:cstheme="majorBidi"/>
          <w:b/>
          <w:bCs/>
          <w:snapToGrid w:val="0"/>
          <w:sz w:val="26"/>
          <w:szCs w:val="26"/>
          <w:lang w:eastAsia="en-US"/>
        </w:rPr>
      </w:pPr>
      <w:r w:rsidRPr="0060226A">
        <w:rPr>
          <w:rFonts w:asciiTheme="majorBidi" w:hAnsiTheme="majorBidi" w:cstheme="majorBidi"/>
          <w:b/>
          <w:bCs/>
          <w:snapToGrid w:val="0"/>
          <w:sz w:val="26"/>
          <w:szCs w:val="26"/>
          <w:lang w:eastAsia="en-US"/>
        </w:rPr>
        <w:t xml:space="preserve">A significant </w:t>
      </w:r>
      <w:r w:rsidR="00C97460" w:rsidRPr="0060226A">
        <w:rPr>
          <w:rFonts w:asciiTheme="majorBidi" w:hAnsiTheme="majorBidi" w:cstheme="majorBidi"/>
          <w:b/>
          <w:bCs/>
          <w:snapToGrid w:val="0"/>
          <w:sz w:val="26"/>
          <w:szCs w:val="26"/>
          <w:lang w:eastAsia="en-US"/>
        </w:rPr>
        <w:t>decrease</w:t>
      </w:r>
      <w:r w:rsidRPr="0060226A">
        <w:rPr>
          <w:rFonts w:asciiTheme="majorBidi" w:hAnsiTheme="majorBidi" w:cstheme="majorBidi"/>
          <w:b/>
          <w:bCs/>
          <w:snapToGrid w:val="0"/>
          <w:sz w:val="26"/>
          <w:szCs w:val="26"/>
          <w:lang w:eastAsia="en-US"/>
        </w:rPr>
        <w:t xml:space="preserve"> in the rate of early marriage among females</w:t>
      </w:r>
    </w:p>
    <w:p w:rsidR="00406DE7" w:rsidRPr="0060226A" w:rsidRDefault="005E27BD" w:rsidP="004800F3">
      <w:pPr>
        <w:bidi w:val="0"/>
        <w:jc w:val="both"/>
        <w:rPr>
          <w:rFonts w:asciiTheme="majorBidi" w:hAnsiTheme="majorBidi" w:cstheme="majorBidi"/>
          <w:color w:val="000000" w:themeColor="text1"/>
          <w:rtl/>
        </w:rPr>
      </w:pPr>
      <w:r w:rsidRPr="0060226A">
        <w:rPr>
          <w:rFonts w:asciiTheme="majorBidi" w:hAnsiTheme="majorBidi" w:cstheme="majorBidi"/>
          <w:snapToGrid w:val="0"/>
          <w:color w:val="000000" w:themeColor="text1"/>
          <w:lang w:eastAsia="en-US"/>
        </w:rPr>
        <w:t xml:space="preserve">The results of the Population, Housing and Establishments </w:t>
      </w:r>
      <w:r w:rsidR="00C97460" w:rsidRPr="0060226A">
        <w:rPr>
          <w:rFonts w:asciiTheme="majorBidi" w:hAnsiTheme="majorBidi" w:cstheme="majorBidi"/>
          <w:snapToGrid w:val="0"/>
          <w:color w:val="000000" w:themeColor="text1"/>
          <w:lang w:eastAsia="en-US"/>
        </w:rPr>
        <w:t xml:space="preserve">Census </w:t>
      </w:r>
      <w:r w:rsidRPr="0060226A">
        <w:rPr>
          <w:rFonts w:asciiTheme="majorBidi" w:hAnsiTheme="majorBidi" w:cstheme="majorBidi"/>
          <w:snapToGrid w:val="0"/>
          <w:color w:val="000000" w:themeColor="text1"/>
          <w:lang w:eastAsia="en-US"/>
        </w:rPr>
        <w:t>2017 indicate</w:t>
      </w:r>
      <w:r w:rsidR="00C97460" w:rsidRPr="0060226A">
        <w:rPr>
          <w:rFonts w:asciiTheme="majorBidi" w:hAnsiTheme="majorBidi" w:cstheme="majorBidi"/>
          <w:snapToGrid w:val="0"/>
          <w:color w:val="000000" w:themeColor="text1"/>
          <w:lang w:eastAsia="en-US"/>
        </w:rPr>
        <w:t>d</w:t>
      </w:r>
      <w:r w:rsidRPr="0060226A">
        <w:rPr>
          <w:rFonts w:asciiTheme="majorBidi" w:hAnsiTheme="majorBidi" w:cstheme="majorBidi"/>
          <w:snapToGrid w:val="0"/>
          <w:color w:val="000000" w:themeColor="text1"/>
          <w:lang w:eastAsia="en-US"/>
        </w:rPr>
        <w:t xml:space="preserve"> that the </w:t>
      </w:r>
      <w:r w:rsidR="00C97460" w:rsidRPr="0060226A">
        <w:rPr>
          <w:rFonts w:asciiTheme="majorBidi" w:hAnsiTheme="majorBidi" w:cstheme="majorBidi"/>
          <w:snapToGrid w:val="0"/>
          <w:color w:val="000000" w:themeColor="text1"/>
          <w:lang w:eastAsia="en-US"/>
        </w:rPr>
        <w:t>percentage</w:t>
      </w:r>
      <w:r w:rsidRPr="0060226A">
        <w:rPr>
          <w:rFonts w:asciiTheme="majorBidi" w:hAnsiTheme="majorBidi" w:cstheme="majorBidi"/>
          <w:snapToGrid w:val="0"/>
          <w:color w:val="000000" w:themeColor="text1"/>
          <w:lang w:eastAsia="en-US"/>
        </w:rPr>
        <w:t xml:space="preserve"> of women </w:t>
      </w:r>
      <w:r w:rsidR="00B61B87" w:rsidRPr="0060226A">
        <w:rPr>
          <w:rFonts w:asciiTheme="majorBidi" w:hAnsiTheme="majorBidi" w:cstheme="majorBidi"/>
          <w:snapToGrid w:val="0"/>
          <w:color w:val="000000" w:themeColor="text1"/>
          <w:lang w:eastAsia="en-US"/>
        </w:rPr>
        <w:t>(</w:t>
      </w:r>
      <w:r w:rsidRPr="0060226A">
        <w:rPr>
          <w:rFonts w:asciiTheme="majorBidi" w:hAnsiTheme="majorBidi" w:cstheme="majorBidi"/>
          <w:snapToGrid w:val="0"/>
          <w:color w:val="000000" w:themeColor="text1"/>
          <w:lang w:eastAsia="en-US"/>
        </w:rPr>
        <w:t>20-24 years</w:t>
      </w:r>
      <w:r w:rsidR="00B61B87" w:rsidRPr="0060226A">
        <w:rPr>
          <w:rFonts w:asciiTheme="majorBidi" w:hAnsiTheme="majorBidi" w:cstheme="majorBidi"/>
          <w:snapToGrid w:val="0"/>
          <w:color w:val="000000" w:themeColor="text1"/>
          <w:lang w:eastAsia="en-US"/>
        </w:rPr>
        <w:t>)</w:t>
      </w:r>
      <w:r w:rsidRPr="0060226A">
        <w:rPr>
          <w:rFonts w:asciiTheme="majorBidi" w:hAnsiTheme="majorBidi" w:cstheme="majorBidi"/>
          <w:snapToGrid w:val="0"/>
          <w:color w:val="000000" w:themeColor="text1"/>
          <w:lang w:eastAsia="en-US"/>
        </w:rPr>
        <w:t xml:space="preserve"> who </w:t>
      </w:r>
      <w:r w:rsidR="00B61B87" w:rsidRPr="0060226A">
        <w:rPr>
          <w:rFonts w:asciiTheme="majorBidi" w:hAnsiTheme="majorBidi" w:cstheme="majorBidi"/>
          <w:snapToGrid w:val="0"/>
          <w:color w:val="000000" w:themeColor="text1"/>
          <w:lang w:eastAsia="en-US"/>
        </w:rPr>
        <w:t xml:space="preserve">were </w:t>
      </w:r>
      <w:r w:rsidRPr="0060226A">
        <w:rPr>
          <w:rFonts w:asciiTheme="majorBidi" w:hAnsiTheme="majorBidi" w:cstheme="majorBidi"/>
          <w:snapToGrid w:val="0"/>
          <w:color w:val="000000" w:themeColor="text1"/>
          <w:lang w:eastAsia="en-US"/>
        </w:rPr>
        <w:t xml:space="preserve">married before the age of 18 </w:t>
      </w:r>
      <w:r w:rsidR="004800F3" w:rsidRPr="0060226A">
        <w:rPr>
          <w:rFonts w:asciiTheme="majorBidi" w:hAnsiTheme="majorBidi" w:cstheme="majorBidi"/>
          <w:snapToGrid w:val="0"/>
          <w:color w:val="000000" w:themeColor="text1"/>
          <w:lang w:eastAsia="en-US"/>
        </w:rPr>
        <w:t xml:space="preserve">year </w:t>
      </w:r>
      <w:r w:rsidR="00B61B87" w:rsidRPr="0060226A">
        <w:rPr>
          <w:rFonts w:asciiTheme="majorBidi" w:hAnsiTheme="majorBidi" w:cstheme="majorBidi"/>
          <w:snapToGrid w:val="0"/>
          <w:color w:val="000000" w:themeColor="text1"/>
          <w:lang w:eastAsia="en-US"/>
        </w:rPr>
        <w:t xml:space="preserve">in Palestine </w:t>
      </w:r>
      <w:r w:rsidRPr="0060226A">
        <w:rPr>
          <w:rFonts w:asciiTheme="majorBidi" w:hAnsiTheme="majorBidi" w:cstheme="majorBidi"/>
          <w:snapToGrid w:val="0"/>
          <w:color w:val="000000" w:themeColor="text1"/>
          <w:lang w:eastAsia="en-US"/>
        </w:rPr>
        <w:t>reached 10.8%</w:t>
      </w:r>
      <w:r w:rsidR="00B61B87" w:rsidRPr="0060226A">
        <w:rPr>
          <w:rFonts w:asciiTheme="majorBidi" w:hAnsiTheme="majorBidi" w:cstheme="majorBidi"/>
          <w:snapToGrid w:val="0"/>
          <w:color w:val="000000" w:themeColor="text1"/>
          <w:lang w:eastAsia="en-US"/>
        </w:rPr>
        <w:t xml:space="preserve"> (</w:t>
      </w:r>
      <w:r w:rsidRPr="0060226A">
        <w:rPr>
          <w:rFonts w:asciiTheme="majorBidi" w:hAnsiTheme="majorBidi" w:cstheme="majorBidi"/>
          <w:snapToGrid w:val="0"/>
          <w:color w:val="000000" w:themeColor="text1"/>
          <w:lang w:eastAsia="en-US"/>
        </w:rPr>
        <w:t>8.5% in the West Bank and 13.8% in Gaza Strip</w:t>
      </w:r>
      <w:r w:rsidR="00B61B87" w:rsidRPr="0060226A">
        <w:rPr>
          <w:rFonts w:asciiTheme="majorBidi" w:hAnsiTheme="majorBidi" w:cstheme="majorBidi"/>
          <w:snapToGrid w:val="0"/>
          <w:color w:val="000000" w:themeColor="text1"/>
          <w:lang w:eastAsia="en-US"/>
        </w:rPr>
        <w:t>)</w:t>
      </w:r>
      <w:r w:rsidRPr="0060226A">
        <w:rPr>
          <w:rFonts w:asciiTheme="majorBidi" w:hAnsiTheme="majorBidi" w:cstheme="majorBidi"/>
          <w:snapToGrid w:val="0"/>
          <w:color w:val="000000" w:themeColor="text1"/>
          <w:lang w:eastAsia="en-US"/>
        </w:rPr>
        <w:t xml:space="preserve">. In 2007, this percentage was 18.1% in Palestine </w:t>
      </w:r>
      <w:r w:rsidR="00B61B87" w:rsidRPr="0060226A">
        <w:rPr>
          <w:rFonts w:asciiTheme="majorBidi" w:hAnsiTheme="majorBidi" w:cstheme="majorBidi"/>
          <w:snapToGrid w:val="0"/>
          <w:color w:val="000000" w:themeColor="text1"/>
          <w:lang w:eastAsia="en-US"/>
        </w:rPr>
        <w:t>(</w:t>
      </w:r>
      <w:r w:rsidRPr="0060226A">
        <w:rPr>
          <w:rFonts w:asciiTheme="majorBidi" w:hAnsiTheme="majorBidi" w:cstheme="majorBidi"/>
          <w:snapToGrid w:val="0"/>
          <w:color w:val="000000" w:themeColor="text1"/>
          <w:lang w:eastAsia="en-US"/>
        </w:rPr>
        <w:t>17.0% in the West Bank and 19.7% in Gaza Strip</w:t>
      </w:r>
      <w:r w:rsidR="00B61B87" w:rsidRPr="0060226A">
        <w:rPr>
          <w:rFonts w:asciiTheme="majorBidi" w:hAnsiTheme="majorBidi" w:cstheme="majorBidi"/>
          <w:snapToGrid w:val="0"/>
          <w:color w:val="000000" w:themeColor="text1"/>
          <w:lang w:eastAsia="en-US"/>
        </w:rPr>
        <w:t>)</w:t>
      </w:r>
      <w:r w:rsidRPr="0060226A">
        <w:rPr>
          <w:rFonts w:asciiTheme="majorBidi" w:hAnsiTheme="majorBidi" w:cstheme="majorBidi"/>
          <w:snapToGrid w:val="0"/>
          <w:color w:val="000000" w:themeColor="text1"/>
          <w:lang w:eastAsia="en-US"/>
        </w:rPr>
        <w:t>. In 1997, th</w:t>
      </w:r>
      <w:r w:rsidR="0037429F" w:rsidRPr="0060226A">
        <w:rPr>
          <w:rFonts w:asciiTheme="majorBidi" w:hAnsiTheme="majorBidi" w:cstheme="majorBidi"/>
          <w:snapToGrid w:val="0"/>
          <w:color w:val="000000" w:themeColor="text1"/>
          <w:lang w:eastAsia="en-US"/>
        </w:rPr>
        <w:t>e</w:t>
      </w:r>
      <w:r w:rsidRPr="0060226A">
        <w:rPr>
          <w:rFonts w:asciiTheme="majorBidi" w:hAnsiTheme="majorBidi" w:cstheme="majorBidi"/>
          <w:snapToGrid w:val="0"/>
          <w:color w:val="000000" w:themeColor="text1"/>
          <w:lang w:eastAsia="en-US"/>
        </w:rPr>
        <w:t xml:space="preserve"> percentage reached 30.5% in Palestine</w:t>
      </w:r>
      <w:r w:rsidR="0037429F" w:rsidRPr="0060226A">
        <w:rPr>
          <w:rFonts w:asciiTheme="majorBidi" w:hAnsiTheme="majorBidi" w:cstheme="majorBidi"/>
          <w:snapToGrid w:val="0"/>
          <w:color w:val="000000" w:themeColor="text1"/>
          <w:lang w:eastAsia="en-US"/>
        </w:rPr>
        <w:t>.</w:t>
      </w:r>
      <w:r w:rsidR="00575D0F" w:rsidRPr="0060226A">
        <w:rPr>
          <w:rFonts w:asciiTheme="majorBidi" w:hAnsiTheme="majorBidi" w:cstheme="majorBidi"/>
          <w:snapToGrid w:val="0"/>
          <w:color w:val="000000" w:themeColor="text1"/>
          <w:rtl/>
          <w:lang w:eastAsia="en-US"/>
        </w:rPr>
        <w:t xml:space="preserve"> </w:t>
      </w:r>
    </w:p>
    <w:p w:rsidR="00C501CB" w:rsidRPr="0060226A" w:rsidRDefault="00C501CB" w:rsidP="00C1193D">
      <w:pPr>
        <w:bidi w:val="0"/>
        <w:jc w:val="both"/>
        <w:rPr>
          <w:rFonts w:asciiTheme="majorBidi" w:hAnsiTheme="majorBidi" w:cstheme="majorBidi"/>
          <w:color w:val="000000" w:themeColor="text1"/>
        </w:rPr>
      </w:pPr>
    </w:p>
    <w:p w:rsidR="0060226A" w:rsidRDefault="0060226A" w:rsidP="004800F3">
      <w:pPr>
        <w:pStyle w:val="Heading4"/>
        <w:bidi w:val="0"/>
        <w:rPr>
          <w:rFonts w:asciiTheme="majorBidi" w:hAnsiTheme="majorBidi" w:cstheme="majorBidi"/>
          <w:snapToGrid w:val="0"/>
          <w:sz w:val="26"/>
          <w:szCs w:val="26"/>
          <w:rtl/>
          <w:lang w:eastAsia="en-US"/>
        </w:rPr>
      </w:pPr>
    </w:p>
    <w:p w:rsidR="00EB71C3" w:rsidRPr="0060226A" w:rsidRDefault="009F7B6A" w:rsidP="0060226A">
      <w:pPr>
        <w:pStyle w:val="Heading4"/>
        <w:bidi w:val="0"/>
        <w:rPr>
          <w:rFonts w:asciiTheme="majorBidi" w:hAnsiTheme="majorBidi" w:cstheme="majorBidi"/>
          <w:snapToGrid w:val="0"/>
          <w:sz w:val="26"/>
          <w:szCs w:val="26"/>
          <w:lang w:eastAsia="en-US"/>
        </w:rPr>
      </w:pPr>
      <w:r w:rsidRPr="0060226A">
        <w:rPr>
          <w:rFonts w:asciiTheme="majorBidi" w:hAnsiTheme="majorBidi" w:cstheme="majorBidi"/>
          <w:snapToGrid w:val="0"/>
          <w:sz w:val="26"/>
          <w:szCs w:val="26"/>
          <w:rtl/>
          <w:lang w:eastAsia="en-US"/>
        </w:rPr>
        <w:t>35.3</w:t>
      </w:r>
      <w:r w:rsidR="004800F3" w:rsidRPr="0060226A">
        <w:rPr>
          <w:rFonts w:asciiTheme="majorBidi" w:hAnsiTheme="majorBidi" w:cstheme="majorBidi"/>
          <w:snapToGrid w:val="0"/>
          <w:sz w:val="26"/>
          <w:szCs w:val="26"/>
          <w:lang w:eastAsia="en-US"/>
        </w:rPr>
        <w:t>%</w:t>
      </w:r>
      <w:r w:rsidR="00135829" w:rsidRPr="0060226A">
        <w:rPr>
          <w:rFonts w:asciiTheme="majorBidi" w:hAnsiTheme="majorBidi" w:cstheme="majorBidi"/>
          <w:snapToGrid w:val="0"/>
          <w:sz w:val="26"/>
          <w:szCs w:val="26"/>
          <w:lang w:eastAsia="en-US"/>
        </w:rPr>
        <w:t xml:space="preserve"> </w:t>
      </w:r>
      <w:r w:rsidR="00EB71C3" w:rsidRPr="0060226A">
        <w:rPr>
          <w:rFonts w:asciiTheme="majorBidi" w:hAnsiTheme="majorBidi" w:cstheme="majorBidi"/>
          <w:snapToGrid w:val="0"/>
          <w:sz w:val="26"/>
          <w:szCs w:val="26"/>
          <w:lang w:eastAsia="en-US"/>
        </w:rPr>
        <w:t xml:space="preserve">of </w:t>
      </w:r>
      <w:r w:rsidR="00135829" w:rsidRPr="0060226A">
        <w:rPr>
          <w:rFonts w:asciiTheme="majorBidi" w:hAnsiTheme="majorBidi" w:cstheme="majorBidi"/>
          <w:snapToGrid w:val="0"/>
          <w:sz w:val="26"/>
          <w:szCs w:val="26"/>
          <w:lang w:eastAsia="en-US"/>
        </w:rPr>
        <w:t>the youth</w:t>
      </w:r>
      <w:r w:rsidR="00EB71C3" w:rsidRPr="0060226A">
        <w:rPr>
          <w:rFonts w:asciiTheme="majorBidi" w:hAnsiTheme="majorBidi" w:cstheme="majorBidi"/>
          <w:snapToGrid w:val="0"/>
          <w:sz w:val="26"/>
          <w:szCs w:val="26"/>
          <w:lang w:eastAsia="en-US"/>
        </w:rPr>
        <w:t xml:space="preserve"> (15-29</w:t>
      </w:r>
      <w:r w:rsidR="004800F3" w:rsidRPr="0060226A">
        <w:rPr>
          <w:rFonts w:asciiTheme="majorBidi" w:hAnsiTheme="majorBidi" w:cstheme="majorBidi"/>
          <w:snapToGrid w:val="0"/>
          <w:sz w:val="26"/>
          <w:szCs w:val="26"/>
          <w:lang w:eastAsia="en-US"/>
        </w:rPr>
        <w:t xml:space="preserve"> years</w:t>
      </w:r>
      <w:r w:rsidR="00EB71C3" w:rsidRPr="0060226A">
        <w:rPr>
          <w:rFonts w:asciiTheme="majorBidi" w:hAnsiTheme="majorBidi" w:cstheme="majorBidi"/>
          <w:snapToGrid w:val="0"/>
          <w:sz w:val="26"/>
          <w:szCs w:val="26"/>
          <w:lang w:eastAsia="en-US"/>
        </w:rPr>
        <w:t>) are currently enrolled in education</w:t>
      </w:r>
    </w:p>
    <w:p w:rsidR="00C501CB" w:rsidRPr="0060226A" w:rsidRDefault="00EB71C3" w:rsidP="00127B2C">
      <w:pPr>
        <w:pStyle w:val="Heading4"/>
        <w:bidi w:val="0"/>
        <w:jc w:val="left"/>
        <w:rPr>
          <w:rFonts w:asciiTheme="majorBidi" w:hAnsiTheme="majorBidi" w:cstheme="majorBidi"/>
          <w:b w:val="0"/>
          <w:bCs w:val="0"/>
          <w:snapToGrid w:val="0"/>
          <w:lang w:eastAsia="en-US"/>
        </w:rPr>
      </w:pPr>
      <w:r w:rsidRPr="0060226A">
        <w:rPr>
          <w:rFonts w:asciiTheme="majorBidi" w:hAnsiTheme="majorBidi" w:cstheme="majorBidi"/>
          <w:b w:val="0"/>
          <w:bCs w:val="0"/>
          <w:snapToGrid w:val="0"/>
          <w:lang w:eastAsia="en-US"/>
        </w:rPr>
        <w:t xml:space="preserve">The results of the Population, Housing and Establishments </w:t>
      </w:r>
      <w:r w:rsidR="008F0B43" w:rsidRPr="0060226A">
        <w:rPr>
          <w:rFonts w:asciiTheme="majorBidi" w:hAnsiTheme="majorBidi" w:cstheme="majorBidi"/>
          <w:b w:val="0"/>
          <w:bCs w:val="0"/>
          <w:snapToGrid w:val="0"/>
          <w:lang w:eastAsia="en-US"/>
        </w:rPr>
        <w:t xml:space="preserve">Census </w:t>
      </w:r>
      <w:r w:rsidRPr="0060226A">
        <w:rPr>
          <w:rFonts w:asciiTheme="majorBidi" w:hAnsiTheme="majorBidi" w:cstheme="majorBidi"/>
          <w:b w:val="0"/>
          <w:bCs w:val="0"/>
          <w:snapToGrid w:val="0"/>
          <w:lang w:eastAsia="en-US"/>
        </w:rPr>
        <w:t xml:space="preserve">2017 showed that 35.3% of individuals (15-29 years) were enrolled in education by 80.7% of individuals in the </w:t>
      </w:r>
      <w:r w:rsidR="00F30C81" w:rsidRPr="0060226A">
        <w:rPr>
          <w:rFonts w:asciiTheme="majorBidi" w:hAnsiTheme="majorBidi" w:cstheme="majorBidi"/>
          <w:b w:val="0"/>
          <w:bCs w:val="0"/>
          <w:snapToGrid w:val="0"/>
          <w:lang w:eastAsia="en-US"/>
        </w:rPr>
        <w:t>age group (</w:t>
      </w:r>
      <w:r w:rsidRPr="0060226A">
        <w:rPr>
          <w:rFonts w:asciiTheme="majorBidi" w:hAnsiTheme="majorBidi" w:cstheme="majorBidi"/>
          <w:b w:val="0"/>
          <w:bCs w:val="0"/>
          <w:snapToGrid w:val="0"/>
          <w:lang w:eastAsia="en-US"/>
        </w:rPr>
        <w:t>15-17</w:t>
      </w:r>
      <w:r w:rsidR="004800F3" w:rsidRPr="0060226A">
        <w:rPr>
          <w:rFonts w:asciiTheme="majorBidi" w:hAnsiTheme="majorBidi" w:cstheme="majorBidi"/>
          <w:b w:val="0"/>
          <w:bCs w:val="0"/>
          <w:snapToGrid w:val="0"/>
          <w:lang w:eastAsia="en-US"/>
        </w:rPr>
        <w:t xml:space="preserve"> years</w:t>
      </w:r>
      <w:r w:rsidR="00F30C81" w:rsidRPr="0060226A">
        <w:rPr>
          <w:rFonts w:asciiTheme="majorBidi" w:hAnsiTheme="majorBidi" w:cstheme="majorBidi"/>
          <w:b w:val="0"/>
          <w:bCs w:val="0"/>
          <w:snapToGrid w:val="0"/>
          <w:lang w:eastAsia="en-US"/>
        </w:rPr>
        <w:t>)</w:t>
      </w:r>
      <w:r w:rsidRPr="0060226A">
        <w:rPr>
          <w:rFonts w:asciiTheme="majorBidi" w:hAnsiTheme="majorBidi" w:cstheme="majorBidi"/>
          <w:b w:val="0"/>
          <w:bCs w:val="0"/>
          <w:snapToGrid w:val="0"/>
          <w:lang w:eastAsia="en-US"/>
        </w:rPr>
        <w:t xml:space="preserve">, 42.4% in the age group (18-22 years), </w:t>
      </w:r>
      <w:r w:rsidR="00A97732" w:rsidRPr="0060226A">
        <w:rPr>
          <w:rFonts w:asciiTheme="majorBidi" w:hAnsiTheme="majorBidi" w:cstheme="majorBidi"/>
          <w:b w:val="0"/>
          <w:bCs w:val="0"/>
          <w:snapToGrid w:val="0"/>
          <w:lang w:eastAsia="en-US"/>
        </w:rPr>
        <w:t xml:space="preserve">and </w:t>
      </w:r>
      <w:r w:rsidRPr="0060226A">
        <w:rPr>
          <w:rFonts w:asciiTheme="majorBidi" w:hAnsiTheme="majorBidi" w:cstheme="majorBidi"/>
          <w:b w:val="0"/>
          <w:bCs w:val="0"/>
          <w:snapToGrid w:val="0"/>
          <w:lang w:eastAsia="en-US"/>
        </w:rPr>
        <w:t>7</w:t>
      </w:r>
      <w:r w:rsidR="001D71E1" w:rsidRPr="0060226A">
        <w:rPr>
          <w:rFonts w:asciiTheme="majorBidi" w:hAnsiTheme="majorBidi" w:cstheme="majorBidi"/>
          <w:b w:val="0"/>
          <w:bCs w:val="0"/>
          <w:snapToGrid w:val="0"/>
          <w:lang w:eastAsia="en-US"/>
        </w:rPr>
        <w:t>.</w:t>
      </w:r>
      <w:r w:rsidRPr="0060226A">
        <w:rPr>
          <w:rFonts w:asciiTheme="majorBidi" w:hAnsiTheme="majorBidi" w:cstheme="majorBidi"/>
          <w:b w:val="0"/>
          <w:bCs w:val="0"/>
          <w:snapToGrid w:val="0"/>
          <w:lang w:eastAsia="en-US"/>
        </w:rPr>
        <w:t xml:space="preserve">1% </w:t>
      </w:r>
      <w:r w:rsidR="00A97732" w:rsidRPr="0060226A">
        <w:rPr>
          <w:rFonts w:asciiTheme="majorBidi" w:hAnsiTheme="majorBidi" w:cstheme="majorBidi"/>
          <w:b w:val="0"/>
          <w:bCs w:val="0"/>
          <w:snapToGrid w:val="0"/>
          <w:lang w:eastAsia="en-US"/>
        </w:rPr>
        <w:t>in</w:t>
      </w:r>
      <w:r w:rsidRPr="0060226A">
        <w:rPr>
          <w:rFonts w:asciiTheme="majorBidi" w:hAnsiTheme="majorBidi" w:cstheme="majorBidi"/>
          <w:b w:val="0"/>
          <w:bCs w:val="0"/>
          <w:snapToGrid w:val="0"/>
          <w:lang w:eastAsia="en-US"/>
        </w:rPr>
        <w:t xml:space="preserve"> the age group (23-29 years). While the percentage of enrollment among young </w:t>
      </w:r>
      <w:r w:rsidR="00127B2C" w:rsidRPr="0060226A">
        <w:rPr>
          <w:rFonts w:asciiTheme="majorBidi" w:hAnsiTheme="majorBidi" w:cstheme="majorBidi"/>
          <w:b w:val="0"/>
          <w:bCs w:val="0"/>
          <w:snapToGrid w:val="0"/>
          <w:lang w:eastAsia="en-US"/>
        </w:rPr>
        <w:t>males</w:t>
      </w:r>
      <w:r w:rsidRPr="0060226A">
        <w:rPr>
          <w:rFonts w:asciiTheme="majorBidi" w:hAnsiTheme="majorBidi" w:cstheme="majorBidi"/>
          <w:b w:val="0"/>
          <w:bCs w:val="0"/>
          <w:snapToGrid w:val="0"/>
          <w:lang w:eastAsia="en-US"/>
        </w:rPr>
        <w:t xml:space="preserve"> was 31.1% compared to 39.7% for </w:t>
      </w:r>
      <w:r w:rsidR="004800F3" w:rsidRPr="0060226A">
        <w:rPr>
          <w:rFonts w:asciiTheme="majorBidi" w:hAnsiTheme="majorBidi" w:cstheme="majorBidi"/>
          <w:b w:val="0"/>
          <w:bCs w:val="0"/>
          <w:snapToGrid w:val="0"/>
          <w:lang w:eastAsia="en-US"/>
        </w:rPr>
        <w:t xml:space="preserve">youth </w:t>
      </w:r>
      <w:r w:rsidR="00127B2C" w:rsidRPr="0060226A">
        <w:rPr>
          <w:rFonts w:asciiTheme="majorBidi" w:hAnsiTheme="majorBidi" w:cstheme="majorBidi"/>
          <w:b w:val="0"/>
          <w:bCs w:val="0"/>
          <w:snapToGrid w:val="0"/>
          <w:lang w:eastAsia="en-US"/>
        </w:rPr>
        <w:t>females</w:t>
      </w:r>
      <w:r w:rsidRPr="0060226A">
        <w:rPr>
          <w:rFonts w:asciiTheme="majorBidi" w:hAnsiTheme="majorBidi" w:cstheme="majorBidi"/>
          <w:b w:val="0"/>
          <w:bCs w:val="0"/>
          <w:snapToGrid w:val="0"/>
          <w:lang w:eastAsia="en-US"/>
        </w:rPr>
        <w:t xml:space="preserve">. In 1997, enrollment </w:t>
      </w:r>
      <w:r w:rsidR="00A562C5" w:rsidRPr="0060226A">
        <w:rPr>
          <w:rFonts w:asciiTheme="majorBidi" w:hAnsiTheme="majorBidi" w:cstheme="majorBidi"/>
          <w:b w:val="0"/>
          <w:bCs w:val="0"/>
          <w:snapToGrid w:val="0"/>
          <w:lang w:eastAsia="en-US"/>
        </w:rPr>
        <w:t>among</w:t>
      </w:r>
      <w:r w:rsidRPr="0060226A">
        <w:rPr>
          <w:rFonts w:asciiTheme="majorBidi" w:hAnsiTheme="majorBidi" w:cstheme="majorBidi"/>
          <w:b w:val="0"/>
          <w:bCs w:val="0"/>
          <w:snapToGrid w:val="0"/>
          <w:lang w:eastAsia="en-US"/>
        </w:rPr>
        <w:t xml:space="preserve"> youth reached 28%, </w:t>
      </w:r>
      <w:r w:rsidR="00C501CB" w:rsidRPr="0060226A">
        <w:rPr>
          <w:rFonts w:asciiTheme="majorBidi" w:hAnsiTheme="majorBidi" w:cstheme="majorBidi"/>
          <w:b w:val="0"/>
          <w:bCs w:val="0"/>
          <w:snapToGrid w:val="0"/>
          <w:lang w:eastAsia="en-US"/>
        </w:rPr>
        <w:t xml:space="preserve">and increased </w:t>
      </w:r>
      <w:r w:rsidRPr="0060226A">
        <w:rPr>
          <w:rFonts w:asciiTheme="majorBidi" w:hAnsiTheme="majorBidi" w:cstheme="majorBidi"/>
          <w:b w:val="0"/>
          <w:bCs w:val="0"/>
          <w:snapToGrid w:val="0"/>
          <w:lang w:eastAsia="en-US"/>
        </w:rPr>
        <w:t xml:space="preserve">significantly </w:t>
      </w:r>
      <w:r w:rsidR="00C501CB" w:rsidRPr="0060226A">
        <w:rPr>
          <w:rFonts w:asciiTheme="majorBidi" w:hAnsiTheme="majorBidi" w:cstheme="majorBidi"/>
          <w:b w:val="0"/>
          <w:bCs w:val="0"/>
          <w:snapToGrid w:val="0"/>
          <w:lang w:eastAsia="en-US"/>
        </w:rPr>
        <w:t xml:space="preserve">to 44.4% </w:t>
      </w:r>
      <w:r w:rsidRPr="0060226A">
        <w:rPr>
          <w:rFonts w:asciiTheme="majorBidi" w:hAnsiTheme="majorBidi" w:cstheme="majorBidi"/>
          <w:b w:val="0"/>
          <w:bCs w:val="0"/>
          <w:snapToGrid w:val="0"/>
          <w:lang w:eastAsia="en-US"/>
        </w:rPr>
        <w:t>in 2007</w:t>
      </w:r>
      <w:r w:rsidR="00C501CB" w:rsidRPr="0060226A">
        <w:rPr>
          <w:rFonts w:asciiTheme="majorBidi" w:hAnsiTheme="majorBidi" w:cstheme="majorBidi"/>
          <w:b w:val="0"/>
          <w:bCs w:val="0"/>
          <w:snapToGrid w:val="0"/>
          <w:lang w:eastAsia="en-US"/>
        </w:rPr>
        <w:t>.</w:t>
      </w:r>
    </w:p>
    <w:p w:rsidR="00EB71C3" w:rsidRPr="0060226A" w:rsidRDefault="00EB71C3" w:rsidP="00C1193D">
      <w:pPr>
        <w:pStyle w:val="Heading4"/>
        <w:bidi w:val="0"/>
        <w:jc w:val="left"/>
        <w:rPr>
          <w:rFonts w:asciiTheme="majorBidi" w:hAnsiTheme="majorBidi" w:cstheme="majorBidi"/>
          <w:b w:val="0"/>
          <w:bCs w:val="0"/>
          <w:snapToGrid w:val="0"/>
          <w:sz w:val="16"/>
          <w:szCs w:val="16"/>
          <w:lang w:eastAsia="en-US"/>
        </w:rPr>
      </w:pPr>
      <w:r w:rsidRPr="0060226A">
        <w:rPr>
          <w:rFonts w:asciiTheme="majorBidi" w:hAnsiTheme="majorBidi" w:cstheme="majorBidi"/>
          <w:b w:val="0"/>
          <w:bCs w:val="0"/>
          <w:snapToGrid w:val="0"/>
          <w:lang w:eastAsia="en-US"/>
        </w:rPr>
        <w:t xml:space="preserve"> </w:t>
      </w:r>
    </w:p>
    <w:p w:rsidR="00845B47" w:rsidRPr="0060226A" w:rsidRDefault="00845B47" w:rsidP="00C1193D">
      <w:pPr>
        <w:bidi w:val="0"/>
        <w:rPr>
          <w:rFonts w:asciiTheme="majorBidi" w:hAnsiTheme="majorBidi" w:cstheme="majorBidi"/>
          <w:lang w:eastAsia="en-US"/>
        </w:rPr>
      </w:pPr>
      <w:r w:rsidRPr="0060226A">
        <w:rPr>
          <w:rFonts w:asciiTheme="majorBidi" w:hAnsiTheme="majorBidi" w:cstheme="majorBidi"/>
          <w:lang w:eastAsia="en-US"/>
        </w:rPr>
        <w:t xml:space="preserve">The rate of illiteracy among individuals (15-29 years) decreased from 1.1% (1.1% in the West Bank and 1.2% in Gaza Strip) in 2007 to about 0.6% in Palestine according to the </w:t>
      </w:r>
      <w:r w:rsidR="00096777" w:rsidRPr="0060226A">
        <w:rPr>
          <w:rFonts w:asciiTheme="majorBidi" w:hAnsiTheme="majorBidi" w:cstheme="majorBidi"/>
          <w:lang w:eastAsia="en-US"/>
        </w:rPr>
        <w:t xml:space="preserve">data of census </w:t>
      </w:r>
      <w:r w:rsidRPr="0060226A">
        <w:rPr>
          <w:rFonts w:asciiTheme="majorBidi" w:hAnsiTheme="majorBidi" w:cstheme="majorBidi"/>
          <w:lang w:eastAsia="en-US"/>
        </w:rPr>
        <w:t>2017 (0.6% in the West Bank and 0.7% in the Gaza Strip</w:t>
      </w:r>
      <w:r w:rsidR="008E33B9" w:rsidRPr="0060226A">
        <w:rPr>
          <w:rFonts w:asciiTheme="majorBidi" w:hAnsiTheme="majorBidi" w:cstheme="majorBidi"/>
          <w:lang w:eastAsia="en-US"/>
        </w:rPr>
        <w:t>)</w:t>
      </w:r>
      <w:r w:rsidRPr="0060226A">
        <w:rPr>
          <w:rFonts w:asciiTheme="majorBidi" w:hAnsiTheme="majorBidi" w:cstheme="majorBidi"/>
          <w:rtl/>
          <w:lang w:eastAsia="en-US"/>
        </w:rPr>
        <w:t>.</w:t>
      </w:r>
    </w:p>
    <w:p w:rsidR="004800F3" w:rsidRPr="0060226A" w:rsidRDefault="004800F3" w:rsidP="004800F3">
      <w:pPr>
        <w:bidi w:val="0"/>
        <w:rPr>
          <w:rFonts w:asciiTheme="majorBidi" w:hAnsiTheme="majorBidi" w:cstheme="majorBidi"/>
          <w:sz w:val="16"/>
          <w:szCs w:val="16"/>
          <w:lang w:eastAsia="en-US"/>
        </w:rPr>
      </w:pPr>
    </w:p>
    <w:p w:rsidR="00845B47" w:rsidRPr="0060226A" w:rsidRDefault="00845B47" w:rsidP="00C0059B">
      <w:pPr>
        <w:bidi w:val="0"/>
        <w:jc w:val="both"/>
        <w:rPr>
          <w:rFonts w:asciiTheme="majorBidi" w:hAnsiTheme="majorBidi" w:cstheme="majorBidi"/>
          <w:b/>
          <w:bCs/>
          <w:sz w:val="26"/>
          <w:szCs w:val="26"/>
        </w:rPr>
      </w:pPr>
      <w:r w:rsidRPr="0060226A">
        <w:rPr>
          <w:rFonts w:asciiTheme="majorBidi" w:hAnsiTheme="majorBidi" w:cstheme="majorBidi"/>
          <w:b/>
          <w:bCs/>
          <w:sz w:val="26"/>
          <w:szCs w:val="26"/>
        </w:rPr>
        <w:t>High rates of youth participation in the labor force</w:t>
      </w:r>
    </w:p>
    <w:p w:rsidR="00845B47" w:rsidRPr="0060226A" w:rsidRDefault="00845B47" w:rsidP="00C1193D">
      <w:pPr>
        <w:bidi w:val="0"/>
        <w:jc w:val="both"/>
        <w:rPr>
          <w:rFonts w:asciiTheme="majorBidi" w:hAnsiTheme="majorBidi" w:cstheme="majorBidi"/>
          <w:rtl/>
        </w:rPr>
      </w:pPr>
      <w:r w:rsidRPr="0060226A">
        <w:rPr>
          <w:rFonts w:asciiTheme="majorBidi" w:hAnsiTheme="majorBidi" w:cstheme="majorBidi"/>
        </w:rPr>
        <w:t xml:space="preserve">The percentage of participation in the labor force among individuals (15-29 years) in Palestine </w:t>
      </w:r>
      <w:r w:rsidR="006D734A" w:rsidRPr="0060226A">
        <w:rPr>
          <w:rFonts w:asciiTheme="majorBidi" w:hAnsiTheme="majorBidi" w:cstheme="majorBidi"/>
        </w:rPr>
        <w:t>reached</w:t>
      </w:r>
      <w:r w:rsidRPr="0060226A">
        <w:rPr>
          <w:rFonts w:asciiTheme="majorBidi" w:hAnsiTheme="majorBidi" w:cstheme="majorBidi"/>
        </w:rPr>
        <w:t xml:space="preserve"> 41.1% </w:t>
      </w:r>
      <w:r w:rsidR="006D734A" w:rsidRPr="0060226A">
        <w:rPr>
          <w:rFonts w:asciiTheme="majorBidi" w:hAnsiTheme="majorBidi" w:cstheme="majorBidi"/>
        </w:rPr>
        <w:t xml:space="preserve">in 2017 </w:t>
      </w:r>
      <w:r w:rsidRPr="0060226A">
        <w:rPr>
          <w:rFonts w:asciiTheme="majorBidi" w:hAnsiTheme="majorBidi" w:cstheme="majorBidi"/>
        </w:rPr>
        <w:t>(63.0% among males and 18.9% among females) compared with 33.8% in 2007 (54.8% among males and 11.9%</w:t>
      </w:r>
      <w:r w:rsidR="00697091" w:rsidRPr="0060226A">
        <w:rPr>
          <w:rFonts w:asciiTheme="majorBidi" w:hAnsiTheme="majorBidi" w:cstheme="majorBidi"/>
        </w:rPr>
        <w:t xml:space="preserve"> among females)</w:t>
      </w:r>
      <w:r w:rsidR="004930A8" w:rsidRPr="0060226A">
        <w:rPr>
          <w:rFonts w:asciiTheme="majorBidi" w:hAnsiTheme="majorBidi" w:cstheme="majorBidi"/>
        </w:rPr>
        <w:t>.</w:t>
      </w:r>
      <w:r w:rsidRPr="0060226A">
        <w:rPr>
          <w:rFonts w:asciiTheme="majorBidi" w:hAnsiTheme="majorBidi" w:cstheme="majorBidi"/>
        </w:rPr>
        <w:t xml:space="preserve"> The percentage of participation among individuals in the </w:t>
      </w:r>
      <w:r w:rsidR="004930A8" w:rsidRPr="0060226A">
        <w:rPr>
          <w:rFonts w:asciiTheme="majorBidi" w:hAnsiTheme="majorBidi" w:cstheme="majorBidi"/>
        </w:rPr>
        <w:t>age group (</w:t>
      </w:r>
      <w:r w:rsidRPr="0060226A">
        <w:rPr>
          <w:rFonts w:asciiTheme="majorBidi" w:hAnsiTheme="majorBidi" w:cstheme="majorBidi"/>
        </w:rPr>
        <w:t>15-29</w:t>
      </w:r>
      <w:r w:rsidR="004800F3" w:rsidRPr="0060226A">
        <w:rPr>
          <w:rFonts w:asciiTheme="majorBidi" w:hAnsiTheme="majorBidi" w:cstheme="majorBidi"/>
          <w:snapToGrid w:val="0"/>
          <w:lang w:eastAsia="en-US"/>
        </w:rPr>
        <w:t xml:space="preserve"> years</w:t>
      </w:r>
      <w:r w:rsidR="004930A8" w:rsidRPr="0060226A">
        <w:rPr>
          <w:rFonts w:asciiTheme="majorBidi" w:hAnsiTheme="majorBidi" w:cstheme="majorBidi"/>
        </w:rPr>
        <w:t>)</w:t>
      </w:r>
      <w:r w:rsidRPr="0060226A">
        <w:rPr>
          <w:rFonts w:asciiTheme="majorBidi" w:hAnsiTheme="majorBidi" w:cstheme="majorBidi"/>
        </w:rPr>
        <w:t xml:space="preserve"> in the West Bank </w:t>
      </w:r>
      <w:r w:rsidR="004930A8" w:rsidRPr="0060226A">
        <w:rPr>
          <w:rFonts w:asciiTheme="majorBidi" w:hAnsiTheme="majorBidi" w:cstheme="majorBidi"/>
        </w:rPr>
        <w:t>increased</w:t>
      </w:r>
      <w:r w:rsidRPr="0060226A">
        <w:rPr>
          <w:rFonts w:asciiTheme="majorBidi" w:hAnsiTheme="majorBidi" w:cstheme="majorBidi"/>
        </w:rPr>
        <w:t xml:space="preserve"> from 35.6% in 2007 to 41.1% in 2017, </w:t>
      </w:r>
      <w:r w:rsidR="004930A8" w:rsidRPr="0060226A">
        <w:rPr>
          <w:rFonts w:asciiTheme="majorBidi" w:hAnsiTheme="majorBidi" w:cstheme="majorBidi"/>
        </w:rPr>
        <w:t xml:space="preserve">and </w:t>
      </w:r>
      <w:r w:rsidRPr="0060226A">
        <w:rPr>
          <w:rFonts w:asciiTheme="majorBidi" w:hAnsiTheme="majorBidi" w:cstheme="majorBidi"/>
        </w:rPr>
        <w:t>in Gaza Strip it increased from 30.8% to 42.0% during the same period</w:t>
      </w:r>
      <w:r w:rsidRPr="0060226A">
        <w:rPr>
          <w:rFonts w:asciiTheme="majorBidi" w:hAnsiTheme="majorBidi" w:cstheme="majorBidi"/>
          <w:rtl/>
        </w:rPr>
        <w:t>.</w:t>
      </w:r>
    </w:p>
    <w:p w:rsidR="008C301A" w:rsidRPr="0060226A" w:rsidRDefault="008C301A" w:rsidP="00C1193D">
      <w:pPr>
        <w:bidi w:val="0"/>
        <w:jc w:val="both"/>
        <w:rPr>
          <w:rFonts w:asciiTheme="majorBidi" w:hAnsiTheme="majorBidi" w:cstheme="majorBidi"/>
          <w:sz w:val="16"/>
          <w:szCs w:val="16"/>
          <w:rtl/>
        </w:rPr>
      </w:pPr>
    </w:p>
    <w:p w:rsidR="00E47C9B" w:rsidRPr="0060226A" w:rsidRDefault="00E47C9B" w:rsidP="00C1193D">
      <w:pPr>
        <w:bidi w:val="0"/>
        <w:jc w:val="both"/>
        <w:rPr>
          <w:rFonts w:asciiTheme="majorBidi" w:hAnsiTheme="majorBidi" w:cstheme="majorBidi"/>
          <w:b/>
          <w:bCs/>
          <w:sz w:val="26"/>
          <w:szCs w:val="26"/>
        </w:rPr>
      </w:pPr>
      <w:r w:rsidRPr="0060226A">
        <w:rPr>
          <w:rFonts w:asciiTheme="majorBidi" w:hAnsiTheme="majorBidi" w:cstheme="majorBidi"/>
          <w:b/>
          <w:bCs/>
          <w:sz w:val="26"/>
          <w:szCs w:val="26"/>
        </w:rPr>
        <w:t xml:space="preserve">Youth unemployment rate </w:t>
      </w:r>
      <w:r w:rsidR="002B1216" w:rsidRPr="0060226A">
        <w:rPr>
          <w:rFonts w:asciiTheme="majorBidi" w:hAnsiTheme="majorBidi" w:cstheme="majorBidi"/>
          <w:b/>
          <w:bCs/>
          <w:sz w:val="26"/>
          <w:szCs w:val="26"/>
        </w:rPr>
        <w:t>increased</w:t>
      </w:r>
      <w:r w:rsidRPr="0060226A">
        <w:rPr>
          <w:rFonts w:asciiTheme="majorBidi" w:hAnsiTheme="majorBidi" w:cstheme="majorBidi"/>
          <w:b/>
          <w:bCs/>
          <w:sz w:val="26"/>
          <w:szCs w:val="26"/>
        </w:rPr>
        <w:t xml:space="preserve"> in 2017 compared to 2007</w:t>
      </w:r>
    </w:p>
    <w:p w:rsidR="00E47C9B" w:rsidRPr="0060226A" w:rsidRDefault="00E47C9B" w:rsidP="00C1193D">
      <w:pPr>
        <w:bidi w:val="0"/>
        <w:jc w:val="both"/>
        <w:rPr>
          <w:rFonts w:asciiTheme="majorBidi" w:hAnsiTheme="majorBidi" w:cstheme="majorBidi"/>
          <w:rtl/>
        </w:rPr>
      </w:pPr>
      <w:r w:rsidRPr="0060226A">
        <w:rPr>
          <w:rFonts w:asciiTheme="majorBidi" w:hAnsiTheme="majorBidi" w:cstheme="majorBidi"/>
        </w:rPr>
        <w:t>The unemployment rate among individuals (15-29 years) in Palestine</w:t>
      </w:r>
      <w:r w:rsidR="002B1216" w:rsidRPr="0060226A">
        <w:rPr>
          <w:rFonts w:asciiTheme="majorBidi" w:hAnsiTheme="majorBidi" w:cstheme="majorBidi"/>
        </w:rPr>
        <w:t xml:space="preserve"> increased</w:t>
      </w:r>
      <w:r w:rsidRPr="0060226A">
        <w:rPr>
          <w:rFonts w:asciiTheme="majorBidi" w:hAnsiTheme="majorBidi" w:cstheme="majorBidi"/>
        </w:rPr>
        <w:t xml:space="preserve"> in 2017 </w:t>
      </w:r>
      <w:r w:rsidR="005C1EAA" w:rsidRPr="0060226A">
        <w:rPr>
          <w:rFonts w:asciiTheme="majorBidi" w:hAnsiTheme="majorBidi" w:cstheme="majorBidi"/>
        </w:rPr>
        <w:t xml:space="preserve">as it </w:t>
      </w:r>
      <w:r w:rsidRPr="0060226A">
        <w:rPr>
          <w:rFonts w:asciiTheme="majorBidi" w:hAnsiTheme="majorBidi" w:cstheme="majorBidi"/>
        </w:rPr>
        <w:t xml:space="preserve">reached 41.0% (33.7% among males and 66.7% among females) </w:t>
      </w:r>
      <w:r w:rsidR="006A59C3" w:rsidRPr="0060226A">
        <w:rPr>
          <w:rFonts w:asciiTheme="majorBidi" w:hAnsiTheme="majorBidi" w:cstheme="majorBidi"/>
        </w:rPr>
        <w:t xml:space="preserve">compared with 2007 where it was 30.5% </w:t>
      </w:r>
      <w:r w:rsidRPr="0060226A">
        <w:rPr>
          <w:rFonts w:asciiTheme="majorBidi" w:hAnsiTheme="majorBidi" w:cstheme="majorBidi"/>
        </w:rPr>
        <w:t>(29.4% among males and 35.6%</w:t>
      </w:r>
      <w:r w:rsidR="000769A9" w:rsidRPr="0060226A">
        <w:rPr>
          <w:rFonts w:asciiTheme="majorBidi" w:hAnsiTheme="majorBidi" w:cstheme="majorBidi"/>
        </w:rPr>
        <w:t xml:space="preserve"> among females).</w:t>
      </w:r>
      <w:r w:rsidRPr="0060226A">
        <w:rPr>
          <w:rFonts w:asciiTheme="majorBidi" w:hAnsiTheme="majorBidi" w:cstheme="majorBidi"/>
        </w:rPr>
        <w:t xml:space="preserve"> </w:t>
      </w:r>
      <w:r w:rsidR="000769A9" w:rsidRPr="0060226A">
        <w:rPr>
          <w:rFonts w:asciiTheme="majorBidi" w:hAnsiTheme="majorBidi" w:cstheme="majorBidi"/>
        </w:rPr>
        <w:t>On the other hand, t</w:t>
      </w:r>
      <w:r w:rsidRPr="0060226A">
        <w:rPr>
          <w:rFonts w:asciiTheme="majorBidi" w:hAnsiTheme="majorBidi" w:cstheme="majorBidi"/>
        </w:rPr>
        <w:t xml:space="preserve">he unemployment rate among individuals in the </w:t>
      </w:r>
      <w:r w:rsidR="000769A9" w:rsidRPr="0060226A">
        <w:rPr>
          <w:rFonts w:asciiTheme="majorBidi" w:hAnsiTheme="majorBidi" w:cstheme="majorBidi"/>
        </w:rPr>
        <w:t>age group (</w:t>
      </w:r>
      <w:r w:rsidRPr="0060226A">
        <w:rPr>
          <w:rFonts w:asciiTheme="majorBidi" w:hAnsiTheme="majorBidi" w:cstheme="majorBidi"/>
        </w:rPr>
        <w:t>15-29</w:t>
      </w:r>
      <w:r w:rsidR="004800F3" w:rsidRPr="0060226A">
        <w:rPr>
          <w:rFonts w:asciiTheme="majorBidi" w:hAnsiTheme="majorBidi" w:cstheme="majorBidi"/>
          <w:snapToGrid w:val="0"/>
          <w:lang w:eastAsia="en-US"/>
        </w:rPr>
        <w:t xml:space="preserve"> years</w:t>
      </w:r>
      <w:r w:rsidR="000769A9" w:rsidRPr="0060226A">
        <w:rPr>
          <w:rFonts w:asciiTheme="majorBidi" w:hAnsiTheme="majorBidi" w:cstheme="majorBidi"/>
        </w:rPr>
        <w:t>)</w:t>
      </w:r>
      <w:r w:rsidRPr="0060226A">
        <w:rPr>
          <w:rFonts w:asciiTheme="majorBidi" w:hAnsiTheme="majorBidi" w:cstheme="majorBidi"/>
        </w:rPr>
        <w:t xml:space="preserve"> in the West Bank </w:t>
      </w:r>
      <w:r w:rsidR="000769A9" w:rsidRPr="0060226A">
        <w:rPr>
          <w:rFonts w:asciiTheme="majorBidi" w:hAnsiTheme="majorBidi" w:cstheme="majorBidi"/>
        </w:rPr>
        <w:t>increased</w:t>
      </w:r>
      <w:r w:rsidRPr="0060226A">
        <w:rPr>
          <w:rFonts w:asciiTheme="majorBidi" w:hAnsiTheme="majorBidi" w:cstheme="majorBidi"/>
        </w:rPr>
        <w:t xml:space="preserve"> from 25.6% in 2007 to 27.2% in 2017, and </w:t>
      </w:r>
      <w:r w:rsidR="00951397" w:rsidRPr="0060226A">
        <w:rPr>
          <w:rFonts w:asciiTheme="majorBidi" w:hAnsiTheme="majorBidi" w:cstheme="majorBidi"/>
        </w:rPr>
        <w:t xml:space="preserve">it </w:t>
      </w:r>
      <w:r w:rsidRPr="0060226A">
        <w:rPr>
          <w:rFonts w:asciiTheme="majorBidi" w:hAnsiTheme="majorBidi" w:cstheme="majorBidi"/>
        </w:rPr>
        <w:t>increased significantly in Gaza Strip from 39.8% to 61.2% during the same period</w:t>
      </w:r>
      <w:r w:rsidRPr="0060226A">
        <w:rPr>
          <w:rFonts w:asciiTheme="majorBidi" w:hAnsiTheme="majorBidi" w:cstheme="majorBidi"/>
          <w:rtl/>
        </w:rPr>
        <w:t>.</w:t>
      </w:r>
    </w:p>
    <w:p w:rsidR="007D0000" w:rsidRPr="0060226A" w:rsidRDefault="007D0000" w:rsidP="00C1193D">
      <w:pPr>
        <w:bidi w:val="0"/>
        <w:jc w:val="both"/>
        <w:rPr>
          <w:rFonts w:asciiTheme="majorBidi" w:hAnsiTheme="majorBidi" w:cstheme="majorBidi"/>
          <w:sz w:val="16"/>
          <w:szCs w:val="16"/>
          <w:rtl/>
        </w:rPr>
      </w:pPr>
    </w:p>
    <w:p w:rsidR="00E47C9B" w:rsidRPr="0060226A" w:rsidRDefault="00E47C9B" w:rsidP="004800F3">
      <w:pPr>
        <w:bidi w:val="0"/>
        <w:jc w:val="both"/>
        <w:rPr>
          <w:rFonts w:asciiTheme="majorBidi" w:hAnsiTheme="majorBidi" w:cstheme="majorBidi"/>
          <w:b/>
          <w:bCs/>
          <w:sz w:val="26"/>
          <w:szCs w:val="26"/>
        </w:rPr>
      </w:pPr>
      <w:r w:rsidRPr="0060226A">
        <w:rPr>
          <w:rFonts w:asciiTheme="majorBidi" w:hAnsiTheme="majorBidi" w:cstheme="majorBidi"/>
          <w:b/>
          <w:bCs/>
          <w:sz w:val="26"/>
          <w:szCs w:val="26"/>
        </w:rPr>
        <w:t xml:space="preserve">Unemployment of </w:t>
      </w:r>
      <w:r w:rsidR="004800F3" w:rsidRPr="0060226A">
        <w:rPr>
          <w:rFonts w:asciiTheme="majorBidi" w:hAnsiTheme="majorBidi" w:cstheme="majorBidi"/>
          <w:b/>
          <w:bCs/>
          <w:sz w:val="26"/>
          <w:szCs w:val="26"/>
        </w:rPr>
        <w:t xml:space="preserve">youth </w:t>
      </w:r>
      <w:r w:rsidRPr="0060226A">
        <w:rPr>
          <w:rFonts w:asciiTheme="majorBidi" w:hAnsiTheme="majorBidi" w:cstheme="majorBidi"/>
          <w:b/>
          <w:bCs/>
          <w:sz w:val="26"/>
          <w:szCs w:val="26"/>
        </w:rPr>
        <w:t>graduates exceeded 55%</w:t>
      </w:r>
    </w:p>
    <w:p w:rsidR="00E47C9B" w:rsidRPr="0060226A" w:rsidRDefault="00E47C9B" w:rsidP="00C1193D">
      <w:pPr>
        <w:bidi w:val="0"/>
        <w:jc w:val="both"/>
        <w:rPr>
          <w:rFonts w:asciiTheme="majorBidi" w:hAnsiTheme="majorBidi" w:cstheme="majorBidi"/>
          <w:rtl/>
        </w:rPr>
      </w:pPr>
      <w:r w:rsidRPr="0060226A">
        <w:rPr>
          <w:rFonts w:asciiTheme="majorBidi" w:hAnsiTheme="majorBidi" w:cstheme="majorBidi"/>
        </w:rPr>
        <w:t xml:space="preserve">The rate of unemployment among graduates (15-29 years) </w:t>
      </w:r>
      <w:r w:rsidR="00E92163" w:rsidRPr="0060226A">
        <w:rPr>
          <w:rFonts w:asciiTheme="majorBidi" w:hAnsiTheme="majorBidi" w:cstheme="majorBidi"/>
        </w:rPr>
        <w:t xml:space="preserve">holding </w:t>
      </w:r>
      <w:r w:rsidR="001C71F7" w:rsidRPr="0060226A">
        <w:rPr>
          <w:rFonts w:asciiTheme="majorBidi" w:hAnsiTheme="majorBidi" w:cstheme="majorBidi"/>
        </w:rPr>
        <w:t xml:space="preserve">intermediate </w:t>
      </w:r>
      <w:r w:rsidRPr="0060226A">
        <w:rPr>
          <w:rFonts w:asciiTheme="majorBidi" w:hAnsiTheme="majorBidi" w:cstheme="majorBidi"/>
        </w:rPr>
        <w:t xml:space="preserve">diploma </w:t>
      </w:r>
      <w:r w:rsidR="00E92163" w:rsidRPr="0060226A">
        <w:rPr>
          <w:rFonts w:asciiTheme="majorBidi" w:hAnsiTheme="majorBidi" w:cstheme="majorBidi"/>
        </w:rPr>
        <w:t>degree or higher</w:t>
      </w:r>
      <w:r w:rsidRPr="0060226A">
        <w:rPr>
          <w:rFonts w:asciiTheme="majorBidi" w:hAnsiTheme="majorBidi" w:cstheme="majorBidi"/>
        </w:rPr>
        <w:t xml:space="preserve"> was 55.8% during 2017 (37.8% for males and 72.0% for females) compared to 41.5% in 2007 (31.7% for males and 52.5% for females). Graduates of the educational sciences and teacher training </w:t>
      </w:r>
      <w:r w:rsidR="00BD2D47" w:rsidRPr="0060226A">
        <w:rPr>
          <w:rFonts w:asciiTheme="majorBidi" w:hAnsiTheme="majorBidi" w:cstheme="majorBidi"/>
        </w:rPr>
        <w:t>specialization</w:t>
      </w:r>
      <w:r w:rsidRPr="0060226A">
        <w:rPr>
          <w:rFonts w:asciiTheme="majorBidi" w:hAnsiTheme="majorBidi" w:cstheme="majorBidi"/>
        </w:rPr>
        <w:t xml:space="preserve"> in 2017 recorded the highest unemployment rate at 69.6% (47.5% for males and 76.2% for females). Graduates of the law specialization </w:t>
      </w:r>
      <w:r w:rsidR="00BD2D47" w:rsidRPr="0060226A">
        <w:rPr>
          <w:rFonts w:asciiTheme="majorBidi" w:hAnsiTheme="majorBidi" w:cstheme="majorBidi"/>
        </w:rPr>
        <w:t>recorded</w:t>
      </w:r>
      <w:r w:rsidRPr="0060226A">
        <w:rPr>
          <w:rFonts w:asciiTheme="majorBidi" w:hAnsiTheme="majorBidi" w:cstheme="majorBidi"/>
        </w:rPr>
        <w:t xml:space="preserve"> the lowest unemployment rate at 25.7% (25.5% for males and 26% for females</w:t>
      </w:r>
      <w:r w:rsidR="00BD2D47" w:rsidRPr="0060226A">
        <w:rPr>
          <w:rFonts w:asciiTheme="majorBidi" w:hAnsiTheme="majorBidi" w:cstheme="majorBidi"/>
        </w:rPr>
        <w:t>).</w:t>
      </w:r>
    </w:p>
    <w:p w:rsidR="000D6887" w:rsidRPr="0060226A" w:rsidRDefault="000D6887" w:rsidP="00C1193D">
      <w:pPr>
        <w:bidi w:val="0"/>
        <w:jc w:val="both"/>
        <w:rPr>
          <w:rFonts w:asciiTheme="majorBidi" w:hAnsiTheme="majorBidi" w:cstheme="majorBidi"/>
          <w:sz w:val="16"/>
          <w:szCs w:val="16"/>
        </w:rPr>
      </w:pPr>
    </w:p>
    <w:p w:rsidR="00E47C9B" w:rsidRPr="0060226A" w:rsidRDefault="00E47C9B" w:rsidP="004800F3">
      <w:pPr>
        <w:bidi w:val="0"/>
        <w:jc w:val="both"/>
        <w:rPr>
          <w:rFonts w:asciiTheme="majorBidi" w:hAnsiTheme="majorBidi" w:cstheme="majorBidi"/>
          <w:b/>
          <w:bCs/>
          <w:sz w:val="26"/>
          <w:szCs w:val="26"/>
        </w:rPr>
      </w:pPr>
      <w:r w:rsidRPr="0060226A">
        <w:rPr>
          <w:rFonts w:asciiTheme="majorBidi" w:hAnsiTheme="majorBidi" w:cstheme="majorBidi"/>
          <w:b/>
          <w:bCs/>
          <w:sz w:val="26"/>
          <w:szCs w:val="26"/>
        </w:rPr>
        <w:t xml:space="preserve">The work of </w:t>
      </w:r>
      <w:r w:rsidR="004800F3" w:rsidRPr="0060226A">
        <w:rPr>
          <w:rFonts w:asciiTheme="majorBidi" w:hAnsiTheme="majorBidi" w:cstheme="majorBidi"/>
          <w:b/>
          <w:bCs/>
          <w:sz w:val="26"/>
          <w:szCs w:val="26"/>
        </w:rPr>
        <w:t xml:space="preserve">youth </w:t>
      </w:r>
      <w:r w:rsidRPr="0060226A">
        <w:rPr>
          <w:rFonts w:asciiTheme="majorBidi" w:hAnsiTheme="majorBidi" w:cstheme="majorBidi"/>
          <w:b/>
          <w:bCs/>
          <w:sz w:val="26"/>
          <w:szCs w:val="26"/>
        </w:rPr>
        <w:t xml:space="preserve">females is concentrated in the services sector. </w:t>
      </w:r>
      <w:r w:rsidR="00813722" w:rsidRPr="0060226A">
        <w:rPr>
          <w:rFonts w:asciiTheme="majorBidi" w:hAnsiTheme="majorBidi" w:cstheme="majorBidi"/>
          <w:b/>
          <w:bCs/>
          <w:sz w:val="26"/>
          <w:szCs w:val="26"/>
        </w:rPr>
        <w:t>While</w:t>
      </w:r>
      <w:r w:rsidRPr="0060226A">
        <w:rPr>
          <w:rFonts w:asciiTheme="majorBidi" w:hAnsiTheme="majorBidi" w:cstheme="majorBidi"/>
          <w:b/>
          <w:bCs/>
          <w:sz w:val="26"/>
          <w:szCs w:val="26"/>
        </w:rPr>
        <w:t>, trade, restaurants and hotels sector</w:t>
      </w:r>
      <w:r w:rsidR="00813722" w:rsidRPr="0060226A">
        <w:rPr>
          <w:rFonts w:asciiTheme="majorBidi" w:hAnsiTheme="majorBidi" w:cstheme="majorBidi"/>
          <w:b/>
          <w:bCs/>
          <w:sz w:val="26"/>
          <w:szCs w:val="26"/>
        </w:rPr>
        <w:t>s</w:t>
      </w:r>
      <w:r w:rsidRPr="0060226A">
        <w:rPr>
          <w:rFonts w:asciiTheme="majorBidi" w:hAnsiTheme="majorBidi" w:cstheme="majorBidi"/>
          <w:b/>
          <w:bCs/>
          <w:sz w:val="26"/>
          <w:szCs w:val="26"/>
        </w:rPr>
        <w:t xml:space="preserve"> </w:t>
      </w:r>
      <w:r w:rsidR="00813722" w:rsidRPr="0060226A">
        <w:rPr>
          <w:rFonts w:asciiTheme="majorBidi" w:hAnsiTheme="majorBidi" w:cstheme="majorBidi"/>
          <w:b/>
          <w:bCs/>
          <w:sz w:val="26"/>
          <w:szCs w:val="26"/>
        </w:rPr>
        <w:t>are</w:t>
      </w:r>
      <w:r w:rsidRPr="0060226A">
        <w:rPr>
          <w:rFonts w:asciiTheme="majorBidi" w:hAnsiTheme="majorBidi" w:cstheme="majorBidi"/>
          <w:b/>
          <w:bCs/>
          <w:sz w:val="26"/>
          <w:szCs w:val="26"/>
        </w:rPr>
        <w:t xml:space="preserve"> the most </w:t>
      </w:r>
      <w:r w:rsidR="0000334C" w:rsidRPr="0060226A">
        <w:rPr>
          <w:rFonts w:asciiTheme="majorBidi" w:hAnsiTheme="majorBidi" w:cstheme="majorBidi"/>
          <w:b/>
          <w:bCs/>
          <w:sz w:val="26"/>
          <w:szCs w:val="26"/>
        </w:rPr>
        <w:t xml:space="preserve">accommodating </w:t>
      </w:r>
      <w:r w:rsidRPr="0060226A">
        <w:rPr>
          <w:rFonts w:asciiTheme="majorBidi" w:hAnsiTheme="majorBidi" w:cstheme="majorBidi"/>
          <w:b/>
          <w:bCs/>
          <w:sz w:val="26"/>
          <w:szCs w:val="26"/>
        </w:rPr>
        <w:t>for male youth employment</w:t>
      </w:r>
    </w:p>
    <w:p w:rsidR="00E47C9B" w:rsidRPr="0060226A" w:rsidRDefault="00E47C9B" w:rsidP="00C932E9">
      <w:pPr>
        <w:bidi w:val="0"/>
        <w:jc w:val="both"/>
        <w:rPr>
          <w:rFonts w:asciiTheme="majorBidi" w:hAnsiTheme="majorBidi" w:cstheme="majorBidi"/>
          <w:rtl/>
        </w:rPr>
      </w:pPr>
      <w:r w:rsidRPr="0060226A">
        <w:rPr>
          <w:rFonts w:asciiTheme="majorBidi" w:hAnsiTheme="majorBidi" w:cstheme="majorBidi"/>
        </w:rPr>
        <w:t xml:space="preserve">The percentage of youth working in the services sector was 23.0% in 2017 (16.8% for males and 65.2% females) compared with 28.4% in the trade, restaurants and hotels sector (30.6% for males and 13.2% for females), 19.6% </w:t>
      </w:r>
      <w:r w:rsidR="000F1B7B" w:rsidRPr="0060226A">
        <w:rPr>
          <w:rFonts w:asciiTheme="majorBidi" w:hAnsiTheme="majorBidi" w:cstheme="majorBidi"/>
        </w:rPr>
        <w:t>in construction sector (22.2% for males and 1.4% for females)</w:t>
      </w:r>
      <w:r w:rsidR="009B66F9" w:rsidRPr="0060226A">
        <w:rPr>
          <w:rFonts w:asciiTheme="majorBidi" w:hAnsiTheme="majorBidi" w:cstheme="majorBidi"/>
        </w:rPr>
        <w:t xml:space="preserve">. 15.1% of the employed youth work in industry </w:t>
      </w:r>
      <w:r w:rsidRPr="0060226A">
        <w:rPr>
          <w:rFonts w:asciiTheme="majorBidi" w:hAnsiTheme="majorBidi" w:cstheme="majorBidi"/>
        </w:rPr>
        <w:t>(15.</w:t>
      </w:r>
      <w:r w:rsidR="009B66F9" w:rsidRPr="0060226A">
        <w:rPr>
          <w:rFonts w:asciiTheme="majorBidi" w:hAnsiTheme="majorBidi" w:cstheme="majorBidi"/>
        </w:rPr>
        <w:t>8</w:t>
      </w:r>
      <w:r w:rsidRPr="0060226A">
        <w:rPr>
          <w:rFonts w:asciiTheme="majorBidi" w:hAnsiTheme="majorBidi" w:cstheme="majorBidi"/>
        </w:rPr>
        <w:t xml:space="preserve">% </w:t>
      </w:r>
      <w:r w:rsidR="009B66F9" w:rsidRPr="0060226A">
        <w:rPr>
          <w:rFonts w:asciiTheme="majorBidi" w:hAnsiTheme="majorBidi" w:cstheme="majorBidi"/>
        </w:rPr>
        <w:t>for</w:t>
      </w:r>
      <w:r w:rsidRPr="0060226A">
        <w:rPr>
          <w:rFonts w:asciiTheme="majorBidi" w:hAnsiTheme="majorBidi" w:cstheme="majorBidi"/>
        </w:rPr>
        <w:t xml:space="preserve"> males and 10.7% </w:t>
      </w:r>
      <w:r w:rsidR="001E5DFC" w:rsidRPr="0060226A">
        <w:rPr>
          <w:rFonts w:asciiTheme="majorBidi" w:hAnsiTheme="majorBidi" w:cstheme="majorBidi"/>
        </w:rPr>
        <w:t xml:space="preserve">for </w:t>
      </w:r>
      <w:r w:rsidRPr="0060226A">
        <w:rPr>
          <w:rFonts w:asciiTheme="majorBidi" w:hAnsiTheme="majorBidi" w:cstheme="majorBidi"/>
        </w:rPr>
        <w:t>females). The percentage of workers in the agriculture sector was 7.5% (7.9% for males and 4.7% for females)</w:t>
      </w:r>
      <w:r w:rsidR="001E5DFC" w:rsidRPr="0060226A">
        <w:rPr>
          <w:rFonts w:asciiTheme="majorBidi" w:hAnsiTheme="majorBidi" w:cstheme="majorBidi"/>
        </w:rPr>
        <w:t>, while the percentage of the emplo</w:t>
      </w:r>
      <w:r w:rsidR="003B346B" w:rsidRPr="0060226A">
        <w:rPr>
          <w:rFonts w:asciiTheme="majorBidi" w:hAnsiTheme="majorBidi" w:cstheme="majorBidi"/>
        </w:rPr>
        <w:t>y</w:t>
      </w:r>
      <w:r w:rsidR="001E5DFC" w:rsidRPr="0060226A">
        <w:rPr>
          <w:rFonts w:asciiTheme="majorBidi" w:hAnsiTheme="majorBidi" w:cstheme="majorBidi"/>
        </w:rPr>
        <w:t xml:space="preserve">ed </w:t>
      </w:r>
      <w:r w:rsidR="003B346B" w:rsidRPr="0060226A">
        <w:rPr>
          <w:rFonts w:asciiTheme="majorBidi" w:hAnsiTheme="majorBidi" w:cstheme="majorBidi"/>
        </w:rPr>
        <w:t xml:space="preserve">youth </w:t>
      </w:r>
      <w:r w:rsidR="001E5DFC" w:rsidRPr="0060226A">
        <w:rPr>
          <w:rFonts w:asciiTheme="majorBidi" w:hAnsiTheme="majorBidi" w:cstheme="majorBidi"/>
        </w:rPr>
        <w:t>in</w:t>
      </w:r>
      <w:r w:rsidR="002B0F59" w:rsidRPr="0060226A">
        <w:rPr>
          <w:rFonts w:asciiTheme="majorBidi" w:hAnsiTheme="majorBidi" w:cstheme="majorBidi"/>
        </w:rPr>
        <w:t xml:space="preserve"> transportation, storage and communications sector</w:t>
      </w:r>
      <w:r w:rsidR="0099735F" w:rsidRPr="0060226A">
        <w:rPr>
          <w:rFonts w:asciiTheme="majorBidi" w:hAnsiTheme="majorBidi" w:cstheme="majorBidi"/>
        </w:rPr>
        <w:t xml:space="preserve"> reached 6.4% </w:t>
      </w:r>
      <w:r w:rsidRPr="0060226A">
        <w:rPr>
          <w:rFonts w:asciiTheme="majorBidi" w:hAnsiTheme="majorBidi" w:cstheme="majorBidi"/>
        </w:rPr>
        <w:t>(6.</w:t>
      </w:r>
      <w:r w:rsidR="0099735F" w:rsidRPr="0060226A">
        <w:rPr>
          <w:rFonts w:asciiTheme="majorBidi" w:hAnsiTheme="majorBidi" w:cstheme="majorBidi"/>
        </w:rPr>
        <w:t>7</w:t>
      </w:r>
      <w:r w:rsidRPr="0060226A">
        <w:rPr>
          <w:rFonts w:asciiTheme="majorBidi" w:hAnsiTheme="majorBidi" w:cstheme="majorBidi"/>
        </w:rPr>
        <w:t>% for males and 4.8% for females</w:t>
      </w:r>
      <w:r w:rsidR="00CC2485" w:rsidRPr="0060226A">
        <w:rPr>
          <w:rFonts w:asciiTheme="majorBidi" w:hAnsiTheme="majorBidi" w:cstheme="majorBidi"/>
        </w:rPr>
        <w:t>).</w:t>
      </w:r>
    </w:p>
    <w:p w:rsidR="009F2F9C" w:rsidRPr="0060226A" w:rsidRDefault="009F2F9C" w:rsidP="00C1193D">
      <w:pPr>
        <w:bidi w:val="0"/>
        <w:jc w:val="both"/>
        <w:rPr>
          <w:rFonts w:asciiTheme="majorBidi" w:hAnsiTheme="majorBidi" w:cstheme="majorBidi"/>
          <w:sz w:val="16"/>
          <w:szCs w:val="16"/>
          <w:rtl/>
        </w:rPr>
      </w:pPr>
    </w:p>
    <w:p w:rsidR="00E47C9B" w:rsidRPr="0060226A" w:rsidRDefault="00E47C9B" w:rsidP="00C1193D">
      <w:pPr>
        <w:bidi w:val="0"/>
        <w:jc w:val="both"/>
        <w:rPr>
          <w:rFonts w:asciiTheme="majorBidi" w:hAnsiTheme="majorBidi" w:cstheme="majorBidi"/>
          <w:b/>
          <w:bCs/>
          <w:sz w:val="26"/>
          <w:szCs w:val="26"/>
        </w:rPr>
      </w:pPr>
      <w:r w:rsidRPr="0060226A">
        <w:rPr>
          <w:rFonts w:asciiTheme="majorBidi" w:hAnsiTheme="majorBidi" w:cstheme="majorBidi"/>
          <w:b/>
          <w:bCs/>
          <w:sz w:val="26"/>
          <w:szCs w:val="26"/>
        </w:rPr>
        <w:t xml:space="preserve">Less than 1% of </w:t>
      </w:r>
      <w:r w:rsidR="00CC2485" w:rsidRPr="0060226A">
        <w:rPr>
          <w:rFonts w:asciiTheme="majorBidi" w:hAnsiTheme="majorBidi" w:cstheme="majorBidi"/>
          <w:b/>
          <w:bCs/>
          <w:sz w:val="26"/>
          <w:szCs w:val="26"/>
        </w:rPr>
        <w:t xml:space="preserve">the </w:t>
      </w:r>
      <w:r w:rsidRPr="0060226A">
        <w:rPr>
          <w:rFonts w:asciiTheme="majorBidi" w:hAnsiTheme="majorBidi" w:cstheme="majorBidi"/>
          <w:b/>
          <w:bCs/>
          <w:sz w:val="26"/>
          <w:szCs w:val="26"/>
        </w:rPr>
        <w:t>Palestinian youth work in decision-making positions</w:t>
      </w:r>
    </w:p>
    <w:p w:rsidR="00E47C9B" w:rsidRPr="0060226A" w:rsidRDefault="00E47C9B" w:rsidP="00C1193D">
      <w:pPr>
        <w:bidi w:val="0"/>
        <w:jc w:val="both"/>
        <w:rPr>
          <w:rFonts w:asciiTheme="majorBidi" w:hAnsiTheme="majorBidi" w:cstheme="majorBidi"/>
          <w:rtl/>
        </w:rPr>
      </w:pPr>
      <w:r w:rsidRPr="0060226A">
        <w:rPr>
          <w:rFonts w:asciiTheme="majorBidi" w:hAnsiTheme="majorBidi" w:cstheme="majorBidi"/>
        </w:rPr>
        <w:t xml:space="preserve">The data for 2017 showed that 0.7% of </w:t>
      </w:r>
      <w:r w:rsidR="00CC2485" w:rsidRPr="0060226A">
        <w:rPr>
          <w:rFonts w:asciiTheme="majorBidi" w:hAnsiTheme="majorBidi" w:cstheme="majorBidi"/>
        </w:rPr>
        <w:t>youth</w:t>
      </w:r>
      <w:r w:rsidRPr="0060226A">
        <w:rPr>
          <w:rFonts w:asciiTheme="majorBidi" w:hAnsiTheme="majorBidi" w:cstheme="majorBidi"/>
        </w:rPr>
        <w:t xml:space="preserve"> work </w:t>
      </w:r>
      <w:r w:rsidR="00FD6F9E" w:rsidRPr="0060226A">
        <w:rPr>
          <w:rFonts w:asciiTheme="majorBidi" w:hAnsiTheme="majorBidi" w:cstheme="majorBidi"/>
        </w:rPr>
        <w:t xml:space="preserve">as </w:t>
      </w:r>
      <w:r w:rsidRPr="0060226A">
        <w:rPr>
          <w:rFonts w:asciiTheme="majorBidi" w:hAnsiTheme="majorBidi" w:cstheme="majorBidi"/>
        </w:rPr>
        <w:t xml:space="preserve">legislators and senior management employees </w:t>
      </w:r>
      <w:r w:rsidR="00FD6F9E" w:rsidRPr="0060226A">
        <w:rPr>
          <w:rFonts w:asciiTheme="majorBidi" w:hAnsiTheme="majorBidi" w:cstheme="majorBidi"/>
        </w:rPr>
        <w:t>(</w:t>
      </w:r>
      <w:r w:rsidRPr="0060226A">
        <w:rPr>
          <w:rFonts w:asciiTheme="majorBidi" w:hAnsiTheme="majorBidi" w:cstheme="majorBidi"/>
        </w:rPr>
        <w:t>0.8% in the West Bank and 0.7% in Gaza Strip</w:t>
      </w:r>
      <w:r w:rsidR="00FD6F9E" w:rsidRPr="0060226A">
        <w:rPr>
          <w:rFonts w:asciiTheme="majorBidi" w:hAnsiTheme="majorBidi" w:cstheme="majorBidi"/>
        </w:rPr>
        <w:t>)</w:t>
      </w:r>
      <w:r w:rsidRPr="0060226A">
        <w:rPr>
          <w:rFonts w:asciiTheme="majorBidi" w:hAnsiTheme="majorBidi" w:cstheme="majorBidi"/>
          <w:rtl/>
        </w:rPr>
        <w:t>.</w:t>
      </w:r>
    </w:p>
    <w:p w:rsidR="00763D71" w:rsidRPr="0060226A" w:rsidRDefault="00763D71" w:rsidP="00C1193D">
      <w:pPr>
        <w:bidi w:val="0"/>
        <w:jc w:val="both"/>
        <w:rPr>
          <w:rFonts w:asciiTheme="majorBidi" w:hAnsiTheme="majorBidi" w:cstheme="majorBidi"/>
          <w:sz w:val="16"/>
          <w:szCs w:val="16"/>
          <w:rtl/>
        </w:rPr>
      </w:pPr>
    </w:p>
    <w:bookmarkEnd w:id="1"/>
    <w:bookmarkEnd w:id="2"/>
    <w:p w:rsidR="001A1325" w:rsidRPr="0060226A" w:rsidRDefault="00C33B0B" w:rsidP="004800F3">
      <w:pPr>
        <w:bidi w:val="0"/>
        <w:jc w:val="both"/>
        <w:rPr>
          <w:rFonts w:asciiTheme="majorBidi" w:hAnsiTheme="majorBidi" w:cstheme="majorBidi"/>
          <w:b/>
          <w:bCs/>
          <w:sz w:val="26"/>
          <w:szCs w:val="26"/>
        </w:rPr>
      </w:pPr>
      <w:r w:rsidRPr="0060226A">
        <w:rPr>
          <w:rFonts w:asciiTheme="majorBidi" w:hAnsiTheme="majorBidi" w:cstheme="majorBidi"/>
          <w:b/>
          <w:bCs/>
          <w:sz w:val="26"/>
          <w:szCs w:val="26"/>
          <w:rtl/>
        </w:rPr>
        <w:t>3</w:t>
      </w:r>
      <w:r w:rsidR="00FD6F9E" w:rsidRPr="0060226A">
        <w:rPr>
          <w:rFonts w:asciiTheme="majorBidi" w:hAnsiTheme="majorBidi" w:cstheme="majorBidi"/>
          <w:b/>
          <w:bCs/>
          <w:sz w:val="26"/>
          <w:szCs w:val="26"/>
        </w:rPr>
        <w:t xml:space="preserve"> </w:t>
      </w:r>
      <w:r w:rsidR="001A1325" w:rsidRPr="0060226A">
        <w:rPr>
          <w:rFonts w:asciiTheme="majorBidi" w:hAnsiTheme="majorBidi" w:cstheme="majorBidi"/>
          <w:b/>
          <w:bCs/>
          <w:sz w:val="26"/>
          <w:szCs w:val="26"/>
        </w:rPr>
        <w:t xml:space="preserve">out of 100 </w:t>
      </w:r>
      <w:r w:rsidR="004800F3" w:rsidRPr="0060226A">
        <w:rPr>
          <w:rFonts w:asciiTheme="majorBidi" w:hAnsiTheme="majorBidi" w:cstheme="majorBidi"/>
          <w:b/>
          <w:bCs/>
          <w:sz w:val="26"/>
          <w:szCs w:val="26"/>
        </w:rPr>
        <w:t xml:space="preserve">youth </w:t>
      </w:r>
      <w:r w:rsidR="00A7785E" w:rsidRPr="0060226A">
        <w:rPr>
          <w:rFonts w:asciiTheme="majorBidi" w:hAnsiTheme="majorBidi" w:cstheme="majorBidi"/>
          <w:b/>
          <w:bCs/>
          <w:sz w:val="26"/>
          <w:szCs w:val="26"/>
        </w:rPr>
        <w:t>have</w:t>
      </w:r>
      <w:r w:rsidR="001A1325" w:rsidRPr="0060226A">
        <w:rPr>
          <w:rFonts w:asciiTheme="majorBidi" w:hAnsiTheme="majorBidi" w:cstheme="majorBidi"/>
          <w:b/>
          <w:bCs/>
          <w:sz w:val="26"/>
          <w:szCs w:val="26"/>
        </w:rPr>
        <w:t xml:space="preserve"> disability/difficulty, and nearly a </w:t>
      </w:r>
      <w:r w:rsidR="00A7785E" w:rsidRPr="0060226A">
        <w:rPr>
          <w:rFonts w:asciiTheme="majorBidi" w:hAnsiTheme="majorBidi" w:cstheme="majorBidi"/>
          <w:b/>
          <w:bCs/>
          <w:sz w:val="26"/>
          <w:szCs w:val="26"/>
        </w:rPr>
        <w:t>one-</w:t>
      </w:r>
      <w:r w:rsidR="001A1325" w:rsidRPr="0060226A">
        <w:rPr>
          <w:rFonts w:asciiTheme="majorBidi" w:hAnsiTheme="majorBidi" w:cstheme="majorBidi"/>
          <w:b/>
          <w:bCs/>
          <w:sz w:val="26"/>
          <w:szCs w:val="26"/>
        </w:rPr>
        <w:t xml:space="preserve">third of </w:t>
      </w:r>
      <w:r w:rsidR="00A7785E" w:rsidRPr="0060226A">
        <w:rPr>
          <w:rFonts w:asciiTheme="majorBidi" w:hAnsiTheme="majorBidi" w:cstheme="majorBidi"/>
          <w:b/>
          <w:bCs/>
          <w:sz w:val="26"/>
          <w:szCs w:val="26"/>
        </w:rPr>
        <w:t xml:space="preserve">the </w:t>
      </w:r>
      <w:r w:rsidR="00734138" w:rsidRPr="0060226A">
        <w:rPr>
          <w:rFonts w:asciiTheme="majorBidi" w:hAnsiTheme="majorBidi" w:cstheme="majorBidi"/>
          <w:b/>
          <w:bCs/>
          <w:sz w:val="26"/>
          <w:szCs w:val="26"/>
        </w:rPr>
        <w:t>youth</w:t>
      </w:r>
      <w:r w:rsidR="001A1325" w:rsidRPr="0060226A">
        <w:rPr>
          <w:rFonts w:asciiTheme="majorBidi" w:hAnsiTheme="majorBidi" w:cstheme="majorBidi"/>
          <w:b/>
          <w:bCs/>
          <w:sz w:val="26"/>
          <w:szCs w:val="26"/>
        </w:rPr>
        <w:t xml:space="preserve"> </w:t>
      </w:r>
      <w:r w:rsidR="00A7785E" w:rsidRPr="0060226A">
        <w:rPr>
          <w:rFonts w:asciiTheme="majorBidi" w:hAnsiTheme="majorBidi" w:cstheme="majorBidi"/>
          <w:b/>
          <w:bCs/>
          <w:sz w:val="26"/>
          <w:szCs w:val="26"/>
        </w:rPr>
        <w:t>who have</w:t>
      </w:r>
      <w:r w:rsidR="001A1325" w:rsidRPr="0060226A">
        <w:rPr>
          <w:rFonts w:asciiTheme="majorBidi" w:hAnsiTheme="majorBidi" w:cstheme="majorBidi"/>
          <w:b/>
          <w:bCs/>
          <w:sz w:val="26"/>
          <w:szCs w:val="26"/>
        </w:rPr>
        <w:t xml:space="preserve"> disabilities/difficulty are not enrolled in education</w:t>
      </w:r>
    </w:p>
    <w:p w:rsidR="001A1325" w:rsidRPr="0060226A" w:rsidRDefault="001A1325" w:rsidP="0060226A">
      <w:pPr>
        <w:bidi w:val="0"/>
        <w:jc w:val="both"/>
        <w:rPr>
          <w:rFonts w:asciiTheme="majorBidi" w:hAnsiTheme="majorBidi" w:cstheme="majorBidi"/>
        </w:rPr>
      </w:pPr>
      <w:r w:rsidRPr="0060226A">
        <w:rPr>
          <w:rFonts w:asciiTheme="majorBidi" w:hAnsiTheme="majorBidi" w:cstheme="majorBidi"/>
        </w:rPr>
        <w:t>According to the</w:t>
      </w:r>
      <w:r w:rsidR="00210006" w:rsidRPr="0060226A">
        <w:rPr>
          <w:rFonts w:asciiTheme="majorBidi" w:hAnsiTheme="majorBidi" w:cstheme="majorBidi"/>
        </w:rPr>
        <w:t xml:space="preserve"> data of the</w:t>
      </w:r>
      <w:r w:rsidRPr="0060226A">
        <w:rPr>
          <w:rFonts w:asciiTheme="majorBidi" w:hAnsiTheme="majorBidi" w:cstheme="majorBidi"/>
        </w:rPr>
        <w:t xml:space="preserve"> Population, Housing and Establishment</w:t>
      </w:r>
      <w:r w:rsidR="00210006" w:rsidRPr="0060226A">
        <w:rPr>
          <w:rFonts w:asciiTheme="majorBidi" w:hAnsiTheme="majorBidi" w:cstheme="majorBidi"/>
        </w:rPr>
        <w:t>s</w:t>
      </w:r>
      <w:r w:rsidRPr="0060226A">
        <w:rPr>
          <w:rFonts w:asciiTheme="majorBidi" w:hAnsiTheme="majorBidi" w:cstheme="majorBidi"/>
        </w:rPr>
        <w:t xml:space="preserve"> Census 2017, 40,542 individuals (15-29 years) in Palestine have a disability </w:t>
      </w:r>
      <w:r w:rsidR="00A07472" w:rsidRPr="0060226A">
        <w:rPr>
          <w:rFonts w:asciiTheme="majorBidi" w:hAnsiTheme="majorBidi" w:cstheme="majorBidi"/>
        </w:rPr>
        <w:t>representing</w:t>
      </w:r>
      <w:r w:rsidRPr="0060226A">
        <w:rPr>
          <w:rFonts w:asciiTheme="majorBidi" w:hAnsiTheme="majorBidi" w:cstheme="majorBidi"/>
        </w:rPr>
        <w:t xml:space="preserve"> 3.1%</w:t>
      </w:r>
      <w:r w:rsidR="00A07472" w:rsidRPr="0060226A">
        <w:rPr>
          <w:rFonts w:asciiTheme="majorBidi" w:hAnsiTheme="majorBidi" w:cstheme="majorBidi"/>
        </w:rPr>
        <w:t xml:space="preserve"> of the youth</w:t>
      </w:r>
      <w:r w:rsidRPr="0060226A">
        <w:rPr>
          <w:rFonts w:asciiTheme="majorBidi" w:hAnsiTheme="majorBidi" w:cstheme="majorBidi"/>
        </w:rPr>
        <w:t xml:space="preserve"> </w:t>
      </w:r>
      <w:r w:rsidR="00A07472" w:rsidRPr="0060226A">
        <w:rPr>
          <w:rFonts w:asciiTheme="majorBidi" w:hAnsiTheme="majorBidi" w:cstheme="majorBidi"/>
        </w:rPr>
        <w:t>(</w:t>
      </w:r>
      <w:r w:rsidRPr="0060226A">
        <w:rPr>
          <w:rFonts w:asciiTheme="majorBidi" w:hAnsiTheme="majorBidi" w:cstheme="majorBidi"/>
        </w:rPr>
        <w:t xml:space="preserve">18,300 in the West Bank (2.5%) and 22,242 in Gaza Strip </w:t>
      </w:r>
      <w:r w:rsidR="00A22464" w:rsidRPr="0060226A">
        <w:rPr>
          <w:rFonts w:asciiTheme="majorBidi" w:hAnsiTheme="majorBidi" w:cstheme="majorBidi"/>
        </w:rPr>
        <w:t>(4.0%)</w:t>
      </w:r>
      <w:r w:rsidRPr="0060226A">
        <w:rPr>
          <w:rFonts w:asciiTheme="majorBidi" w:hAnsiTheme="majorBidi" w:cstheme="majorBidi"/>
        </w:rPr>
        <w:t xml:space="preserve">). </w:t>
      </w:r>
      <w:r w:rsidR="00A22464" w:rsidRPr="0060226A">
        <w:rPr>
          <w:rFonts w:asciiTheme="majorBidi" w:hAnsiTheme="majorBidi" w:cstheme="majorBidi"/>
        </w:rPr>
        <w:t xml:space="preserve">It is </w:t>
      </w:r>
      <w:r w:rsidR="000D3A8F" w:rsidRPr="0060226A">
        <w:rPr>
          <w:rFonts w:asciiTheme="majorBidi" w:hAnsiTheme="majorBidi" w:cstheme="majorBidi"/>
        </w:rPr>
        <w:t>worth noting that t</w:t>
      </w:r>
      <w:r w:rsidRPr="0060226A">
        <w:rPr>
          <w:rFonts w:asciiTheme="majorBidi" w:hAnsiTheme="majorBidi" w:cstheme="majorBidi"/>
        </w:rPr>
        <w:t xml:space="preserve">he percentage of </w:t>
      </w:r>
      <w:r w:rsidR="004800F3" w:rsidRPr="0060226A">
        <w:rPr>
          <w:rFonts w:asciiTheme="majorBidi" w:hAnsiTheme="majorBidi" w:cstheme="majorBidi"/>
        </w:rPr>
        <w:t>individuals</w:t>
      </w:r>
      <w:r w:rsidRPr="0060226A">
        <w:rPr>
          <w:rFonts w:asciiTheme="majorBidi" w:hAnsiTheme="majorBidi" w:cstheme="majorBidi"/>
        </w:rPr>
        <w:t xml:space="preserve"> </w:t>
      </w:r>
      <w:r w:rsidR="000D3A8F" w:rsidRPr="0060226A">
        <w:rPr>
          <w:rFonts w:asciiTheme="majorBidi" w:hAnsiTheme="majorBidi" w:cstheme="majorBidi"/>
        </w:rPr>
        <w:t>who have</w:t>
      </w:r>
      <w:r w:rsidRPr="0060226A">
        <w:rPr>
          <w:rFonts w:asciiTheme="majorBidi" w:hAnsiTheme="majorBidi" w:cstheme="majorBidi"/>
        </w:rPr>
        <w:t xml:space="preserve"> disabilities/difficult</w:t>
      </w:r>
      <w:r w:rsidR="000D3A8F" w:rsidRPr="0060226A">
        <w:rPr>
          <w:rFonts w:asciiTheme="majorBidi" w:hAnsiTheme="majorBidi" w:cstheme="majorBidi"/>
        </w:rPr>
        <w:t>ies</w:t>
      </w:r>
      <w:r w:rsidRPr="0060226A">
        <w:rPr>
          <w:rFonts w:asciiTheme="majorBidi" w:hAnsiTheme="majorBidi" w:cstheme="majorBidi"/>
        </w:rPr>
        <w:t xml:space="preserve"> increased </w:t>
      </w:r>
      <w:r w:rsidR="004D329D" w:rsidRPr="0060226A">
        <w:rPr>
          <w:rFonts w:asciiTheme="majorBidi" w:hAnsiTheme="majorBidi" w:cstheme="majorBidi"/>
        </w:rPr>
        <w:t>compared with the percentage</w:t>
      </w:r>
      <w:r w:rsidRPr="0060226A">
        <w:rPr>
          <w:rFonts w:asciiTheme="majorBidi" w:hAnsiTheme="majorBidi" w:cstheme="majorBidi"/>
        </w:rPr>
        <w:t xml:space="preserve"> 2.8% in 2007 (3.0% in the West Bank and 2.5% in Gaza Strip). The percentage of disability/difficulty among young males was 4.2% compared with 2.1% among young females. Compared with the </w:t>
      </w:r>
      <w:r w:rsidR="00572DC9" w:rsidRPr="0060226A">
        <w:rPr>
          <w:rFonts w:asciiTheme="majorBidi" w:hAnsiTheme="majorBidi" w:cstheme="majorBidi"/>
        </w:rPr>
        <w:t xml:space="preserve">census </w:t>
      </w:r>
      <w:r w:rsidRPr="0060226A">
        <w:rPr>
          <w:rFonts w:asciiTheme="majorBidi" w:hAnsiTheme="majorBidi" w:cstheme="majorBidi"/>
        </w:rPr>
        <w:t xml:space="preserve">2007 data, the percentage of disability/difficulty </w:t>
      </w:r>
      <w:r w:rsidRPr="0060226A">
        <w:rPr>
          <w:rFonts w:asciiTheme="majorBidi" w:hAnsiTheme="majorBidi" w:cstheme="majorBidi"/>
        </w:rPr>
        <w:lastRenderedPageBreak/>
        <w:t xml:space="preserve">among young males was 3.4%, while </w:t>
      </w:r>
      <w:r w:rsidR="00572DC9" w:rsidRPr="0060226A">
        <w:rPr>
          <w:rFonts w:asciiTheme="majorBidi" w:hAnsiTheme="majorBidi" w:cstheme="majorBidi"/>
        </w:rPr>
        <w:t>it w</w:t>
      </w:r>
      <w:r w:rsidR="00F5533A" w:rsidRPr="0060226A">
        <w:rPr>
          <w:rFonts w:asciiTheme="majorBidi" w:hAnsiTheme="majorBidi" w:cstheme="majorBidi"/>
        </w:rPr>
        <w:t>as 2.2% among the young females</w:t>
      </w:r>
      <w:r w:rsidRPr="0060226A">
        <w:rPr>
          <w:rFonts w:asciiTheme="majorBidi" w:hAnsiTheme="majorBidi" w:cstheme="majorBidi"/>
        </w:rPr>
        <w:t xml:space="preserve">. As for enrollment in education among </w:t>
      </w:r>
      <w:r w:rsidR="00F5533A" w:rsidRPr="0060226A">
        <w:rPr>
          <w:rFonts w:asciiTheme="majorBidi" w:hAnsiTheme="majorBidi" w:cstheme="majorBidi"/>
        </w:rPr>
        <w:t xml:space="preserve">the youth who have </w:t>
      </w:r>
      <w:r w:rsidRPr="0060226A">
        <w:rPr>
          <w:rFonts w:asciiTheme="majorBidi" w:hAnsiTheme="majorBidi" w:cstheme="majorBidi"/>
        </w:rPr>
        <w:t>disabilities/difficult</w:t>
      </w:r>
      <w:r w:rsidR="00F5533A" w:rsidRPr="0060226A">
        <w:rPr>
          <w:rFonts w:asciiTheme="majorBidi" w:hAnsiTheme="majorBidi" w:cstheme="majorBidi"/>
        </w:rPr>
        <w:t>ies</w:t>
      </w:r>
      <w:r w:rsidRPr="0060226A">
        <w:rPr>
          <w:rFonts w:asciiTheme="majorBidi" w:hAnsiTheme="majorBidi" w:cstheme="majorBidi"/>
        </w:rPr>
        <w:t xml:space="preserve">, in 2017 the results indicated that the percentage of those who did not enroll in education reached 29.4% (32.1% in the West Bank compared to 27.2% in Gaza Strip). </w:t>
      </w:r>
      <w:r w:rsidR="00244600" w:rsidRPr="0060226A">
        <w:rPr>
          <w:rFonts w:asciiTheme="majorBidi" w:hAnsiTheme="majorBidi" w:cstheme="majorBidi"/>
        </w:rPr>
        <w:t>Mobility d</w:t>
      </w:r>
      <w:r w:rsidRPr="0060226A">
        <w:rPr>
          <w:rFonts w:asciiTheme="majorBidi" w:hAnsiTheme="majorBidi" w:cstheme="majorBidi"/>
        </w:rPr>
        <w:t>isability/difficult</w:t>
      </w:r>
      <w:r w:rsidR="00244600" w:rsidRPr="0060226A">
        <w:rPr>
          <w:rFonts w:asciiTheme="majorBidi" w:hAnsiTheme="majorBidi" w:cstheme="majorBidi"/>
        </w:rPr>
        <w:t>y</w:t>
      </w:r>
      <w:r w:rsidRPr="0060226A">
        <w:rPr>
          <w:rFonts w:asciiTheme="majorBidi" w:hAnsiTheme="majorBidi" w:cstheme="majorBidi"/>
        </w:rPr>
        <w:t xml:space="preserve"> </w:t>
      </w:r>
      <w:r w:rsidR="00A55EB9" w:rsidRPr="0060226A">
        <w:rPr>
          <w:rFonts w:asciiTheme="majorBidi" w:hAnsiTheme="majorBidi" w:cstheme="majorBidi"/>
        </w:rPr>
        <w:t xml:space="preserve">is considered </w:t>
      </w:r>
      <w:r w:rsidRPr="0060226A">
        <w:rPr>
          <w:rFonts w:asciiTheme="majorBidi" w:hAnsiTheme="majorBidi" w:cstheme="majorBidi"/>
        </w:rPr>
        <w:t xml:space="preserve">the most prevalent among </w:t>
      </w:r>
      <w:r w:rsidR="00A55EB9" w:rsidRPr="0060226A">
        <w:rPr>
          <w:rFonts w:asciiTheme="majorBidi" w:hAnsiTheme="majorBidi" w:cstheme="majorBidi"/>
        </w:rPr>
        <w:t xml:space="preserve">the youth, where </w:t>
      </w:r>
      <w:r w:rsidRPr="0060226A">
        <w:rPr>
          <w:rFonts w:asciiTheme="majorBidi" w:hAnsiTheme="majorBidi" w:cstheme="majorBidi"/>
        </w:rPr>
        <w:t xml:space="preserve">1.3% of Palestinian youth </w:t>
      </w:r>
      <w:r w:rsidR="00A55EB9" w:rsidRPr="0060226A">
        <w:rPr>
          <w:rFonts w:asciiTheme="majorBidi" w:hAnsiTheme="majorBidi" w:cstheme="majorBidi"/>
        </w:rPr>
        <w:t>(</w:t>
      </w:r>
      <w:r w:rsidRPr="0060226A">
        <w:rPr>
          <w:rFonts w:asciiTheme="majorBidi" w:hAnsiTheme="majorBidi" w:cstheme="majorBidi"/>
        </w:rPr>
        <w:t>15-29</w:t>
      </w:r>
      <w:r w:rsidR="004800F3" w:rsidRPr="0060226A">
        <w:rPr>
          <w:rFonts w:asciiTheme="majorBidi" w:hAnsiTheme="majorBidi" w:cstheme="majorBidi"/>
        </w:rPr>
        <w:t xml:space="preserve"> years</w:t>
      </w:r>
      <w:r w:rsidR="00A55EB9" w:rsidRPr="0060226A">
        <w:rPr>
          <w:rFonts w:asciiTheme="majorBidi" w:hAnsiTheme="majorBidi" w:cstheme="majorBidi"/>
        </w:rPr>
        <w:t>)</w:t>
      </w:r>
      <w:r w:rsidRPr="0060226A">
        <w:rPr>
          <w:rFonts w:asciiTheme="majorBidi" w:hAnsiTheme="majorBidi" w:cstheme="majorBidi"/>
        </w:rPr>
        <w:t xml:space="preserve"> suffer from </w:t>
      </w:r>
      <w:r w:rsidR="00A55EB9" w:rsidRPr="0060226A">
        <w:rPr>
          <w:rFonts w:asciiTheme="majorBidi" w:hAnsiTheme="majorBidi" w:cstheme="majorBidi"/>
        </w:rPr>
        <w:t xml:space="preserve">mobility </w:t>
      </w:r>
      <w:r w:rsidRPr="0060226A">
        <w:rPr>
          <w:rFonts w:asciiTheme="majorBidi" w:hAnsiTheme="majorBidi" w:cstheme="majorBidi"/>
        </w:rPr>
        <w:t>disability/difficult</w:t>
      </w:r>
      <w:r w:rsidR="00786282" w:rsidRPr="0060226A">
        <w:rPr>
          <w:rFonts w:asciiTheme="majorBidi" w:hAnsiTheme="majorBidi" w:cstheme="majorBidi"/>
        </w:rPr>
        <w:t>y</w:t>
      </w:r>
      <w:r w:rsidRPr="0060226A">
        <w:rPr>
          <w:rFonts w:asciiTheme="majorBidi" w:hAnsiTheme="majorBidi" w:cstheme="majorBidi"/>
        </w:rPr>
        <w:t xml:space="preserve"> followed by </w:t>
      </w:r>
      <w:r w:rsidR="00D40CA8" w:rsidRPr="0060226A">
        <w:rPr>
          <w:rFonts w:asciiTheme="majorBidi" w:hAnsiTheme="majorBidi" w:cstheme="majorBidi"/>
        </w:rPr>
        <w:t>seeing</w:t>
      </w:r>
      <w:r w:rsidR="00786282" w:rsidRPr="0060226A">
        <w:rPr>
          <w:rFonts w:asciiTheme="majorBidi" w:hAnsiTheme="majorBidi" w:cstheme="majorBidi"/>
        </w:rPr>
        <w:t xml:space="preserve"> </w:t>
      </w:r>
      <w:r w:rsidRPr="0060226A">
        <w:rPr>
          <w:rFonts w:asciiTheme="majorBidi" w:hAnsiTheme="majorBidi" w:cstheme="majorBidi"/>
        </w:rPr>
        <w:t xml:space="preserve">disability/difficulty </w:t>
      </w:r>
      <w:r w:rsidR="00786282" w:rsidRPr="0060226A">
        <w:rPr>
          <w:rFonts w:asciiTheme="majorBidi" w:hAnsiTheme="majorBidi" w:cstheme="majorBidi"/>
        </w:rPr>
        <w:t xml:space="preserve">with a percentage of </w:t>
      </w:r>
      <w:r w:rsidRPr="0060226A">
        <w:rPr>
          <w:rFonts w:asciiTheme="majorBidi" w:hAnsiTheme="majorBidi" w:cstheme="majorBidi"/>
        </w:rPr>
        <w:t>1.2% for the same category</w:t>
      </w:r>
      <w:r w:rsidRPr="0060226A">
        <w:rPr>
          <w:rFonts w:asciiTheme="majorBidi" w:hAnsiTheme="majorBidi" w:cstheme="majorBidi"/>
          <w:rtl/>
        </w:rPr>
        <w:t>.</w:t>
      </w:r>
    </w:p>
    <w:p w:rsidR="00C1193D" w:rsidRPr="0060226A" w:rsidRDefault="00C1193D" w:rsidP="00C1193D">
      <w:pPr>
        <w:bidi w:val="0"/>
        <w:jc w:val="both"/>
        <w:rPr>
          <w:rFonts w:asciiTheme="majorBidi" w:hAnsiTheme="majorBidi" w:cstheme="majorBidi"/>
          <w:sz w:val="16"/>
          <w:szCs w:val="16"/>
        </w:rPr>
      </w:pPr>
    </w:p>
    <w:p w:rsidR="0060226A" w:rsidRDefault="004800F3" w:rsidP="0060226A">
      <w:pPr>
        <w:bidi w:val="0"/>
        <w:jc w:val="center"/>
        <w:rPr>
          <w:rFonts w:asciiTheme="majorBidi" w:hAnsiTheme="majorBidi" w:cstheme="majorBidi"/>
          <w:b/>
          <w:bCs/>
          <w:sz w:val="26"/>
          <w:szCs w:val="26"/>
        </w:rPr>
      </w:pPr>
      <w:r w:rsidRPr="0060226A">
        <w:rPr>
          <w:rFonts w:asciiTheme="majorBidi" w:hAnsiTheme="majorBidi" w:cstheme="majorBidi"/>
          <w:b/>
          <w:bCs/>
          <w:sz w:val="26"/>
          <w:szCs w:val="26"/>
        </w:rPr>
        <w:t>Percentage of the Youth aged (15-29</w:t>
      </w:r>
      <w:r w:rsidR="00A063D6" w:rsidRPr="0060226A">
        <w:rPr>
          <w:rFonts w:asciiTheme="majorBidi" w:hAnsiTheme="majorBidi" w:cstheme="majorBidi"/>
          <w:b/>
          <w:bCs/>
          <w:sz w:val="26"/>
          <w:szCs w:val="26"/>
        </w:rPr>
        <w:t xml:space="preserve"> years</w:t>
      </w:r>
      <w:r w:rsidRPr="0060226A">
        <w:rPr>
          <w:rFonts w:asciiTheme="majorBidi" w:hAnsiTheme="majorBidi" w:cstheme="majorBidi"/>
          <w:b/>
          <w:bCs/>
          <w:sz w:val="26"/>
          <w:szCs w:val="26"/>
        </w:rPr>
        <w:t xml:space="preserve">) </w:t>
      </w:r>
      <w:r w:rsidR="00127B2C" w:rsidRPr="0060226A">
        <w:rPr>
          <w:rFonts w:asciiTheme="majorBidi" w:hAnsiTheme="majorBidi" w:cstheme="majorBidi"/>
          <w:b/>
          <w:bCs/>
          <w:sz w:val="26"/>
          <w:szCs w:val="26"/>
        </w:rPr>
        <w:t>who have Difficulty/Disability by</w:t>
      </w:r>
    </w:p>
    <w:p w:rsidR="004800F3" w:rsidRPr="0060226A" w:rsidRDefault="004800F3" w:rsidP="0060226A">
      <w:pPr>
        <w:bidi w:val="0"/>
        <w:jc w:val="center"/>
        <w:rPr>
          <w:rFonts w:asciiTheme="majorBidi" w:hAnsiTheme="majorBidi" w:cstheme="majorBidi"/>
          <w:b/>
          <w:bCs/>
          <w:sz w:val="26"/>
          <w:szCs w:val="26"/>
        </w:rPr>
      </w:pPr>
      <w:r w:rsidRPr="0060226A">
        <w:rPr>
          <w:rFonts w:asciiTheme="majorBidi" w:hAnsiTheme="majorBidi" w:cstheme="majorBidi"/>
          <w:b/>
          <w:bCs/>
          <w:sz w:val="26"/>
          <w:szCs w:val="26"/>
        </w:rPr>
        <w:t xml:space="preserve"> Sex and Region, </w:t>
      </w:r>
      <w:r w:rsidR="0070129F" w:rsidRPr="0060226A">
        <w:rPr>
          <w:rFonts w:asciiTheme="majorBidi" w:hAnsiTheme="majorBidi" w:cstheme="majorBidi"/>
          <w:b/>
          <w:bCs/>
          <w:sz w:val="26"/>
          <w:szCs w:val="26"/>
          <w:rtl/>
        </w:rPr>
        <w:t>2017</w:t>
      </w:r>
    </w:p>
    <w:p w:rsidR="00C0059B" w:rsidRPr="0060226A" w:rsidRDefault="00C0059B" w:rsidP="00C0059B">
      <w:pPr>
        <w:bidi w:val="0"/>
        <w:jc w:val="center"/>
        <w:rPr>
          <w:rFonts w:asciiTheme="majorBidi" w:hAnsiTheme="majorBidi" w:cstheme="majorBidi"/>
          <w:b/>
          <w:bCs/>
          <w:rtl/>
        </w:rPr>
      </w:pPr>
    </w:p>
    <w:tbl>
      <w:tblPr>
        <w:tblStyle w:val="MediumGrid1-Accent3"/>
        <w:tblW w:w="8673" w:type="dxa"/>
        <w:jc w:val="center"/>
        <w:tblInd w:w="127" w:type="dxa"/>
        <w:tblLook w:val="0000"/>
      </w:tblPr>
      <w:tblGrid>
        <w:gridCol w:w="2218"/>
        <w:gridCol w:w="2181"/>
        <w:gridCol w:w="1994"/>
        <w:gridCol w:w="2280"/>
      </w:tblGrid>
      <w:tr w:rsidR="00C0059B" w:rsidRPr="0060226A" w:rsidTr="0060226A">
        <w:trPr>
          <w:cnfStyle w:val="000000100000"/>
          <w:trHeight w:val="293"/>
          <w:jc w:val="center"/>
        </w:trPr>
        <w:tc>
          <w:tcPr>
            <w:cnfStyle w:val="000010000000"/>
            <w:tcW w:w="2218" w:type="dxa"/>
            <w:vAlign w:val="center"/>
          </w:tcPr>
          <w:p w:rsidR="00C0059B" w:rsidRPr="0060226A" w:rsidRDefault="00C0059B" w:rsidP="004800F3">
            <w:pPr>
              <w:bidi w:val="0"/>
              <w:jc w:val="center"/>
              <w:rPr>
                <w:rFonts w:asciiTheme="majorBidi" w:hAnsiTheme="majorBidi" w:cstheme="majorBidi"/>
                <w:b/>
                <w:bCs/>
              </w:rPr>
            </w:pPr>
            <w:r w:rsidRPr="0060226A">
              <w:rPr>
                <w:rFonts w:asciiTheme="majorBidi" w:hAnsiTheme="majorBidi" w:cstheme="majorBidi"/>
                <w:b/>
                <w:bCs/>
              </w:rPr>
              <w:t>Sex</w:t>
            </w:r>
          </w:p>
        </w:tc>
        <w:tc>
          <w:tcPr>
            <w:tcW w:w="2181" w:type="dxa"/>
            <w:vAlign w:val="center"/>
          </w:tcPr>
          <w:p w:rsidR="00C0059B" w:rsidRPr="0060226A" w:rsidRDefault="00C0059B" w:rsidP="004800F3">
            <w:pPr>
              <w:bidi w:val="0"/>
              <w:jc w:val="center"/>
              <w:cnfStyle w:val="000000100000"/>
              <w:rPr>
                <w:rFonts w:asciiTheme="majorBidi" w:hAnsiTheme="majorBidi" w:cstheme="majorBidi"/>
                <w:b/>
                <w:bCs/>
              </w:rPr>
            </w:pPr>
            <w:r w:rsidRPr="0060226A">
              <w:rPr>
                <w:rFonts w:asciiTheme="majorBidi" w:hAnsiTheme="majorBidi" w:cstheme="majorBidi"/>
                <w:b/>
                <w:bCs/>
              </w:rPr>
              <w:t>Palestine</w:t>
            </w:r>
          </w:p>
        </w:tc>
        <w:tc>
          <w:tcPr>
            <w:cnfStyle w:val="000010000000"/>
            <w:tcW w:w="1994" w:type="dxa"/>
            <w:vAlign w:val="center"/>
          </w:tcPr>
          <w:p w:rsidR="00C0059B" w:rsidRPr="0060226A" w:rsidRDefault="00C0059B" w:rsidP="004800F3">
            <w:pPr>
              <w:bidi w:val="0"/>
              <w:jc w:val="center"/>
              <w:rPr>
                <w:rFonts w:asciiTheme="majorBidi" w:hAnsiTheme="majorBidi" w:cstheme="majorBidi"/>
                <w:b/>
                <w:bCs/>
              </w:rPr>
            </w:pPr>
            <w:r w:rsidRPr="0060226A">
              <w:rPr>
                <w:rFonts w:asciiTheme="majorBidi" w:hAnsiTheme="majorBidi" w:cstheme="majorBidi"/>
                <w:b/>
                <w:bCs/>
              </w:rPr>
              <w:t>West Bank</w:t>
            </w:r>
          </w:p>
        </w:tc>
        <w:tc>
          <w:tcPr>
            <w:tcW w:w="2280" w:type="dxa"/>
            <w:vAlign w:val="center"/>
          </w:tcPr>
          <w:p w:rsidR="00C0059B" w:rsidRPr="0060226A" w:rsidRDefault="00C0059B" w:rsidP="004800F3">
            <w:pPr>
              <w:bidi w:val="0"/>
              <w:jc w:val="center"/>
              <w:cnfStyle w:val="000000100000"/>
              <w:rPr>
                <w:rFonts w:asciiTheme="majorBidi" w:hAnsiTheme="majorBidi" w:cstheme="majorBidi"/>
                <w:b/>
                <w:bCs/>
              </w:rPr>
            </w:pPr>
            <w:r w:rsidRPr="0060226A">
              <w:rPr>
                <w:rFonts w:asciiTheme="majorBidi" w:hAnsiTheme="majorBidi" w:cstheme="majorBidi"/>
                <w:b/>
                <w:bCs/>
              </w:rPr>
              <w:t>Gaza Strip</w:t>
            </w:r>
          </w:p>
        </w:tc>
      </w:tr>
      <w:tr w:rsidR="00C0059B" w:rsidRPr="0060226A" w:rsidTr="0060226A">
        <w:trPr>
          <w:trHeight w:val="293"/>
          <w:jc w:val="center"/>
        </w:trPr>
        <w:tc>
          <w:tcPr>
            <w:cnfStyle w:val="000010000000"/>
            <w:tcW w:w="2218" w:type="dxa"/>
            <w:vAlign w:val="center"/>
          </w:tcPr>
          <w:p w:rsidR="00C0059B" w:rsidRPr="0060226A" w:rsidRDefault="00C0059B" w:rsidP="004800F3">
            <w:pPr>
              <w:bidi w:val="0"/>
              <w:rPr>
                <w:rFonts w:asciiTheme="majorBidi" w:hAnsiTheme="majorBidi" w:cstheme="majorBidi"/>
                <w:b/>
                <w:bCs/>
              </w:rPr>
            </w:pPr>
            <w:r w:rsidRPr="0060226A">
              <w:rPr>
                <w:rFonts w:asciiTheme="majorBidi" w:hAnsiTheme="majorBidi" w:cstheme="majorBidi"/>
                <w:b/>
                <w:bCs/>
              </w:rPr>
              <w:t>Both sexes</w:t>
            </w:r>
          </w:p>
        </w:tc>
        <w:tc>
          <w:tcPr>
            <w:tcW w:w="2181" w:type="dxa"/>
            <w:vAlign w:val="center"/>
          </w:tcPr>
          <w:p w:rsidR="00C0059B" w:rsidRPr="0060226A" w:rsidRDefault="00C0059B" w:rsidP="004800F3">
            <w:pPr>
              <w:pStyle w:val="Heading4"/>
              <w:jc w:val="center"/>
              <w:outlineLvl w:val="3"/>
              <w:cnfStyle w:val="000000000000"/>
              <w:rPr>
                <w:rFonts w:asciiTheme="majorBidi" w:hAnsiTheme="majorBidi" w:cstheme="majorBidi"/>
                <w:rtl/>
              </w:rPr>
            </w:pPr>
            <w:r w:rsidRPr="0060226A">
              <w:rPr>
                <w:rFonts w:asciiTheme="majorBidi" w:hAnsiTheme="majorBidi" w:cstheme="majorBidi"/>
                <w:rtl/>
              </w:rPr>
              <w:t>3.1</w:t>
            </w:r>
          </w:p>
        </w:tc>
        <w:tc>
          <w:tcPr>
            <w:cnfStyle w:val="000010000000"/>
            <w:tcW w:w="1994" w:type="dxa"/>
            <w:vAlign w:val="center"/>
          </w:tcPr>
          <w:p w:rsidR="00C0059B" w:rsidRPr="0060226A" w:rsidRDefault="00C0059B" w:rsidP="004800F3">
            <w:pPr>
              <w:jc w:val="center"/>
              <w:rPr>
                <w:rFonts w:asciiTheme="majorBidi" w:hAnsiTheme="majorBidi" w:cstheme="majorBidi"/>
              </w:rPr>
            </w:pPr>
            <w:r w:rsidRPr="0060226A">
              <w:rPr>
                <w:rFonts w:asciiTheme="majorBidi" w:hAnsiTheme="majorBidi" w:cstheme="majorBidi"/>
                <w:rtl/>
              </w:rPr>
              <w:t>2.5</w:t>
            </w:r>
          </w:p>
        </w:tc>
        <w:tc>
          <w:tcPr>
            <w:tcW w:w="2280" w:type="dxa"/>
            <w:vAlign w:val="center"/>
          </w:tcPr>
          <w:p w:rsidR="00C0059B" w:rsidRPr="0060226A" w:rsidRDefault="00C0059B" w:rsidP="004800F3">
            <w:pPr>
              <w:jc w:val="center"/>
              <w:cnfStyle w:val="000000000000"/>
              <w:rPr>
                <w:rFonts w:asciiTheme="majorBidi" w:hAnsiTheme="majorBidi" w:cstheme="majorBidi"/>
                <w:rtl/>
              </w:rPr>
            </w:pPr>
            <w:r w:rsidRPr="0060226A">
              <w:rPr>
                <w:rFonts w:asciiTheme="majorBidi" w:hAnsiTheme="majorBidi" w:cstheme="majorBidi"/>
                <w:rtl/>
              </w:rPr>
              <w:t>4.0</w:t>
            </w:r>
          </w:p>
        </w:tc>
      </w:tr>
      <w:tr w:rsidR="00C0059B" w:rsidRPr="0060226A" w:rsidTr="0060226A">
        <w:trPr>
          <w:cnfStyle w:val="000000100000"/>
          <w:trHeight w:val="293"/>
          <w:jc w:val="center"/>
        </w:trPr>
        <w:tc>
          <w:tcPr>
            <w:cnfStyle w:val="000010000000"/>
            <w:tcW w:w="2218" w:type="dxa"/>
            <w:vAlign w:val="center"/>
          </w:tcPr>
          <w:p w:rsidR="00C0059B" w:rsidRPr="0060226A" w:rsidRDefault="00C0059B" w:rsidP="004800F3">
            <w:pPr>
              <w:bidi w:val="0"/>
              <w:rPr>
                <w:rFonts w:asciiTheme="majorBidi" w:hAnsiTheme="majorBidi" w:cstheme="majorBidi"/>
              </w:rPr>
            </w:pPr>
            <w:r w:rsidRPr="0060226A">
              <w:rPr>
                <w:rFonts w:asciiTheme="majorBidi" w:hAnsiTheme="majorBidi" w:cstheme="majorBidi"/>
              </w:rPr>
              <w:t>Males</w:t>
            </w:r>
          </w:p>
        </w:tc>
        <w:tc>
          <w:tcPr>
            <w:tcW w:w="2181" w:type="dxa"/>
            <w:vAlign w:val="center"/>
          </w:tcPr>
          <w:p w:rsidR="00C0059B" w:rsidRPr="0060226A" w:rsidRDefault="00C0059B" w:rsidP="004800F3">
            <w:pPr>
              <w:jc w:val="center"/>
              <w:cnfStyle w:val="000000100000"/>
              <w:rPr>
                <w:rFonts w:asciiTheme="majorBidi" w:hAnsiTheme="majorBidi" w:cstheme="majorBidi"/>
                <w:b/>
                <w:bCs/>
                <w:rtl/>
              </w:rPr>
            </w:pPr>
            <w:r w:rsidRPr="0060226A">
              <w:rPr>
                <w:rFonts w:asciiTheme="majorBidi" w:hAnsiTheme="majorBidi" w:cstheme="majorBidi"/>
                <w:b/>
                <w:bCs/>
                <w:rtl/>
              </w:rPr>
              <w:t>4.2</w:t>
            </w:r>
          </w:p>
        </w:tc>
        <w:tc>
          <w:tcPr>
            <w:cnfStyle w:val="000010000000"/>
            <w:tcW w:w="1994" w:type="dxa"/>
            <w:vAlign w:val="center"/>
          </w:tcPr>
          <w:p w:rsidR="00C0059B" w:rsidRPr="0060226A" w:rsidRDefault="00C0059B" w:rsidP="004800F3">
            <w:pPr>
              <w:jc w:val="center"/>
              <w:rPr>
                <w:rFonts w:asciiTheme="majorBidi" w:hAnsiTheme="majorBidi" w:cstheme="majorBidi"/>
                <w:rtl/>
              </w:rPr>
            </w:pPr>
            <w:r w:rsidRPr="0060226A">
              <w:rPr>
                <w:rFonts w:asciiTheme="majorBidi" w:hAnsiTheme="majorBidi" w:cstheme="majorBidi"/>
                <w:rtl/>
              </w:rPr>
              <w:t>3.2</w:t>
            </w:r>
          </w:p>
        </w:tc>
        <w:tc>
          <w:tcPr>
            <w:tcW w:w="2280" w:type="dxa"/>
            <w:vAlign w:val="center"/>
          </w:tcPr>
          <w:p w:rsidR="00C0059B" w:rsidRPr="0060226A" w:rsidRDefault="00C0059B" w:rsidP="004800F3">
            <w:pPr>
              <w:jc w:val="center"/>
              <w:cnfStyle w:val="000000100000"/>
              <w:rPr>
                <w:rFonts w:asciiTheme="majorBidi" w:hAnsiTheme="majorBidi" w:cstheme="majorBidi"/>
                <w:rtl/>
              </w:rPr>
            </w:pPr>
            <w:r w:rsidRPr="0060226A">
              <w:rPr>
                <w:rFonts w:asciiTheme="majorBidi" w:hAnsiTheme="majorBidi" w:cstheme="majorBidi"/>
                <w:rtl/>
              </w:rPr>
              <w:t>5.5</w:t>
            </w:r>
          </w:p>
        </w:tc>
      </w:tr>
      <w:tr w:rsidR="00C0059B" w:rsidRPr="0060226A" w:rsidTr="0060226A">
        <w:trPr>
          <w:trHeight w:val="293"/>
          <w:jc w:val="center"/>
        </w:trPr>
        <w:tc>
          <w:tcPr>
            <w:cnfStyle w:val="000010000000"/>
            <w:tcW w:w="2218" w:type="dxa"/>
            <w:vAlign w:val="center"/>
          </w:tcPr>
          <w:p w:rsidR="00C0059B" w:rsidRPr="0060226A" w:rsidRDefault="00C0059B" w:rsidP="004800F3">
            <w:pPr>
              <w:bidi w:val="0"/>
              <w:rPr>
                <w:rFonts w:asciiTheme="majorBidi" w:hAnsiTheme="majorBidi" w:cstheme="majorBidi"/>
              </w:rPr>
            </w:pPr>
            <w:r w:rsidRPr="0060226A">
              <w:rPr>
                <w:rFonts w:asciiTheme="majorBidi" w:hAnsiTheme="majorBidi" w:cstheme="majorBidi"/>
              </w:rPr>
              <w:t>Females</w:t>
            </w:r>
          </w:p>
        </w:tc>
        <w:tc>
          <w:tcPr>
            <w:tcW w:w="2181" w:type="dxa"/>
            <w:vAlign w:val="center"/>
          </w:tcPr>
          <w:p w:rsidR="00C0059B" w:rsidRPr="0060226A" w:rsidRDefault="00C0059B" w:rsidP="004800F3">
            <w:pPr>
              <w:jc w:val="center"/>
              <w:cnfStyle w:val="000000000000"/>
              <w:rPr>
                <w:rFonts w:asciiTheme="majorBidi" w:hAnsiTheme="majorBidi" w:cstheme="majorBidi"/>
                <w:b/>
                <w:bCs/>
                <w:rtl/>
              </w:rPr>
            </w:pPr>
            <w:r w:rsidRPr="0060226A">
              <w:rPr>
                <w:rFonts w:asciiTheme="majorBidi" w:hAnsiTheme="majorBidi" w:cstheme="majorBidi"/>
                <w:b/>
                <w:bCs/>
                <w:rtl/>
              </w:rPr>
              <w:t>2.1</w:t>
            </w:r>
          </w:p>
        </w:tc>
        <w:tc>
          <w:tcPr>
            <w:cnfStyle w:val="000010000000"/>
            <w:tcW w:w="1994" w:type="dxa"/>
            <w:vAlign w:val="center"/>
          </w:tcPr>
          <w:p w:rsidR="00C0059B" w:rsidRPr="0060226A" w:rsidRDefault="00C0059B" w:rsidP="004800F3">
            <w:pPr>
              <w:jc w:val="center"/>
              <w:rPr>
                <w:rFonts w:asciiTheme="majorBidi" w:hAnsiTheme="majorBidi" w:cstheme="majorBidi"/>
                <w:rtl/>
              </w:rPr>
            </w:pPr>
            <w:r w:rsidRPr="0060226A">
              <w:rPr>
                <w:rFonts w:asciiTheme="majorBidi" w:hAnsiTheme="majorBidi" w:cstheme="majorBidi"/>
                <w:rtl/>
              </w:rPr>
              <w:t>1.8</w:t>
            </w:r>
          </w:p>
        </w:tc>
        <w:tc>
          <w:tcPr>
            <w:tcW w:w="2280" w:type="dxa"/>
            <w:vAlign w:val="center"/>
          </w:tcPr>
          <w:p w:rsidR="00C0059B" w:rsidRPr="0060226A" w:rsidRDefault="00C0059B" w:rsidP="004800F3">
            <w:pPr>
              <w:jc w:val="center"/>
              <w:cnfStyle w:val="000000000000"/>
              <w:rPr>
                <w:rFonts w:asciiTheme="majorBidi" w:hAnsiTheme="majorBidi" w:cstheme="majorBidi"/>
                <w:rtl/>
              </w:rPr>
            </w:pPr>
            <w:r w:rsidRPr="0060226A">
              <w:rPr>
                <w:rFonts w:asciiTheme="majorBidi" w:hAnsiTheme="majorBidi" w:cstheme="majorBidi"/>
                <w:rtl/>
              </w:rPr>
              <w:t>2.5</w:t>
            </w:r>
          </w:p>
        </w:tc>
      </w:tr>
    </w:tbl>
    <w:p w:rsidR="00FA4248" w:rsidRPr="0060226A" w:rsidRDefault="00FA4248" w:rsidP="00C1193D">
      <w:pPr>
        <w:bidi w:val="0"/>
        <w:jc w:val="both"/>
        <w:rPr>
          <w:rFonts w:asciiTheme="majorBidi" w:hAnsiTheme="majorBidi" w:cstheme="majorBidi"/>
          <w:b/>
          <w:bCs/>
          <w:noProof/>
          <w:sz w:val="16"/>
          <w:szCs w:val="16"/>
        </w:rPr>
      </w:pPr>
    </w:p>
    <w:p w:rsidR="00A063D6" w:rsidRPr="0060226A" w:rsidRDefault="00A063D6" w:rsidP="00A063D6">
      <w:pPr>
        <w:bidi w:val="0"/>
        <w:jc w:val="both"/>
        <w:rPr>
          <w:rFonts w:asciiTheme="majorBidi" w:hAnsiTheme="majorBidi" w:cstheme="majorBidi"/>
          <w:b/>
          <w:bCs/>
          <w:noProof/>
          <w:sz w:val="26"/>
          <w:szCs w:val="26"/>
        </w:rPr>
      </w:pPr>
      <w:r w:rsidRPr="0060226A">
        <w:rPr>
          <w:rFonts w:asciiTheme="majorBidi" w:hAnsiTheme="majorBidi" w:cstheme="majorBidi"/>
          <w:b/>
          <w:bCs/>
          <w:noProof/>
          <w:sz w:val="26"/>
          <w:szCs w:val="26"/>
        </w:rPr>
        <w:t>More than one-third of the youth in Gaza Strip desire to emigrate</w:t>
      </w:r>
    </w:p>
    <w:p w:rsidR="00A063D6" w:rsidRPr="0060226A" w:rsidRDefault="00A063D6" w:rsidP="00A063D6">
      <w:pPr>
        <w:bidi w:val="0"/>
        <w:jc w:val="both"/>
        <w:rPr>
          <w:rFonts w:asciiTheme="majorBidi" w:hAnsiTheme="majorBidi" w:cstheme="majorBidi"/>
          <w:noProof/>
          <w:rtl/>
        </w:rPr>
      </w:pPr>
      <w:r w:rsidRPr="0060226A">
        <w:rPr>
          <w:rFonts w:asciiTheme="majorBidi" w:hAnsiTheme="majorBidi" w:cstheme="majorBidi"/>
          <w:noProof/>
        </w:rPr>
        <w:t>The results of the Palestinian Youth Survey 2015 showed that about 24% of the individuals (15-29 years) in Palestine have a desire to emigrate. The situation in Gaza Strip seems to play an important role in increasing the desire to emigrate, where the percentage of those who desire to emigrate from Gaza Strip reached 37% compared with 15% in the West Bank. It is also noticed that youth males are more likely to think about migration than youth females (29% for males and 18% for youth females)</w:t>
      </w:r>
      <w:r w:rsidRPr="0060226A">
        <w:rPr>
          <w:rFonts w:asciiTheme="majorBidi" w:hAnsiTheme="majorBidi" w:cstheme="majorBidi"/>
          <w:noProof/>
          <w:rtl/>
        </w:rPr>
        <w:t>.</w:t>
      </w:r>
    </w:p>
    <w:p w:rsidR="00C8470A" w:rsidRPr="0060226A" w:rsidRDefault="00C8470A" w:rsidP="00C1193D">
      <w:pPr>
        <w:bidi w:val="0"/>
        <w:jc w:val="both"/>
        <w:rPr>
          <w:rFonts w:asciiTheme="majorBidi" w:hAnsiTheme="majorBidi" w:cstheme="majorBidi"/>
          <w:noProof/>
          <w:sz w:val="16"/>
          <w:szCs w:val="16"/>
          <w:rtl/>
        </w:rPr>
      </w:pPr>
    </w:p>
    <w:p w:rsidR="001A1325" w:rsidRPr="0060226A" w:rsidRDefault="001A1325" w:rsidP="00C1193D">
      <w:pPr>
        <w:bidi w:val="0"/>
        <w:jc w:val="both"/>
        <w:rPr>
          <w:rFonts w:asciiTheme="majorBidi" w:hAnsiTheme="majorBidi" w:cstheme="majorBidi"/>
          <w:b/>
          <w:bCs/>
          <w:noProof/>
          <w:sz w:val="26"/>
          <w:szCs w:val="26"/>
        </w:rPr>
      </w:pPr>
      <w:r w:rsidRPr="0060226A">
        <w:rPr>
          <w:rFonts w:asciiTheme="majorBidi" w:hAnsiTheme="majorBidi" w:cstheme="majorBidi"/>
          <w:b/>
          <w:bCs/>
          <w:noProof/>
          <w:sz w:val="26"/>
          <w:szCs w:val="26"/>
        </w:rPr>
        <w:t xml:space="preserve">More than </w:t>
      </w:r>
      <w:r w:rsidR="00A43EA6" w:rsidRPr="0060226A">
        <w:rPr>
          <w:rFonts w:asciiTheme="majorBidi" w:hAnsiTheme="majorBidi" w:cstheme="majorBidi"/>
          <w:b/>
          <w:bCs/>
          <w:noProof/>
          <w:sz w:val="26"/>
          <w:szCs w:val="26"/>
        </w:rPr>
        <w:t>one-fourth</w:t>
      </w:r>
      <w:r w:rsidRPr="0060226A">
        <w:rPr>
          <w:rFonts w:asciiTheme="majorBidi" w:hAnsiTheme="majorBidi" w:cstheme="majorBidi"/>
          <w:b/>
          <w:bCs/>
          <w:noProof/>
          <w:sz w:val="26"/>
          <w:szCs w:val="26"/>
        </w:rPr>
        <w:t xml:space="preserve"> of </w:t>
      </w:r>
      <w:r w:rsidR="003A55E1" w:rsidRPr="0060226A">
        <w:rPr>
          <w:rFonts w:asciiTheme="majorBidi" w:hAnsiTheme="majorBidi" w:cstheme="majorBidi"/>
          <w:b/>
          <w:bCs/>
          <w:noProof/>
          <w:sz w:val="26"/>
          <w:szCs w:val="26"/>
        </w:rPr>
        <w:t xml:space="preserve">the </w:t>
      </w:r>
      <w:r w:rsidRPr="0060226A">
        <w:rPr>
          <w:rFonts w:asciiTheme="majorBidi" w:hAnsiTheme="majorBidi" w:cstheme="majorBidi"/>
          <w:b/>
          <w:bCs/>
          <w:noProof/>
          <w:sz w:val="26"/>
          <w:szCs w:val="26"/>
        </w:rPr>
        <w:t>you</w:t>
      </w:r>
      <w:r w:rsidR="003A55E1" w:rsidRPr="0060226A">
        <w:rPr>
          <w:rFonts w:asciiTheme="majorBidi" w:hAnsiTheme="majorBidi" w:cstheme="majorBidi"/>
          <w:b/>
          <w:bCs/>
          <w:noProof/>
          <w:sz w:val="26"/>
          <w:szCs w:val="26"/>
        </w:rPr>
        <w:t>th</w:t>
      </w:r>
      <w:r w:rsidRPr="0060226A">
        <w:rPr>
          <w:rFonts w:asciiTheme="majorBidi" w:hAnsiTheme="majorBidi" w:cstheme="majorBidi"/>
          <w:b/>
          <w:bCs/>
          <w:noProof/>
          <w:sz w:val="26"/>
          <w:szCs w:val="26"/>
        </w:rPr>
        <w:t xml:space="preserve"> are poor </w:t>
      </w:r>
      <w:r w:rsidR="00AA3576" w:rsidRPr="0060226A">
        <w:rPr>
          <w:rFonts w:asciiTheme="majorBidi" w:hAnsiTheme="majorBidi" w:cstheme="majorBidi"/>
          <w:b/>
          <w:bCs/>
          <w:noProof/>
          <w:sz w:val="26"/>
          <w:szCs w:val="26"/>
        </w:rPr>
        <w:t>in</w:t>
      </w:r>
      <w:r w:rsidRPr="0060226A">
        <w:rPr>
          <w:rFonts w:asciiTheme="majorBidi" w:hAnsiTheme="majorBidi" w:cstheme="majorBidi"/>
          <w:b/>
          <w:bCs/>
          <w:noProof/>
          <w:sz w:val="26"/>
          <w:szCs w:val="26"/>
        </w:rPr>
        <w:t xml:space="preserve"> 2017</w:t>
      </w:r>
    </w:p>
    <w:p w:rsidR="001A1325" w:rsidRPr="0060226A" w:rsidRDefault="001A1325" w:rsidP="00C1193D">
      <w:pPr>
        <w:bidi w:val="0"/>
        <w:jc w:val="both"/>
        <w:rPr>
          <w:rFonts w:asciiTheme="majorBidi" w:hAnsiTheme="majorBidi" w:cstheme="majorBidi"/>
          <w:noProof/>
          <w:rtl/>
        </w:rPr>
      </w:pPr>
      <w:r w:rsidRPr="0060226A">
        <w:rPr>
          <w:rFonts w:asciiTheme="majorBidi" w:hAnsiTheme="majorBidi" w:cstheme="majorBidi"/>
          <w:noProof/>
        </w:rPr>
        <w:t>According to the national poverty</w:t>
      </w:r>
      <w:r w:rsidR="003A55E1" w:rsidRPr="0060226A">
        <w:rPr>
          <w:rFonts w:asciiTheme="majorBidi" w:hAnsiTheme="majorBidi" w:cstheme="majorBidi"/>
          <w:noProof/>
        </w:rPr>
        <w:t xml:space="preserve"> concept, which is based on the</w:t>
      </w:r>
      <w:r w:rsidRPr="0060226A">
        <w:rPr>
          <w:rFonts w:asciiTheme="majorBidi" w:hAnsiTheme="majorBidi" w:cstheme="majorBidi"/>
          <w:noProof/>
        </w:rPr>
        <w:t xml:space="preserve"> official definition of poverty</w:t>
      </w:r>
      <w:r w:rsidR="003A55E1" w:rsidRPr="0060226A">
        <w:rPr>
          <w:rFonts w:asciiTheme="majorBidi" w:hAnsiTheme="majorBidi" w:cstheme="majorBidi"/>
          <w:noProof/>
        </w:rPr>
        <w:t xml:space="preserve"> in 1997</w:t>
      </w:r>
      <w:r w:rsidRPr="0060226A">
        <w:rPr>
          <w:rFonts w:asciiTheme="majorBidi" w:hAnsiTheme="majorBidi" w:cstheme="majorBidi"/>
          <w:noProof/>
        </w:rPr>
        <w:t xml:space="preserve">, the definition includes absolute and relative features based on balancing the basic needs of </w:t>
      </w:r>
      <w:r w:rsidR="00C01581" w:rsidRPr="0060226A">
        <w:rPr>
          <w:rFonts w:asciiTheme="majorBidi" w:hAnsiTheme="majorBidi" w:cstheme="majorBidi"/>
          <w:noProof/>
        </w:rPr>
        <w:t xml:space="preserve">the household </w:t>
      </w:r>
      <w:r w:rsidRPr="0060226A">
        <w:rPr>
          <w:rFonts w:asciiTheme="majorBidi" w:hAnsiTheme="majorBidi" w:cstheme="majorBidi"/>
          <w:noProof/>
        </w:rPr>
        <w:t>of five</w:t>
      </w:r>
      <w:r w:rsidR="00C01581" w:rsidRPr="0060226A">
        <w:rPr>
          <w:rFonts w:asciiTheme="majorBidi" w:hAnsiTheme="majorBidi" w:cstheme="majorBidi"/>
          <w:noProof/>
        </w:rPr>
        <w:t xml:space="preserve"> members</w:t>
      </w:r>
      <w:r w:rsidRPr="0060226A">
        <w:rPr>
          <w:rFonts w:asciiTheme="majorBidi" w:hAnsiTheme="majorBidi" w:cstheme="majorBidi"/>
          <w:noProof/>
        </w:rPr>
        <w:t xml:space="preserve"> (two adults and three children). Poverty lines have been prepared according to the real consumption patterns of </w:t>
      </w:r>
      <w:r w:rsidR="00A10AAE" w:rsidRPr="0060226A">
        <w:rPr>
          <w:rFonts w:asciiTheme="majorBidi" w:hAnsiTheme="majorBidi" w:cstheme="majorBidi"/>
          <w:noProof/>
        </w:rPr>
        <w:t>households</w:t>
      </w:r>
      <w:r w:rsidRPr="0060226A">
        <w:rPr>
          <w:rFonts w:asciiTheme="majorBidi" w:hAnsiTheme="majorBidi" w:cstheme="majorBidi"/>
          <w:noProof/>
        </w:rPr>
        <w:t xml:space="preserve">. The poverty line of the reference family reached </w:t>
      </w:r>
      <w:r w:rsidR="00B97117" w:rsidRPr="0060226A">
        <w:rPr>
          <w:rFonts w:asciiTheme="majorBidi" w:hAnsiTheme="majorBidi" w:cstheme="majorBidi"/>
          <w:noProof/>
        </w:rPr>
        <w:t>(</w:t>
      </w:r>
      <w:r w:rsidRPr="0060226A">
        <w:rPr>
          <w:rFonts w:asciiTheme="majorBidi" w:hAnsiTheme="majorBidi" w:cstheme="majorBidi"/>
          <w:noProof/>
        </w:rPr>
        <w:t xml:space="preserve">2,470 </w:t>
      </w:r>
      <w:r w:rsidR="00A10AAE" w:rsidRPr="0060226A">
        <w:rPr>
          <w:rFonts w:asciiTheme="majorBidi" w:hAnsiTheme="majorBidi" w:cstheme="majorBidi"/>
          <w:noProof/>
        </w:rPr>
        <w:t>N</w:t>
      </w:r>
      <w:r w:rsidRPr="0060226A">
        <w:rPr>
          <w:rFonts w:asciiTheme="majorBidi" w:hAnsiTheme="majorBidi" w:cstheme="majorBidi"/>
          <w:noProof/>
        </w:rPr>
        <w:t xml:space="preserve">ew Israeli </w:t>
      </w:r>
      <w:r w:rsidR="00B97117" w:rsidRPr="0060226A">
        <w:rPr>
          <w:rFonts w:asciiTheme="majorBidi" w:hAnsiTheme="majorBidi" w:cstheme="majorBidi"/>
          <w:noProof/>
        </w:rPr>
        <w:t xml:space="preserve">Shekels) </w:t>
      </w:r>
      <w:r w:rsidRPr="0060226A">
        <w:rPr>
          <w:rFonts w:asciiTheme="majorBidi" w:hAnsiTheme="majorBidi" w:cstheme="majorBidi"/>
          <w:noProof/>
        </w:rPr>
        <w:t xml:space="preserve">and the extreme poverty line reached </w:t>
      </w:r>
      <w:r w:rsidR="00B97117" w:rsidRPr="0060226A">
        <w:rPr>
          <w:rFonts w:asciiTheme="majorBidi" w:hAnsiTheme="majorBidi" w:cstheme="majorBidi"/>
          <w:noProof/>
        </w:rPr>
        <w:t>(</w:t>
      </w:r>
      <w:r w:rsidRPr="0060226A">
        <w:rPr>
          <w:rFonts w:asciiTheme="majorBidi" w:hAnsiTheme="majorBidi" w:cstheme="majorBidi"/>
          <w:noProof/>
        </w:rPr>
        <w:t xml:space="preserve">1,974 </w:t>
      </w:r>
      <w:r w:rsidR="00B97117" w:rsidRPr="0060226A">
        <w:rPr>
          <w:rFonts w:asciiTheme="majorBidi" w:hAnsiTheme="majorBidi" w:cstheme="majorBidi"/>
          <w:noProof/>
        </w:rPr>
        <w:t>N</w:t>
      </w:r>
      <w:r w:rsidRPr="0060226A">
        <w:rPr>
          <w:rFonts w:asciiTheme="majorBidi" w:hAnsiTheme="majorBidi" w:cstheme="majorBidi"/>
          <w:noProof/>
        </w:rPr>
        <w:t xml:space="preserve">ew Israeli </w:t>
      </w:r>
      <w:r w:rsidR="00B97117" w:rsidRPr="0060226A">
        <w:rPr>
          <w:rFonts w:asciiTheme="majorBidi" w:hAnsiTheme="majorBidi" w:cstheme="majorBidi"/>
          <w:noProof/>
        </w:rPr>
        <w:t>S</w:t>
      </w:r>
      <w:r w:rsidRPr="0060226A">
        <w:rPr>
          <w:rFonts w:asciiTheme="majorBidi" w:hAnsiTheme="majorBidi" w:cstheme="majorBidi"/>
          <w:noProof/>
        </w:rPr>
        <w:t>hekels</w:t>
      </w:r>
      <w:r w:rsidR="00B97117" w:rsidRPr="0060226A">
        <w:rPr>
          <w:rFonts w:asciiTheme="majorBidi" w:hAnsiTheme="majorBidi" w:cstheme="majorBidi"/>
          <w:noProof/>
        </w:rPr>
        <w:t>)</w:t>
      </w:r>
      <w:r w:rsidRPr="0060226A">
        <w:rPr>
          <w:rFonts w:asciiTheme="majorBidi" w:hAnsiTheme="majorBidi" w:cstheme="majorBidi"/>
          <w:noProof/>
        </w:rPr>
        <w:t xml:space="preserve">. The poverty rate among individuals according to </w:t>
      </w:r>
      <w:r w:rsidR="00827BA8" w:rsidRPr="0060226A">
        <w:rPr>
          <w:rFonts w:asciiTheme="majorBidi" w:hAnsiTheme="majorBidi" w:cstheme="majorBidi"/>
          <w:noProof/>
        </w:rPr>
        <w:t xml:space="preserve">the </w:t>
      </w:r>
      <w:r w:rsidRPr="0060226A">
        <w:rPr>
          <w:rFonts w:asciiTheme="majorBidi" w:hAnsiTheme="majorBidi" w:cstheme="majorBidi"/>
          <w:noProof/>
        </w:rPr>
        <w:t xml:space="preserve">monthly consumption patterns was 29.2% in 2017 (13.9% in the West Bank and 53.0% in Gaza Strip). The poverty rate among individuals (15-29 years) according to </w:t>
      </w:r>
      <w:r w:rsidR="00827BA8" w:rsidRPr="0060226A">
        <w:rPr>
          <w:rFonts w:asciiTheme="majorBidi" w:hAnsiTheme="majorBidi" w:cstheme="majorBidi"/>
          <w:noProof/>
        </w:rPr>
        <w:t xml:space="preserve">the </w:t>
      </w:r>
      <w:r w:rsidRPr="0060226A">
        <w:rPr>
          <w:rFonts w:asciiTheme="majorBidi" w:hAnsiTheme="majorBidi" w:cstheme="majorBidi"/>
          <w:noProof/>
        </w:rPr>
        <w:t xml:space="preserve">monthly consumption patterns was 29.5% (13.5% in the West Bank and 56.0% in Gaza Strip). It was found that 16.8% of </w:t>
      </w:r>
      <w:r w:rsidR="00936DDE" w:rsidRPr="0060226A">
        <w:rPr>
          <w:rFonts w:asciiTheme="majorBidi" w:hAnsiTheme="majorBidi" w:cstheme="majorBidi"/>
          <w:noProof/>
        </w:rPr>
        <w:t xml:space="preserve">the </w:t>
      </w:r>
      <w:r w:rsidRPr="0060226A">
        <w:rPr>
          <w:rFonts w:asciiTheme="majorBidi" w:hAnsiTheme="majorBidi" w:cstheme="majorBidi"/>
          <w:noProof/>
        </w:rPr>
        <w:t>Palestinians</w:t>
      </w:r>
      <w:r w:rsidR="00936DDE" w:rsidRPr="0060226A">
        <w:rPr>
          <w:rFonts w:asciiTheme="majorBidi" w:hAnsiTheme="majorBidi" w:cstheme="majorBidi"/>
          <w:noProof/>
        </w:rPr>
        <w:t>,</w:t>
      </w:r>
      <w:r w:rsidRPr="0060226A">
        <w:rPr>
          <w:rFonts w:asciiTheme="majorBidi" w:hAnsiTheme="majorBidi" w:cstheme="majorBidi"/>
          <w:noProof/>
        </w:rPr>
        <w:t xml:space="preserve"> in Palestine</w:t>
      </w:r>
      <w:r w:rsidR="00936DDE" w:rsidRPr="0060226A">
        <w:rPr>
          <w:rFonts w:asciiTheme="majorBidi" w:hAnsiTheme="majorBidi" w:cstheme="majorBidi"/>
          <w:noProof/>
        </w:rPr>
        <w:t>,</w:t>
      </w:r>
      <w:r w:rsidRPr="0060226A">
        <w:rPr>
          <w:rFonts w:asciiTheme="majorBidi" w:hAnsiTheme="majorBidi" w:cstheme="majorBidi"/>
          <w:noProof/>
        </w:rPr>
        <w:t xml:space="preserve"> suffer from extreme poverty (5.8% in the West Bank and 33.8% in </w:t>
      </w:r>
      <w:r w:rsidR="00936DDE" w:rsidRPr="0060226A">
        <w:rPr>
          <w:rFonts w:asciiTheme="majorBidi" w:hAnsiTheme="majorBidi" w:cstheme="majorBidi"/>
          <w:noProof/>
        </w:rPr>
        <w:t xml:space="preserve">Gaza Strip), while the percentage of extreme poverty among the individuals </w:t>
      </w:r>
      <w:r w:rsidRPr="0060226A">
        <w:rPr>
          <w:rFonts w:asciiTheme="majorBidi" w:hAnsiTheme="majorBidi" w:cstheme="majorBidi"/>
          <w:noProof/>
        </w:rPr>
        <w:t>(15-29 years) was 17.1% in Palestine (6.1% in the West Bank and 35.4% in Gaza Strip</w:t>
      </w:r>
      <w:r w:rsidR="005C70F2" w:rsidRPr="0060226A">
        <w:rPr>
          <w:rFonts w:asciiTheme="majorBidi" w:hAnsiTheme="majorBidi" w:cstheme="majorBidi"/>
          <w:noProof/>
        </w:rPr>
        <w:t>).</w:t>
      </w:r>
    </w:p>
    <w:p w:rsidR="00D310CA" w:rsidRPr="0060226A" w:rsidRDefault="00D310CA" w:rsidP="00C1193D">
      <w:pPr>
        <w:bidi w:val="0"/>
        <w:jc w:val="both"/>
        <w:rPr>
          <w:rFonts w:asciiTheme="majorBidi" w:hAnsiTheme="majorBidi" w:cstheme="majorBidi"/>
          <w:noProof/>
          <w:color w:val="000000" w:themeColor="text1"/>
          <w:rtl/>
        </w:rPr>
      </w:pPr>
    </w:p>
    <w:p w:rsidR="001A1325" w:rsidRPr="0060226A" w:rsidRDefault="001A1325" w:rsidP="00C1193D">
      <w:pPr>
        <w:bidi w:val="0"/>
        <w:rPr>
          <w:rFonts w:asciiTheme="majorBidi" w:hAnsiTheme="majorBidi" w:cstheme="majorBidi"/>
          <w:b/>
          <w:bCs/>
          <w:snapToGrid w:val="0"/>
          <w:color w:val="000000" w:themeColor="text1"/>
          <w:rtl/>
          <w:lang w:eastAsia="en-US"/>
        </w:rPr>
      </w:pPr>
    </w:p>
    <w:p w:rsidR="0060226A" w:rsidRPr="0060226A" w:rsidRDefault="0060226A">
      <w:pPr>
        <w:bidi w:val="0"/>
        <w:rPr>
          <w:rFonts w:asciiTheme="majorBidi" w:hAnsiTheme="majorBidi" w:cstheme="majorBidi"/>
          <w:color w:val="000000" w:themeColor="text1"/>
        </w:rPr>
      </w:pPr>
    </w:p>
    <w:sectPr w:rsidR="0060226A" w:rsidRPr="0060226A" w:rsidSect="0060226A">
      <w:footerReference w:type="even" r:id="rId9"/>
      <w:footerReference w:type="default" r:id="rId10"/>
      <w:headerReference w:type="first" r:id="rId11"/>
      <w:pgSz w:w="11906" w:h="16838" w:code="9"/>
      <w:pgMar w:top="720" w:right="720" w:bottom="720" w:left="720" w:header="680" w:footer="680"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30E" w:rsidRDefault="0068530E">
      <w:r>
        <w:separator/>
      </w:r>
    </w:p>
  </w:endnote>
  <w:endnote w:type="continuationSeparator" w:id="0">
    <w:p w:rsidR="0068530E" w:rsidRDefault="006853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0F3" w:rsidRDefault="004A281B">
    <w:pPr>
      <w:pStyle w:val="Footer"/>
      <w:framePr w:wrap="around" w:vAnchor="text" w:hAnchor="margin" w:xAlign="center" w:y="1"/>
      <w:rPr>
        <w:rStyle w:val="PageNumber"/>
        <w:rtl/>
        <w:lang w:eastAsia="en-US"/>
      </w:rPr>
    </w:pPr>
    <w:r>
      <w:rPr>
        <w:rStyle w:val="PageNumber"/>
        <w:rtl/>
      </w:rPr>
      <w:fldChar w:fldCharType="begin"/>
    </w:r>
    <w:r w:rsidR="004800F3">
      <w:rPr>
        <w:rStyle w:val="PageNumber"/>
        <w:lang w:eastAsia="en-US"/>
      </w:rPr>
      <w:instrText xml:space="preserve">PAGE  </w:instrText>
    </w:r>
    <w:r>
      <w:rPr>
        <w:rStyle w:val="PageNumber"/>
        <w:rtl/>
      </w:rPr>
      <w:fldChar w:fldCharType="separate"/>
    </w:r>
    <w:r w:rsidR="004800F3">
      <w:rPr>
        <w:rStyle w:val="PageNumber"/>
        <w:noProof/>
        <w:rtl/>
      </w:rPr>
      <w:t>2</w:t>
    </w:r>
    <w:r>
      <w:rPr>
        <w:rStyle w:val="PageNumber"/>
        <w:rtl/>
      </w:rPr>
      <w:fldChar w:fldCharType="end"/>
    </w:r>
  </w:p>
  <w:p w:rsidR="004800F3" w:rsidRDefault="004800F3">
    <w:pPr>
      <w:pStyle w:val="Footer"/>
      <w:rPr>
        <w:rtl/>
        <w:lang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0F3" w:rsidRDefault="004A281B">
    <w:pPr>
      <w:pStyle w:val="Footer"/>
      <w:framePr w:wrap="around" w:vAnchor="text" w:hAnchor="margin" w:xAlign="center" w:y="1"/>
      <w:rPr>
        <w:rStyle w:val="PageNumber"/>
        <w:sz w:val="20"/>
        <w:szCs w:val="20"/>
        <w:rtl/>
        <w:lang w:eastAsia="en-US"/>
      </w:rPr>
    </w:pPr>
    <w:r>
      <w:rPr>
        <w:rStyle w:val="PageNumber"/>
        <w:sz w:val="20"/>
        <w:szCs w:val="20"/>
        <w:rtl/>
      </w:rPr>
      <w:fldChar w:fldCharType="begin"/>
    </w:r>
    <w:r w:rsidR="004800F3">
      <w:rPr>
        <w:rStyle w:val="PageNumber"/>
        <w:sz w:val="20"/>
        <w:szCs w:val="20"/>
        <w:lang w:eastAsia="en-US"/>
      </w:rPr>
      <w:instrText xml:space="preserve">PAGE  </w:instrText>
    </w:r>
    <w:r>
      <w:rPr>
        <w:rStyle w:val="PageNumber"/>
        <w:sz w:val="20"/>
        <w:szCs w:val="20"/>
        <w:rtl/>
      </w:rPr>
      <w:fldChar w:fldCharType="separate"/>
    </w:r>
    <w:r w:rsidR="00E410E1">
      <w:rPr>
        <w:rStyle w:val="PageNumber"/>
        <w:noProof/>
        <w:sz w:val="20"/>
        <w:szCs w:val="20"/>
        <w:rtl/>
      </w:rPr>
      <w:t>3</w:t>
    </w:r>
    <w:r>
      <w:rPr>
        <w:rStyle w:val="PageNumber"/>
        <w:sz w:val="20"/>
        <w:szCs w:val="20"/>
        <w:rtl/>
      </w:rPr>
      <w:fldChar w:fldCharType="end"/>
    </w:r>
  </w:p>
  <w:p w:rsidR="004800F3" w:rsidRDefault="004800F3">
    <w:pPr>
      <w:pStyle w:val="Footer"/>
      <w:rPr>
        <w:rtl/>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30E" w:rsidRDefault="0068530E">
      <w:r>
        <w:separator/>
      </w:r>
    </w:p>
  </w:footnote>
  <w:footnote w:type="continuationSeparator" w:id="0">
    <w:p w:rsidR="0068530E" w:rsidRDefault="006853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Borders>
        <w:bottom w:val="single" w:sz="4" w:space="0" w:color="auto"/>
      </w:tblBorders>
      <w:tblLook w:val="04A0"/>
    </w:tblPr>
    <w:tblGrid>
      <w:gridCol w:w="3473"/>
      <w:gridCol w:w="3474"/>
      <w:gridCol w:w="3474"/>
    </w:tblGrid>
    <w:tr w:rsidR="004800F3" w:rsidTr="00B10EE0">
      <w:tc>
        <w:tcPr>
          <w:tcW w:w="3473" w:type="dxa"/>
          <w:vAlign w:val="center"/>
        </w:tcPr>
        <w:p w:rsidR="004800F3" w:rsidRDefault="004800F3" w:rsidP="00B10EE0">
          <w:pPr>
            <w:pStyle w:val="Header"/>
            <w:ind w:left="-1"/>
            <w:jc w:val="center"/>
            <w:rPr>
              <w:rFonts w:cs="Simplified Arabic"/>
              <w:b/>
              <w:bCs/>
              <w:sz w:val="28"/>
              <w:szCs w:val="28"/>
              <w:rtl/>
            </w:rPr>
          </w:pPr>
          <w:r>
            <w:rPr>
              <w:rFonts w:cs="Simplified Arabic" w:hint="cs"/>
              <w:b/>
              <w:bCs/>
              <w:sz w:val="28"/>
              <w:szCs w:val="28"/>
              <w:rtl/>
            </w:rPr>
            <w:t>فلسطين</w:t>
          </w:r>
        </w:p>
        <w:p w:rsidR="004800F3" w:rsidRDefault="004800F3"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rsidR="004800F3" w:rsidRDefault="004800F3" w:rsidP="00B10EE0">
          <w:pPr>
            <w:pStyle w:val="Header"/>
            <w:rPr>
              <w:rtl/>
            </w:rPr>
          </w:pPr>
          <w:r>
            <w:rPr>
              <w:noProof/>
              <w:snapToGrid/>
              <w:rtl/>
            </w:rPr>
            <w:drawing>
              <wp:anchor distT="0" distB="0" distL="114300" distR="114300" simplePos="0" relativeHeight="251657216" behindDoc="0" locked="0" layoutInCell="1" allowOverlap="1">
                <wp:simplePos x="0" y="0"/>
                <wp:positionH relativeFrom="column">
                  <wp:posOffset>733425</wp:posOffset>
                </wp:positionH>
                <wp:positionV relativeFrom="paragraph">
                  <wp:posOffset>635</wp:posOffset>
                </wp:positionV>
                <wp:extent cx="425450" cy="60261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25450" cy="602615"/>
                        </a:xfrm>
                        <a:prstGeom prst="rect">
                          <a:avLst/>
                        </a:prstGeom>
                        <a:noFill/>
                        <a:ln w="9525">
                          <a:noFill/>
                          <a:miter lim="800000"/>
                          <a:headEnd/>
                          <a:tailEnd/>
                        </a:ln>
                      </pic:spPr>
                    </pic:pic>
                  </a:graphicData>
                </a:graphic>
              </wp:anchor>
            </w:drawing>
          </w:r>
        </w:p>
      </w:tc>
      <w:tc>
        <w:tcPr>
          <w:tcW w:w="3474" w:type="dxa"/>
          <w:vAlign w:val="center"/>
        </w:tcPr>
        <w:p w:rsidR="004800F3" w:rsidRDefault="004800F3" w:rsidP="00B10EE0">
          <w:pPr>
            <w:pStyle w:val="Header"/>
            <w:jc w:val="right"/>
            <w:rPr>
              <w:rFonts w:cs="Simplified Arabic"/>
              <w:sz w:val="22"/>
              <w:szCs w:val="22"/>
              <w:rtl/>
            </w:rPr>
          </w:pPr>
          <w:r>
            <w:rPr>
              <w:rFonts w:cs="Simplified Arabic" w:hint="cs"/>
              <w:sz w:val="22"/>
              <w:szCs w:val="22"/>
              <w:rtl/>
            </w:rPr>
            <w:t xml:space="preserve"> صدر </w:t>
          </w:r>
          <w:proofErr w:type="spellStart"/>
          <w:r>
            <w:rPr>
              <w:rFonts w:cs="Simplified Arabic" w:hint="cs"/>
              <w:sz w:val="22"/>
              <w:szCs w:val="22"/>
              <w:rtl/>
            </w:rPr>
            <w:t>بتاريخ:</w:t>
          </w:r>
          <w:proofErr w:type="spellEnd"/>
          <w:r>
            <w:rPr>
              <w:rFonts w:cs="Simplified Arabic" w:hint="cs"/>
              <w:sz w:val="22"/>
              <w:szCs w:val="22"/>
              <w:rtl/>
            </w:rPr>
            <w:t xml:space="preserve"> 19/06/2011</w:t>
          </w:r>
        </w:p>
      </w:tc>
    </w:tr>
  </w:tbl>
  <w:p w:rsidR="004800F3" w:rsidRPr="00237AA1" w:rsidRDefault="004800F3" w:rsidP="00237AA1">
    <w:pPr>
      <w:pStyle w:val="Header"/>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51AA"/>
    <w:multiLevelType w:val="hybridMultilevel"/>
    <w:tmpl w:val="D324AB6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7A272C8"/>
    <w:multiLevelType w:val="hybridMultilevel"/>
    <w:tmpl w:val="83D048F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0E9A4E70"/>
    <w:multiLevelType w:val="hybridMultilevel"/>
    <w:tmpl w:val="ED4E90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nsid w:val="0F1E1FF9"/>
    <w:multiLevelType w:val="hybridMultilevel"/>
    <w:tmpl w:val="ACA48DBC"/>
    <w:lvl w:ilvl="0" w:tplc="A98C0572">
      <w:start w:val="1"/>
      <w:numFmt w:val="arabicAlpha"/>
      <w:lvlText w:val="%1."/>
      <w:lvlJc w:val="left"/>
      <w:pPr>
        <w:tabs>
          <w:tab w:val="num" w:pos="1667"/>
        </w:tabs>
        <w:ind w:left="1667" w:right="166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4">
    <w:nsid w:val="12685687"/>
    <w:multiLevelType w:val="hybridMultilevel"/>
    <w:tmpl w:val="7B3C34CA"/>
    <w:lvl w:ilvl="0" w:tplc="D08654D8">
      <w:start w:val="6"/>
      <w:numFmt w:val="decimal"/>
      <w:lvlText w:val="%1-"/>
      <w:lvlJc w:val="left"/>
      <w:pPr>
        <w:tabs>
          <w:tab w:val="num" w:pos="717"/>
        </w:tabs>
        <w:ind w:left="717" w:right="717" w:hanging="360"/>
      </w:pPr>
      <w:rPr>
        <w:rFonts w:hint="cs"/>
      </w:rPr>
    </w:lvl>
    <w:lvl w:ilvl="1" w:tplc="04010019" w:tentative="1">
      <w:start w:val="1"/>
      <w:numFmt w:val="lowerLetter"/>
      <w:lvlText w:val="%2."/>
      <w:lvlJc w:val="left"/>
      <w:pPr>
        <w:tabs>
          <w:tab w:val="num" w:pos="1437"/>
        </w:tabs>
        <w:ind w:left="1437" w:right="1437" w:hanging="360"/>
      </w:pPr>
    </w:lvl>
    <w:lvl w:ilvl="2" w:tplc="0401001B" w:tentative="1">
      <w:start w:val="1"/>
      <w:numFmt w:val="lowerRoman"/>
      <w:lvlText w:val="%3."/>
      <w:lvlJc w:val="right"/>
      <w:pPr>
        <w:tabs>
          <w:tab w:val="num" w:pos="2157"/>
        </w:tabs>
        <w:ind w:left="2157" w:right="2157" w:hanging="180"/>
      </w:pPr>
    </w:lvl>
    <w:lvl w:ilvl="3" w:tplc="0401000F" w:tentative="1">
      <w:start w:val="1"/>
      <w:numFmt w:val="decimal"/>
      <w:lvlText w:val="%4."/>
      <w:lvlJc w:val="left"/>
      <w:pPr>
        <w:tabs>
          <w:tab w:val="num" w:pos="2877"/>
        </w:tabs>
        <w:ind w:left="2877" w:right="2877" w:hanging="360"/>
      </w:pPr>
    </w:lvl>
    <w:lvl w:ilvl="4" w:tplc="04010019" w:tentative="1">
      <w:start w:val="1"/>
      <w:numFmt w:val="lowerLetter"/>
      <w:lvlText w:val="%5."/>
      <w:lvlJc w:val="left"/>
      <w:pPr>
        <w:tabs>
          <w:tab w:val="num" w:pos="3597"/>
        </w:tabs>
        <w:ind w:left="3597" w:right="3597" w:hanging="360"/>
      </w:pPr>
    </w:lvl>
    <w:lvl w:ilvl="5" w:tplc="0401001B" w:tentative="1">
      <w:start w:val="1"/>
      <w:numFmt w:val="lowerRoman"/>
      <w:lvlText w:val="%6."/>
      <w:lvlJc w:val="right"/>
      <w:pPr>
        <w:tabs>
          <w:tab w:val="num" w:pos="4317"/>
        </w:tabs>
        <w:ind w:left="4317" w:right="4317" w:hanging="180"/>
      </w:pPr>
    </w:lvl>
    <w:lvl w:ilvl="6" w:tplc="0401000F" w:tentative="1">
      <w:start w:val="1"/>
      <w:numFmt w:val="decimal"/>
      <w:lvlText w:val="%7."/>
      <w:lvlJc w:val="left"/>
      <w:pPr>
        <w:tabs>
          <w:tab w:val="num" w:pos="5037"/>
        </w:tabs>
        <w:ind w:left="5037" w:right="5037" w:hanging="360"/>
      </w:pPr>
    </w:lvl>
    <w:lvl w:ilvl="7" w:tplc="04010019" w:tentative="1">
      <w:start w:val="1"/>
      <w:numFmt w:val="lowerLetter"/>
      <w:lvlText w:val="%8."/>
      <w:lvlJc w:val="left"/>
      <w:pPr>
        <w:tabs>
          <w:tab w:val="num" w:pos="5757"/>
        </w:tabs>
        <w:ind w:left="5757" w:right="5757" w:hanging="360"/>
      </w:pPr>
    </w:lvl>
    <w:lvl w:ilvl="8" w:tplc="0401001B" w:tentative="1">
      <w:start w:val="1"/>
      <w:numFmt w:val="lowerRoman"/>
      <w:lvlText w:val="%9."/>
      <w:lvlJc w:val="right"/>
      <w:pPr>
        <w:tabs>
          <w:tab w:val="num" w:pos="6477"/>
        </w:tabs>
        <w:ind w:left="6477" w:right="6477" w:hanging="180"/>
      </w:pPr>
    </w:lvl>
  </w:abstractNum>
  <w:abstractNum w:abstractNumId="5">
    <w:nsid w:val="12D36C93"/>
    <w:multiLevelType w:val="hybridMultilevel"/>
    <w:tmpl w:val="47B68C5C"/>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nsid w:val="17E02353"/>
    <w:multiLevelType w:val="hybridMultilevel"/>
    <w:tmpl w:val="9E387B14"/>
    <w:lvl w:ilvl="0" w:tplc="E76E0E18">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18F76D68"/>
    <w:multiLevelType w:val="hybridMultilevel"/>
    <w:tmpl w:val="17AC820A"/>
    <w:lvl w:ilvl="0" w:tplc="7ACC735E">
      <w:start w:val="1"/>
      <w:numFmt w:val="decimal"/>
      <w:lvlText w:val="%1."/>
      <w:lvlJc w:val="left"/>
      <w:pPr>
        <w:tabs>
          <w:tab w:val="num" w:pos="530"/>
        </w:tabs>
        <w:ind w:left="397" w:right="397" w:hanging="227"/>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nsid w:val="1BBD647E"/>
    <w:multiLevelType w:val="hybridMultilevel"/>
    <w:tmpl w:val="BC72F828"/>
    <w:lvl w:ilvl="0" w:tplc="0401000F">
      <w:start w:val="1"/>
      <w:numFmt w:val="decimal"/>
      <w:lvlText w:val="%1."/>
      <w:lvlJc w:val="left"/>
      <w:pPr>
        <w:tabs>
          <w:tab w:val="num" w:pos="720"/>
        </w:tabs>
        <w:ind w:left="720" w:right="720" w:hanging="360"/>
      </w:pPr>
    </w:lvl>
    <w:lvl w:ilvl="1" w:tplc="B754868C">
      <w:start w:val="2"/>
      <w:numFmt w:val="arabicAlpha"/>
      <w:lvlText w:val="%2-"/>
      <w:lvlJc w:val="left"/>
      <w:pPr>
        <w:tabs>
          <w:tab w:val="num" w:pos="1515"/>
        </w:tabs>
        <w:ind w:left="1515" w:right="1515" w:hanging="435"/>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nsid w:val="1FB50D88"/>
    <w:multiLevelType w:val="hybridMultilevel"/>
    <w:tmpl w:val="93A82746"/>
    <w:lvl w:ilvl="0" w:tplc="27903128">
      <w:start w:val="1"/>
      <w:numFmt w:val="decimal"/>
      <w:lvlText w:val="%1."/>
      <w:lvlJc w:val="left"/>
      <w:pPr>
        <w:tabs>
          <w:tab w:val="num" w:pos="605"/>
        </w:tabs>
        <w:ind w:left="397" w:right="397" w:hanging="152"/>
      </w:pPr>
      <w:rPr>
        <w:rFonts w:hint="default"/>
      </w:rPr>
    </w:lvl>
    <w:lvl w:ilvl="1" w:tplc="04010019" w:tentative="1">
      <w:start w:val="1"/>
      <w:numFmt w:val="lowerLetter"/>
      <w:lvlText w:val="%2."/>
      <w:lvlJc w:val="left"/>
      <w:pPr>
        <w:tabs>
          <w:tab w:val="num" w:pos="1515"/>
        </w:tabs>
        <w:ind w:left="1515" w:right="1515" w:hanging="360"/>
      </w:pPr>
    </w:lvl>
    <w:lvl w:ilvl="2" w:tplc="0401001B" w:tentative="1">
      <w:start w:val="1"/>
      <w:numFmt w:val="lowerRoman"/>
      <w:lvlText w:val="%3."/>
      <w:lvlJc w:val="right"/>
      <w:pPr>
        <w:tabs>
          <w:tab w:val="num" w:pos="2235"/>
        </w:tabs>
        <w:ind w:left="2235" w:right="2235" w:hanging="180"/>
      </w:pPr>
    </w:lvl>
    <w:lvl w:ilvl="3" w:tplc="0401000F" w:tentative="1">
      <w:start w:val="1"/>
      <w:numFmt w:val="decimal"/>
      <w:lvlText w:val="%4."/>
      <w:lvlJc w:val="left"/>
      <w:pPr>
        <w:tabs>
          <w:tab w:val="num" w:pos="2955"/>
        </w:tabs>
        <w:ind w:left="2955" w:right="2955" w:hanging="360"/>
      </w:pPr>
    </w:lvl>
    <w:lvl w:ilvl="4" w:tplc="04010019" w:tentative="1">
      <w:start w:val="1"/>
      <w:numFmt w:val="lowerLetter"/>
      <w:lvlText w:val="%5."/>
      <w:lvlJc w:val="left"/>
      <w:pPr>
        <w:tabs>
          <w:tab w:val="num" w:pos="3675"/>
        </w:tabs>
        <w:ind w:left="3675" w:right="3675" w:hanging="360"/>
      </w:pPr>
    </w:lvl>
    <w:lvl w:ilvl="5" w:tplc="0401001B" w:tentative="1">
      <w:start w:val="1"/>
      <w:numFmt w:val="lowerRoman"/>
      <w:lvlText w:val="%6."/>
      <w:lvlJc w:val="right"/>
      <w:pPr>
        <w:tabs>
          <w:tab w:val="num" w:pos="4395"/>
        </w:tabs>
        <w:ind w:left="4395" w:right="4395" w:hanging="180"/>
      </w:pPr>
    </w:lvl>
    <w:lvl w:ilvl="6" w:tplc="0401000F" w:tentative="1">
      <w:start w:val="1"/>
      <w:numFmt w:val="decimal"/>
      <w:lvlText w:val="%7."/>
      <w:lvlJc w:val="left"/>
      <w:pPr>
        <w:tabs>
          <w:tab w:val="num" w:pos="5115"/>
        </w:tabs>
        <w:ind w:left="5115" w:right="5115" w:hanging="360"/>
      </w:pPr>
    </w:lvl>
    <w:lvl w:ilvl="7" w:tplc="04010019" w:tentative="1">
      <w:start w:val="1"/>
      <w:numFmt w:val="lowerLetter"/>
      <w:lvlText w:val="%8."/>
      <w:lvlJc w:val="left"/>
      <w:pPr>
        <w:tabs>
          <w:tab w:val="num" w:pos="5835"/>
        </w:tabs>
        <w:ind w:left="5835" w:right="5835" w:hanging="360"/>
      </w:pPr>
    </w:lvl>
    <w:lvl w:ilvl="8" w:tplc="0401001B" w:tentative="1">
      <w:start w:val="1"/>
      <w:numFmt w:val="lowerRoman"/>
      <w:lvlText w:val="%9."/>
      <w:lvlJc w:val="right"/>
      <w:pPr>
        <w:tabs>
          <w:tab w:val="num" w:pos="6555"/>
        </w:tabs>
        <w:ind w:left="6555" w:right="6555" w:hanging="180"/>
      </w:pPr>
    </w:lvl>
  </w:abstractNum>
  <w:abstractNum w:abstractNumId="10">
    <w:nsid w:val="23A35249"/>
    <w:multiLevelType w:val="hybridMultilevel"/>
    <w:tmpl w:val="643A768C"/>
    <w:lvl w:ilvl="0" w:tplc="62A4CC8C">
      <w:start w:val="1"/>
      <w:numFmt w:val="decimal"/>
      <w:lvlText w:val="%1."/>
      <w:lvlJc w:val="left"/>
      <w:pPr>
        <w:tabs>
          <w:tab w:val="num" w:pos="473"/>
        </w:tabs>
        <w:ind w:left="397" w:right="397" w:hanging="284"/>
      </w:pPr>
      <w:rPr>
        <w:rFonts w:hint="default"/>
      </w:rPr>
    </w:lvl>
    <w:lvl w:ilvl="1" w:tplc="04010001">
      <w:start w:val="1"/>
      <w:numFmt w:val="bullet"/>
      <w:lvlText w:val=""/>
      <w:lvlJc w:val="left"/>
      <w:pPr>
        <w:tabs>
          <w:tab w:val="num" w:pos="1500"/>
        </w:tabs>
        <w:ind w:left="1500" w:right="1500" w:hanging="360"/>
      </w:pPr>
      <w:rPr>
        <w:rFonts w:ascii="Symbol" w:hAnsi="Symbol" w:hint="default"/>
      </w:rPr>
    </w:lvl>
    <w:lvl w:ilvl="2" w:tplc="91C49150">
      <w:start w:val="1"/>
      <w:numFmt w:val="arabicAlpha"/>
      <w:lvlText w:val="%3."/>
      <w:lvlJc w:val="left"/>
      <w:pPr>
        <w:tabs>
          <w:tab w:val="num" w:pos="567"/>
        </w:tabs>
        <w:ind w:left="567" w:right="567" w:hanging="397"/>
      </w:pPr>
      <w:rPr>
        <w:rFonts w:hint="cs"/>
      </w:rPr>
    </w:lvl>
    <w:lvl w:ilvl="3" w:tplc="38CC3208">
      <w:numFmt w:val="bullet"/>
      <w:lvlText w:val="-"/>
      <w:lvlJc w:val="left"/>
      <w:pPr>
        <w:tabs>
          <w:tab w:val="num" w:pos="2940"/>
        </w:tabs>
        <w:ind w:left="2940" w:right="2940" w:hanging="360"/>
      </w:pPr>
      <w:rPr>
        <w:rFonts w:ascii="Times New Roman" w:eastAsia="Times New Roman" w:hAnsi="Times New Roman" w:cs="Times New Roman" w:hint="default"/>
      </w:rPr>
    </w:lvl>
    <w:lvl w:ilvl="4" w:tplc="0401000F">
      <w:start w:val="1"/>
      <w:numFmt w:val="decimal"/>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11">
    <w:nsid w:val="2464556F"/>
    <w:multiLevelType w:val="hybridMultilevel"/>
    <w:tmpl w:val="A09287D2"/>
    <w:lvl w:ilvl="0" w:tplc="0401000F">
      <w:start w:val="1"/>
      <w:numFmt w:val="decimal"/>
      <w:lvlText w:val="%1."/>
      <w:lvlJc w:val="left"/>
      <w:pPr>
        <w:tabs>
          <w:tab w:val="num" w:pos="945"/>
        </w:tabs>
        <w:ind w:left="945" w:right="945" w:hanging="360"/>
      </w:pPr>
    </w:lvl>
    <w:lvl w:ilvl="1" w:tplc="04010019" w:tentative="1">
      <w:start w:val="1"/>
      <w:numFmt w:val="lowerLetter"/>
      <w:lvlText w:val="%2."/>
      <w:lvlJc w:val="left"/>
      <w:pPr>
        <w:tabs>
          <w:tab w:val="num" w:pos="1665"/>
        </w:tabs>
        <w:ind w:left="1665" w:right="1665" w:hanging="360"/>
      </w:pPr>
    </w:lvl>
    <w:lvl w:ilvl="2" w:tplc="0401001B" w:tentative="1">
      <w:start w:val="1"/>
      <w:numFmt w:val="lowerRoman"/>
      <w:lvlText w:val="%3."/>
      <w:lvlJc w:val="right"/>
      <w:pPr>
        <w:tabs>
          <w:tab w:val="num" w:pos="2385"/>
        </w:tabs>
        <w:ind w:left="2385" w:right="2385" w:hanging="180"/>
      </w:pPr>
    </w:lvl>
    <w:lvl w:ilvl="3" w:tplc="0401000F" w:tentative="1">
      <w:start w:val="1"/>
      <w:numFmt w:val="decimal"/>
      <w:lvlText w:val="%4."/>
      <w:lvlJc w:val="left"/>
      <w:pPr>
        <w:tabs>
          <w:tab w:val="num" w:pos="3105"/>
        </w:tabs>
        <w:ind w:left="3105" w:right="3105" w:hanging="360"/>
      </w:pPr>
    </w:lvl>
    <w:lvl w:ilvl="4" w:tplc="04010019" w:tentative="1">
      <w:start w:val="1"/>
      <w:numFmt w:val="lowerLetter"/>
      <w:lvlText w:val="%5."/>
      <w:lvlJc w:val="left"/>
      <w:pPr>
        <w:tabs>
          <w:tab w:val="num" w:pos="3825"/>
        </w:tabs>
        <w:ind w:left="3825" w:right="3825" w:hanging="360"/>
      </w:pPr>
    </w:lvl>
    <w:lvl w:ilvl="5" w:tplc="0401001B" w:tentative="1">
      <w:start w:val="1"/>
      <w:numFmt w:val="lowerRoman"/>
      <w:lvlText w:val="%6."/>
      <w:lvlJc w:val="right"/>
      <w:pPr>
        <w:tabs>
          <w:tab w:val="num" w:pos="4545"/>
        </w:tabs>
        <w:ind w:left="4545" w:right="4545" w:hanging="180"/>
      </w:pPr>
    </w:lvl>
    <w:lvl w:ilvl="6" w:tplc="0401000F" w:tentative="1">
      <w:start w:val="1"/>
      <w:numFmt w:val="decimal"/>
      <w:lvlText w:val="%7."/>
      <w:lvlJc w:val="left"/>
      <w:pPr>
        <w:tabs>
          <w:tab w:val="num" w:pos="5265"/>
        </w:tabs>
        <w:ind w:left="5265" w:right="5265" w:hanging="360"/>
      </w:pPr>
    </w:lvl>
    <w:lvl w:ilvl="7" w:tplc="04010019" w:tentative="1">
      <w:start w:val="1"/>
      <w:numFmt w:val="lowerLetter"/>
      <w:lvlText w:val="%8."/>
      <w:lvlJc w:val="left"/>
      <w:pPr>
        <w:tabs>
          <w:tab w:val="num" w:pos="5985"/>
        </w:tabs>
        <w:ind w:left="5985" w:right="5985" w:hanging="360"/>
      </w:pPr>
    </w:lvl>
    <w:lvl w:ilvl="8" w:tplc="0401001B" w:tentative="1">
      <w:start w:val="1"/>
      <w:numFmt w:val="lowerRoman"/>
      <w:lvlText w:val="%9."/>
      <w:lvlJc w:val="right"/>
      <w:pPr>
        <w:tabs>
          <w:tab w:val="num" w:pos="6705"/>
        </w:tabs>
        <w:ind w:left="6705" w:right="6705" w:hanging="180"/>
      </w:pPr>
    </w:lvl>
  </w:abstractNum>
  <w:abstractNum w:abstractNumId="12">
    <w:nsid w:val="27B50275"/>
    <w:multiLevelType w:val="hybridMultilevel"/>
    <w:tmpl w:val="D1C2B646"/>
    <w:lvl w:ilvl="0" w:tplc="91C49150">
      <w:start w:val="1"/>
      <w:numFmt w:val="arabicAlpha"/>
      <w:lvlText w:val="%1."/>
      <w:lvlJc w:val="left"/>
      <w:pPr>
        <w:tabs>
          <w:tab w:val="num" w:pos="567"/>
        </w:tabs>
        <w:ind w:left="567" w:right="56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3">
    <w:nsid w:val="2A233F82"/>
    <w:multiLevelType w:val="hybridMultilevel"/>
    <w:tmpl w:val="47783D8E"/>
    <w:lvl w:ilvl="0" w:tplc="04010005">
      <w:start w:val="1"/>
      <w:numFmt w:val="bullet"/>
      <w:lvlText w:val=""/>
      <w:lvlJc w:val="left"/>
      <w:pPr>
        <w:tabs>
          <w:tab w:val="num" w:pos="795"/>
        </w:tabs>
        <w:ind w:left="795" w:right="795" w:hanging="360"/>
      </w:pPr>
      <w:rPr>
        <w:rFonts w:ascii="Wingdings" w:hAnsi="Wingdings" w:hint="default"/>
      </w:rPr>
    </w:lvl>
    <w:lvl w:ilvl="1" w:tplc="04010003" w:tentative="1">
      <w:start w:val="1"/>
      <w:numFmt w:val="bullet"/>
      <w:lvlText w:val="o"/>
      <w:lvlJc w:val="left"/>
      <w:pPr>
        <w:tabs>
          <w:tab w:val="num" w:pos="1515"/>
        </w:tabs>
        <w:ind w:left="1515" w:right="1515" w:hanging="360"/>
      </w:pPr>
      <w:rPr>
        <w:rFonts w:ascii="Courier New" w:hAnsi="Courier New" w:hint="default"/>
      </w:rPr>
    </w:lvl>
    <w:lvl w:ilvl="2" w:tplc="04010005" w:tentative="1">
      <w:start w:val="1"/>
      <w:numFmt w:val="bullet"/>
      <w:lvlText w:val=""/>
      <w:lvlJc w:val="left"/>
      <w:pPr>
        <w:tabs>
          <w:tab w:val="num" w:pos="2235"/>
        </w:tabs>
        <w:ind w:left="2235" w:right="2235" w:hanging="360"/>
      </w:pPr>
      <w:rPr>
        <w:rFonts w:ascii="Wingdings" w:hAnsi="Wingdings" w:hint="default"/>
      </w:rPr>
    </w:lvl>
    <w:lvl w:ilvl="3" w:tplc="04010001" w:tentative="1">
      <w:start w:val="1"/>
      <w:numFmt w:val="bullet"/>
      <w:lvlText w:val=""/>
      <w:lvlJc w:val="left"/>
      <w:pPr>
        <w:tabs>
          <w:tab w:val="num" w:pos="2955"/>
        </w:tabs>
        <w:ind w:left="2955" w:right="2955" w:hanging="360"/>
      </w:pPr>
      <w:rPr>
        <w:rFonts w:ascii="Symbol" w:hAnsi="Symbol" w:hint="default"/>
      </w:rPr>
    </w:lvl>
    <w:lvl w:ilvl="4" w:tplc="04010003" w:tentative="1">
      <w:start w:val="1"/>
      <w:numFmt w:val="bullet"/>
      <w:lvlText w:val="o"/>
      <w:lvlJc w:val="left"/>
      <w:pPr>
        <w:tabs>
          <w:tab w:val="num" w:pos="3675"/>
        </w:tabs>
        <w:ind w:left="3675" w:right="3675" w:hanging="360"/>
      </w:pPr>
      <w:rPr>
        <w:rFonts w:ascii="Courier New" w:hAnsi="Courier New" w:hint="default"/>
      </w:rPr>
    </w:lvl>
    <w:lvl w:ilvl="5" w:tplc="04010005" w:tentative="1">
      <w:start w:val="1"/>
      <w:numFmt w:val="bullet"/>
      <w:lvlText w:val=""/>
      <w:lvlJc w:val="left"/>
      <w:pPr>
        <w:tabs>
          <w:tab w:val="num" w:pos="4395"/>
        </w:tabs>
        <w:ind w:left="4395" w:right="4395" w:hanging="360"/>
      </w:pPr>
      <w:rPr>
        <w:rFonts w:ascii="Wingdings" w:hAnsi="Wingdings" w:hint="default"/>
      </w:rPr>
    </w:lvl>
    <w:lvl w:ilvl="6" w:tplc="04010001" w:tentative="1">
      <w:start w:val="1"/>
      <w:numFmt w:val="bullet"/>
      <w:lvlText w:val=""/>
      <w:lvlJc w:val="left"/>
      <w:pPr>
        <w:tabs>
          <w:tab w:val="num" w:pos="5115"/>
        </w:tabs>
        <w:ind w:left="5115" w:right="5115" w:hanging="360"/>
      </w:pPr>
      <w:rPr>
        <w:rFonts w:ascii="Symbol" w:hAnsi="Symbol" w:hint="default"/>
      </w:rPr>
    </w:lvl>
    <w:lvl w:ilvl="7" w:tplc="04010003" w:tentative="1">
      <w:start w:val="1"/>
      <w:numFmt w:val="bullet"/>
      <w:lvlText w:val="o"/>
      <w:lvlJc w:val="left"/>
      <w:pPr>
        <w:tabs>
          <w:tab w:val="num" w:pos="5835"/>
        </w:tabs>
        <w:ind w:left="5835" w:right="5835" w:hanging="360"/>
      </w:pPr>
      <w:rPr>
        <w:rFonts w:ascii="Courier New" w:hAnsi="Courier New" w:hint="default"/>
      </w:rPr>
    </w:lvl>
    <w:lvl w:ilvl="8" w:tplc="04010005" w:tentative="1">
      <w:start w:val="1"/>
      <w:numFmt w:val="bullet"/>
      <w:lvlText w:val=""/>
      <w:lvlJc w:val="left"/>
      <w:pPr>
        <w:tabs>
          <w:tab w:val="num" w:pos="6555"/>
        </w:tabs>
        <w:ind w:left="6555" w:right="6555" w:hanging="360"/>
      </w:pPr>
      <w:rPr>
        <w:rFonts w:ascii="Wingdings" w:hAnsi="Wingdings" w:hint="default"/>
      </w:rPr>
    </w:lvl>
  </w:abstractNum>
  <w:abstractNum w:abstractNumId="14">
    <w:nsid w:val="2CDF14FA"/>
    <w:multiLevelType w:val="singleLevel"/>
    <w:tmpl w:val="5B2AECB4"/>
    <w:lvl w:ilvl="0">
      <w:start w:val="1"/>
      <w:numFmt w:val="decimal"/>
      <w:lvlText w:val="%1."/>
      <w:lvlJc w:val="left"/>
      <w:pPr>
        <w:tabs>
          <w:tab w:val="num" w:pos="1345"/>
        </w:tabs>
        <w:ind w:left="1345" w:right="1345" w:hanging="360"/>
      </w:pPr>
      <w:rPr>
        <w:rFonts w:ascii="Times New Roman" w:hAnsi="Times New Roman" w:hint="default"/>
        <w:b w:val="0"/>
        <w:i w:val="0"/>
        <w:sz w:val="20"/>
      </w:rPr>
    </w:lvl>
  </w:abstractNum>
  <w:abstractNum w:abstractNumId="15">
    <w:nsid w:val="2DA00800"/>
    <w:multiLevelType w:val="hybridMultilevel"/>
    <w:tmpl w:val="42DC5D0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6">
    <w:nsid w:val="31D57C18"/>
    <w:multiLevelType w:val="hybridMultilevel"/>
    <w:tmpl w:val="62BA1992"/>
    <w:lvl w:ilvl="0" w:tplc="8BB8B74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nsid w:val="328C5E9B"/>
    <w:multiLevelType w:val="hybridMultilevel"/>
    <w:tmpl w:val="3952567E"/>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8">
    <w:nsid w:val="349E4852"/>
    <w:multiLevelType w:val="singleLevel"/>
    <w:tmpl w:val="825EF220"/>
    <w:lvl w:ilvl="0">
      <w:start w:val="100"/>
      <w:numFmt w:val="bullet"/>
      <w:lvlText w:val=""/>
      <w:lvlJc w:val="left"/>
      <w:pPr>
        <w:tabs>
          <w:tab w:val="num" w:pos="360"/>
        </w:tabs>
        <w:ind w:left="360" w:right="360" w:hanging="360"/>
      </w:pPr>
      <w:rPr>
        <w:rFonts w:ascii="Symbol" w:hAnsi="Symbol" w:hint="default"/>
      </w:rPr>
    </w:lvl>
  </w:abstractNum>
  <w:abstractNum w:abstractNumId="19">
    <w:nsid w:val="34CB0720"/>
    <w:multiLevelType w:val="hybridMultilevel"/>
    <w:tmpl w:val="ED382E0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35C33327"/>
    <w:multiLevelType w:val="hybridMultilevel"/>
    <w:tmpl w:val="1BFCFA58"/>
    <w:lvl w:ilvl="0" w:tplc="7D6658CC">
      <w:numFmt w:val="bullet"/>
      <w:lvlText w:val="-"/>
      <w:lvlJc w:val="left"/>
      <w:pPr>
        <w:tabs>
          <w:tab w:val="num" w:pos="720"/>
        </w:tabs>
        <w:ind w:left="720" w:right="720" w:hanging="360"/>
      </w:pPr>
      <w:rPr>
        <w:rFonts w:ascii="Times New Roman" w:eastAsia="Times New Roman" w:hAnsi="Times New Roman" w:hint="default"/>
        <w:b/>
        <w:sz w:val="28"/>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21">
    <w:nsid w:val="366B5FF9"/>
    <w:multiLevelType w:val="hybridMultilevel"/>
    <w:tmpl w:val="816210A6"/>
    <w:lvl w:ilvl="0" w:tplc="205CE85A">
      <w:start w:val="1"/>
      <w:numFmt w:val="arabicAlpha"/>
      <w:lvlText w:val="%1."/>
      <w:lvlJc w:val="left"/>
      <w:pPr>
        <w:tabs>
          <w:tab w:val="num" w:pos="757"/>
        </w:tabs>
        <w:ind w:left="757" w:right="757" w:hanging="397"/>
      </w:pPr>
      <w:rPr>
        <w:rFonts w:hint="cs"/>
      </w:rPr>
    </w:lvl>
    <w:lvl w:ilvl="1" w:tplc="37506A94">
      <w:start w:val="1"/>
      <w:numFmt w:val="bullet"/>
      <w:lvlText w:val=""/>
      <w:lvlJc w:val="left"/>
      <w:pPr>
        <w:tabs>
          <w:tab w:val="num" w:pos="1440"/>
        </w:tabs>
        <w:ind w:left="1440" w:right="1440" w:hanging="360"/>
      </w:pPr>
      <w:rPr>
        <w:rFonts w:ascii="Symbol" w:eastAsia="Times New Roman" w:hAnsi="Symbol" w:cs="Simplified Arabic"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2">
    <w:nsid w:val="3C0679D1"/>
    <w:multiLevelType w:val="hybridMultilevel"/>
    <w:tmpl w:val="22629452"/>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nsid w:val="3D326AD6"/>
    <w:multiLevelType w:val="hybridMultilevel"/>
    <w:tmpl w:val="E5D00CDC"/>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4">
    <w:nsid w:val="3FDA4FF7"/>
    <w:multiLevelType w:val="multilevel"/>
    <w:tmpl w:val="D7EC17E4"/>
    <w:lvl w:ilvl="0">
      <w:start w:val="3"/>
      <w:numFmt w:val="decimal"/>
      <w:lvlText w:val="%1"/>
      <w:lvlJc w:val="left"/>
      <w:pPr>
        <w:tabs>
          <w:tab w:val="num" w:pos="465"/>
        </w:tabs>
        <w:ind w:left="465" w:right="465" w:hanging="465"/>
      </w:pPr>
      <w:rPr>
        <w:rFonts w:hint="cs"/>
      </w:rPr>
    </w:lvl>
    <w:lvl w:ilvl="1">
      <w:start w:val="1"/>
      <w:numFmt w:val="decimal"/>
      <w:lvlText w:val="%1.%2"/>
      <w:lvlJc w:val="left"/>
      <w:pPr>
        <w:tabs>
          <w:tab w:val="num" w:pos="465"/>
        </w:tabs>
        <w:ind w:left="465" w:right="465" w:hanging="46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5">
    <w:nsid w:val="43F30076"/>
    <w:multiLevelType w:val="hybridMultilevel"/>
    <w:tmpl w:val="5A9C83AE"/>
    <w:lvl w:ilvl="0" w:tplc="4AE6C42A">
      <w:start w:val="1"/>
      <w:numFmt w:val="decimal"/>
      <w:lvlText w:val="%1."/>
      <w:lvlJc w:val="left"/>
      <w:pPr>
        <w:tabs>
          <w:tab w:val="num" w:pos="665"/>
        </w:tabs>
        <w:ind w:left="665" w:right="665" w:hanging="360"/>
      </w:pPr>
      <w:rPr>
        <w:rFonts w:ascii="Times New Roman" w:hAnsi="Times New Roman" w:cs="Times New Roman"/>
      </w:rPr>
    </w:lvl>
    <w:lvl w:ilvl="1" w:tplc="33B07200">
      <w:numFmt w:val="bullet"/>
      <w:lvlText w:val=""/>
      <w:lvlJc w:val="left"/>
      <w:pPr>
        <w:tabs>
          <w:tab w:val="num" w:pos="1440"/>
        </w:tabs>
        <w:ind w:left="1440" w:right="1440" w:hanging="360"/>
      </w:pPr>
      <w:rPr>
        <w:rFonts w:ascii="Symbol" w:eastAsia="Times New Roman" w:hAnsi="Symbol"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6">
    <w:nsid w:val="45AA3E28"/>
    <w:multiLevelType w:val="hybridMultilevel"/>
    <w:tmpl w:val="F0441DD0"/>
    <w:lvl w:ilvl="0" w:tplc="BBAAF5B6">
      <w:start w:val="1"/>
      <w:numFmt w:val="decimal"/>
      <w:lvlText w:val="%1."/>
      <w:lvlJc w:val="left"/>
      <w:pPr>
        <w:tabs>
          <w:tab w:val="num" w:pos="720"/>
        </w:tabs>
        <w:ind w:left="720" w:right="720" w:hanging="360"/>
      </w:pPr>
      <w:rPr>
        <w:rFonts w:hint="cs"/>
      </w:rPr>
    </w:lvl>
    <w:lvl w:ilvl="1" w:tplc="A98C0572">
      <w:start w:val="1"/>
      <w:numFmt w:val="arabicAlpha"/>
      <w:lvlText w:val="%2."/>
      <w:lvlJc w:val="left"/>
      <w:pPr>
        <w:tabs>
          <w:tab w:val="num" w:pos="1477"/>
        </w:tabs>
        <w:ind w:left="1477" w:right="1477" w:hanging="397"/>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7">
    <w:nsid w:val="478737A0"/>
    <w:multiLevelType w:val="hybridMultilevel"/>
    <w:tmpl w:val="C1DC9F60"/>
    <w:lvl w:ilvl="0" w:tplc="6F8CEB1A">
      <w:start w:val="1"/>
      <w:numFmt w:val="arabicAlpha"/>
      <w:lvlText w:val="%1-"/>
      <w:lvlJc w:val="left"/>
      <w:pPr>
        <w:tabs>
          <w:tab w:val="num" w:pos="585"/>
        </w:tabs>
        <w:ind w:left="585" w:right="585" w:hanging="360"/>
      </w:pPr>
      <w:rPr>
        <w:rFonts w:hint="cs"/>
      </w:rPr>
    </w:lvl>
    <w:lvl w:ilvl="1" w:tplc="04010019" w:tentative="1">
      <w:start w:val="1"/>
      <w:numFmt w:val="lowerLetter"/>
      <w:lvlText w:val="%2."/>
      <w:lvlJc w:val="left"/>
      <w:pPr>
        <w:tabs>
          <w:tab w:val="num" w:pos="1305"/>
        </w:tabs>
        <w:ind w:left="1305" w:right="1305" w:hanging="360"/>
      </w:pPr>
    </w:lvl>
    <w:lvl w:ilvl="2" w:tplc="0401001B" w:tentative="1">
      <w:start w:val="1"/>
      <w:numFmt w:val="lowerRoman"/>
      <w:lvlText w:val="%3."/>
      <w:lvlJc w:val="right"/>
      <w:pPr>
        <w:tabs>
          <w:tab w:val="num" w:pos="2025"/>
        </w:tabs>
        <w:ind w:left="2025" w:right="2025" w:hanging="180"/>
      </w:pPr>
    </w:lvl>
    <w:lvl w:ilvl="3" w:tplc="0401000F" w:tentative="1">
      <w:start w:val="1"/>
      <w:numFmt w:val="decimal"/>
      <w:lvlText w:val="%4."/>
      <w:lvlJc w:val="left"/>
      <w:pPr>
        <w:tabs>
          <w:tab w:val="num" w:pos="2745"/>
        </w:tabs>
        <w:ind w:left="2745" w:right="2745" w:hanging="360"/>
      </w:pPr>
    </w:lvl>
    <w:lvl w:ilvl="4" w:tplc="04010019" w:tentative="1">
      <w:start w:val="1"/>
      <w:numFmt w:val="lowerLetter"/>
      <w:lvlText w:val="%5."/>
      <w:lvlJc w:val="left"/>
      <w:pPr>
        <w:tabs>
          <w:tab w:val="num" w:pos="3465"/>
        </w:tabs>
        <w:ind w:left="3465" w:right="3465" w:hanging="360"/>
      </w:pPr>
    </w:lvl>
    <w:lvl w:ilvl="5" w:tplc="0401001B" w:tentative="1">
      <w:start w:val="1"/>
      <w:numFmt w:val="lowerRoman"/>
      <w:lvlText w:val="%6."/>
      <w:lvlJc w:val="right"/>
      <w:pPr>
        <w:tabs>
          <w:tab w:val="num" w:pos="4185"/>
        </w:tabs>
        <w:ind w:left="4185" w:right="4185" w:hanging="180"/>
      </w:pPr>
    </w:lvl>
    <w:lvl w:ilvl="6" w:tplc="0401000F" w:tentative="1">
      <w:start w:val="1"/>
      <w:numFmt w:val="decimal"/>
      <w:lvlText w:val="%7."/>
      <w:lvlJc w:val="left"/>
      <w:pPr>
        <w:tabs>
          <w:tab w:val="num" w:pos="4905"/>
        </w:tabs>
        <w:ind w:left="4905" w:right="4905" w:hanging="360"/>
      </w:pPr>
    </w:lvl>
    <w:lvl w:ilvl="7" w:tplc="04010019" w:tentative="1">
      <w:start w:val="1"/>
      <w:numFmt w:val="lowerLetter"/>
      <w:lvlText w:val="%8."/>
      <w:lvlJc w:val="left"/>
      <w:pPr>
        <w:tabs>
          <w:tab w:val="num" w:pos="5625"/>
        </w:tabs>
        <w:ind w:left="5625" w:right="5625" w:hanging="360"/>
      </w:pPr>
    </w:lvl>
    <w:lvl w:ilvl="8" w:tplc="0401001B" w:tentative="1">
      <w:start w:val="1"/>
      <w:numFmt w:val="lowerRoman"/>
      <w:lvlText w:val="%9."/>
      <w:lvlJc w:val="right"/>
      <w:pPr>
        <w:tabs>
          <w:tab w:val="num" w:pos="6345"/>
        </w:tabs>
        <w:ind w:left="6345" w:right="6345" w:hanging="180"/>
      </w:pPr>
    </w:lvl>
  </w:abstractNum>
  <w:abstractNum w:abstractNumId="28">
    <w:nsid w:val="4D305F69"/>
    <w:multiLevelType w:val="hybridMultilevel"/>
    <w:tmpl w:val="81400C96"/>
    <w:lvl w:ilvl="0" w:tplc="1422D930">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9">
    <w:nsid w:val="4E781747"/>
    <w:multiLevelType w:val="hybridMultilevel"/>
    <w:tmpl w:val="52420D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0">
    <w:nsid w:val="4EA01634"/>
    <w:multiLevelType w:val="hybridMultilevel"/>
    <w:tmpl w:val="F1529A36"/>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31">
    <w:nsid w:val="4F181AB5"/>
    <w:multiLevelType w:val="hybridMultilevel"/>
    <w:tmpl w:val="81E6E0C8"/>
    <w:lvl w:ilvl="0" w:tplc="FC48212A">
      <w:start w:val="1"/>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2">
    <w:nsid w:val="55AC7CF0"/>
    <w:multiLevelType w:val="hybridMultilevel"/>
    <w:tmpl w:val="AC862F3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3">
    <w:nsid w:val="5C0D1916"/>
    <w:multiLevelType w:val="hybridMultilevel"/>
    <w:tmpl w:val="19A65FC0"/>
    <w:lvl w:ilvl="0" w:tplc="E580F074">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C30DEB"/>
    <w:multiLevelType w:val="hybridMultilevel"/>
    <w:tmpl w:val="BE02F3F0"/>
    <w:lvl w:ilvl="0" w:tplc="697E842A">
      <w:start w:val="1"/>
      <w:numFmt w:val="decimal"/>
      <w:lvlText w:val="%1."/>
      <w:lvlJc w:val="left"/>
      <w:pPr>
        <w:tabs>
          <w:tab w:val="num" w:pos="2040"/>
        </w:tabs>
        <w:ind w:left="2040" w:right="2040" w:hanging="360"/>
      </w:pPr>
      <w:rPr>
        <w:rFonts w:hint="cs"/>
      </w:rPr>
    </w:lvl>
    <w:lvl w:ilvl="1" w:tplc="0401001B">
      <w:start w:val="1"/>
      <w:numFmt w:val="lowerRoman"/>
      <w:lvlText w:val="%2."/>
      <w:lvlJc w:val="right"/>
      <w:pPr>
        <w:tabs>
          <w:tab w:val="num" w:pos="2580"/>
        </w:tabs>
        <w:ind w:left="2580" w:right="2580" w:hanging="180"/>
      </w:pPr>
    </w:lvl>
    <w:lvl w:ilvl="2" w:tplc="0401001B" w:tentative="1">
      <w:start w:val="1"/>
      <w:numFmt w:val="lowerRoman"/>
      <w:lvlText w:val="%3."/>
      <w:lvlJc w:val="right"/>
      <w:pPr>
        <w:tabs>
          <w:tab w:val="num" w:pos="3480"/>
        </w:tabs>
        <w:ind w:left="3480" w:right="3480" w:hanging="180"/>
      </w:pPr>
    </w:lvl>
    <w:lvl w:ilvl="3" w:tplc="0401000F" w:tentative="1">
      <w:start w:val="1"/>
      <w:numFmt w:val="decimal"/>
      <w:lvlText w:val="%4."/>
      <w:lvlJc w:val="left"/>
      <w:pPr>
        <w:tabs>
          <w:tab w:val="num" w:pos="4200"/>
        </w:tabs>
        <w:ind w:left="4200" w:right="4200" w:hanging="360"/>
      </w:pPr>
    </w:lvl>
    <w:lvl w:ilvl="4" w:tplc="04010019" w:tentative="1">
      <w:start w:val="1"/>
      <w:numFmt w:val="lowerLetter"/>
      <w:lvlText w:val="%5."/>
      <w:lvlJc w:val="left"/>
      <w:pPr>
        <w:tabs>
          <w:tab w:val="num" w:pos="4920"/>
        </w:tabs>
        <w:ind w:left="4920" w:right="4920" w:hanging="360"/>
      </w:pPr>
    </w:lvl>
    <w:lvl w:ilvl="5" w:tplc="0401001B" w:tentative="1">
      <w:start w:val="1"/>
      <w:numFmt w:val="lowerRoman"/>
      <w:lvlText w:val="%6."/>
      <w:lvlJc w:val="right"/>
      <w:pPr>
        <w:tabs>
          <w:tab w:val="num" w:pos="5640"/>
        </w:tabs>
        <w:ind w:left="5640" w:right="5640" w:hanging="180"/>
      </w:pPr>
    </w:lvl>
    <w:lvl w:ilvl="6" w:tplc="0401000F" w:tentative="1">
      <w:start w:val="1"/>
      <w:numFmt w:val="decimal"/>
      <w:lvlText w:val="%7."/>
      <w:lvlJc w:val="left"/>
      <w:pPr>
        <w:tabs>
          <w:tab w:val="num" w:pos="6360"/>
        </w:tabs>
        <w:ind w:left="6360" w:right="6360" w:hanging="360"/>
      </w:pPr>
    </w:lvl>
    <w:lvl w:ilvl="7" w:tplc="04010019" w:tentative="1">
      <w:start w:val="1"/>
      <w:numFmt w:val="lowerLetter"/>
      <w:lvlText w:val="%8."/>
      <w:lvlJc w:val="left"/>
      <w:pPr>
        <w:tabs>
          <w:tab w:val="num" w:pos="7080"/>
        </w:tabs>
        <w:ind w:left="7080" w:right="7080" w:hanging="360"/>
      </w:pPr>
    </w:lvl>
    <w:lvl w:ilvl="8" w:tplc="0401001B" w:tentative="1">
      <w:start w:val="1"/>
      <w:numFmt w:val="lowerRoman"/>
      <w:lvlText w:val="%9."/>
      <w:lvlJc w:val="right"/>
      <w:pPr>
        <w:tabs>
          <w:tab w:val="num" w:pos="7800"/>
        </w:tabs>
        <w:ind w:left="7800" w:right="7800" w:hanging="180"/>
      </w:pPr>
    </w:lvl>
  </w:abstractNum>
  <w:abstractNum w:abstractNumId="35">
    <w:nsid w:val="623006E0"/>
    <w:multiLevelType w:val="hybridMultilevel"/>
    <w:tmpl w:val="51E080EC"/>
    <w:lvl w:ilvl="0" w:tplc="55F40A7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6">
    <w:nsid w:val="62435DE8"/>
    <w:multiLevelType w:val="hybridMultilevel"/>
    <w:tmpl w:val="C3FC50A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7">
    <w:nsid w:val="668A04AF"/>
    <w:multiLevelType w:val="hybridMultilevel"/>
    <w:tmpl w:val="ADDEA740"/>
    <w:lvl w:ilvl="0" w:tplc="0401000F">
      <w:start w:val="1"/>
      <w:numFmt w:val="decimal"/>
      <w:lvlText w:val="%1."/>
      <w:lvlJc w:val="left"/>
      <w:pPr>
        <w:tabs>
          <w:tab w:val="num" w:pos="780"/>
        </w:tabs>
        <w:ind w:left="780" w:right="780" w:hanging="360"/>
      </w:pPr>
    </w:lvl>
    <w:lvl w:ilvl="1" w:tplc="04010001">
      <w:start w:val="1"/>
      <w:numFmt w:val="bullet"/>
      <w:lvlText w:val=""/>
      <w:lvlJc w:val="left"/>
      <w:pPr>
        <w:tabs>
          <w:tab w:val="num" w:pos="1500"/>
        </w:tabs>
        <w:ind w:left="1500" w:right="1500" w:hanging="360"/>
      </w:pPr>
      <w:rPr>
        <w:rFonts w:ascii="Symbol" w:hAnsi="Symbol" w:hint="default"/>
      </w:rPr>
    </w:lvl>
    <w:lvl w:ilvl="2" w:tplc="EE66734C">
      <w:start w:val="1"/>
      <w:numFmt w:val="decimal"/>
      <w:lvlText w:val="%3-"/>
      <w:lvlJc w:val="left"/>
      <w:pPr>
        <w:tabs>
          <w:tab w:val="num" w:pos="2400"/>
        </w:tabs>
        <w:ind w:left="2400" w:right="2400" w:hanging="360"/>
      </w:pPr>
      <w:rPr>
        <w:rFonts w:hint="cs"/>
      </w:rPr>
    </w:lvl>
    <w:lvl w:ilvl="3" w:tplc="0401000F" w:tentative="1">
      <w:start w:val="1"/>
      <w:numFmt w:val="decimal"/>
      <w:lvlText w:val="%4."/>
      <w:lvlJc w:val="left"/>
      <w:pPr>
        <w:tabs>
          <w:tab w:val="num" w:pos="2940"/>
        </w:tabs>
        <w:ind w:left="2940" w:right="2940" w:hanging="360"/>
      </w:pPr>
    </w:lvl>
    <w:lvl w:ilvl="4" w:tplc="04010019" w:tentative="1">
      <w:start w:val="1"/>
      <w:numFmt w:val="lowerLetter"/>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38">
    <w:nsid w:val="6D646A17"/>
    <w:multiLevelType w:val="hybridMultilevel"/>
    <w:tmpl w:val="D2FC8B80"/>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9">
    <w:nsid w:val="6DC039D7"/>
    <w:multiLevelType w:val="hybridMultilevel"/>
    <w:tmpl w:val="FD7C35FA"/>
    <w:lvl w:ilvl="0" w:tplc="0F50D7C2">
      <w:start w:val="1"/>
      <w:numFmt w:val="decimal"/>
      <w:lvlText w:val="%1."/>
      <w:lvlJc w:val="left"/>
      <w:pPr>
        <w:tabs>
          <w:tab w:val="num" w:pos="945"/>
        </w:tabs>
        <w:ind w:left="945" w:right="945" w:hanging="360"/>
      </w:pPr>
    </w:lvl>
    <w:lvl w:ilvl="1" w:tplc="B770D862">
      <w:numFmt w:val="none"/>
      <w:lvlText w:val=""/>
      <w:lvlJc w:val="left"/>
      <w:pPr>
        <w:tabs>
          <w:tab w:val="num" w:pos="360"/>
        </w:tabs>
      </w:pPr>
    </w:lvl>
    <w:lvl w:ilvl="2" w:tplc="A2DA2AFE">
      <w:numFmt w:val="none"/>
      <w:lvlText w:val=""/>
      <w:lvlJc w:val="left"/>
      <w:pPr>
        <w:tabs>
          <w:tab w:val="num" w:pos="360"/>
        </w:tabs>
      </w:pPr>
    </w:lvl>
    <w:lvl w:ilvl="3" w:tplc="BD5AC496">
      <w:numFmt w:val="none"/>
      <w:lvlText w:val=""/>
      <w:lvlJc w:val="left"/>
      <w:pPr>
        <w:tabs>
          <w:tab w:val="num" w:pos="360"/>
        </w:tabs>
      </w:pPr>
    </w:lvl>
    <w:lvl w:ilvl="4" w:tplc="507AC11C">
      <w:numFmt w:val="none"/>
      <w:lvlText w:val=""/>
      <w:lvlJc w:val="left"/>
      <w:pPr>
        <w:tabs>
          <w:tab w:val="num" w:pos="360"/>
        </w:tabs>
      </w:pPr>
    </w:lvl>
    <w:lvl w:ilvl="5" w:tplc="D7FC874E">
      <w:numFmt w:val="none"/>
      <w:lvlText w:val=""/>
      <w:lvlJc w:val="left"/>
      <w:pPr>
        <w:tabs>
          <w:tab w:val="num" w:pos="360"/>
        </w:tabs>
      </w:pPr>
    </w:lvl>
    <w:lvl w:ilvl="6" w:tplc="1B561F10">
      <w:numFmt w:val="none"/>
      <w:lvlText w:val=""/>
      <w:lvlJc w:val="left"/>
      <w:pPr>
        <w:tabs>
          <w:tab w:val="num" w:pos="360"/>
        </w:tabs>
      </w:pPr>
    </w:lvl>
    <w:lvl w:ilvl="7" w:tplc="34C2612A">
      <w:numFmt w:val="none"/>
      <w:lvlText w:val=""/>
      <w:lvlJc w:val="left"/>
      <w:pPr>
        <w:tabs>
          <w:tab w:val="num" w:pos="360"/>
        </w:tabs>
      </w:pPr>
    </w:lvl>
    <w:lvl w:ilvl="8" w:tplc="19E8360C">
      <w:numFmt w:val="none"/>
      <w:lvlText w:val=""/>
      <w:lvlJc w:val="left"/>
      <w:pPr>
        <w:tabs>
          <w:tab w:val="num" w:pos="360"/>
        </w:tabs>
      </w:pPr>
    </w:lvl>
  </w:abstractNum>
  <w:abstractNum w:abstractNumId="40">
    <w:nsid w:val="6E433D2A"/>
    <w:multiLevelType w:val="hybridMultilevel"/>
    <w:tmpl w:val="651A286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start w:val="1"/>
      <w:numFmt w:val="lowerRoman"/>
      <w:lvlText w:val="%9."/>
      <w:lvlJc w:val="right"/>
      <w:pPr>
        <w:tabs>
          <w:tab w:val="num" w:pos="6480"/>
        </w:tabs>
        <w:ind w:left="6480" w:right="6480" w:hanging="180"/>
      </w:pPr>
    </w:lvl>
  </w:abstractNum>
  <w:abstractNum w:abstractNumId="41">
    <w:nsid w:val="78482F09"/>
    <w:multiLevelType w:val="hybridMultilevel"/>
    <w:tmpl w:val="4CCA413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2">
    <w:nsid w:val="7B8321EA"/>
    <w:multiLevelType w:val="hybridMultilevel"/>
    <w:tmpl w:val="D6400AE2"/>
    <w:lvl w:ilvl="0" w:tplc="06EE2DB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0"/>
  </w:num>
  <w:num w:numId="2">
    <w:abstractNumId w:val="37"/>
  </w:num>
  <w:num w:numId="3">
    <w:abstractNumId w:val="34"/>
  </w:num>
  <w:num w:numId="4">
    <w:abstractNumId w:val="38"/>
  </w:num>
  <w:num w:numId="5">
    <w:abstractNumId w:val="39"/>
  </w:num>
  <w:num w:numId="6">
    <w:abstractNumId w:val="27"/>
  </w:num>
  <w:num w:numId="7">
    <w:abstractNumId w:val="42"/>
  </w:num>
  <w:num w:numId="8">
    <w:abstractNumId w:val="1"/>
  </w:num>
  <w:num w:numId="9">
    <w:abstractNumId w:val="6"/>
  </w:num>
  <w:num w:numId="10">
    <w:abstractNumId w:val="4"/>
  </w:num>
  <w:num w:numId="11">
    <w:abstractNumId w:val="21"/>
  </w:num>
  <w:num w:numId="12">
    <w:abstractNumId w:val="3"/>
  </w:num>
  <w:num w:numId="13">
    <w:abstractNumId w:val="26"/>
  </w:num>
  <w:num w:numId="14">
    <w:abstractNumId w:val="29"/>
  </w:num>
  <w:num w:numId="15">
    <w:abstractNumId w:val="22"/>
  </w:num>
  <w:num w:numId="16">
    <w:abstractNumId w:val="2"/>
  </w:num>
  <w:num w:numId="17">
    <w:abstractNumId w:val="32"/>
  </w:num>
  <w:num w:numId="18">
    <w:abstractNumId w:val="30"/>
  </w:num>
  <w:num w:numId="19">
    <w:abstractNumId w:val="8"/>
  </w:num>
  <w:num w:numId="20">
    <w:abstractNumId w:val="7"/>
  </w:num>
  <w:num w:numId="21">
    <w:abstractNumId w:val="18"/>
  </w:num>
  <w:num w:numId="22">
    <w:abstractNumId w:val="24"/>
  </w:num>
  <w:num w:numId="23">
    <w:abstractNumId w:val="12"/>
  </w:num>
  <w:num w:numId="24">
    <w:abstractNumId w:val="9"/>
  </w:num>
  <w:num w:numId="25">
    <w:abstractNumId w:val="41"/>
  </w:num>
  <w:num w:numId="26">
    <w:abstractNumId w:val="35"/>
  </w:num>
  <w:num w:numId="27">
    <w:abstractNumId w:val="5"/>
  </w:num>
  <w:num w:numId="28">
    <w:abstractNumId w:val="11"/>
  </w:num>
  <w:num w:numId="29">
    <w:abstractNumId w:val="14"/>
  </w:num>
  <w:num w:numId="30">
    <w:abstractNumId w:val="16"/>
  </w:num>
  <w:num w:numId="31">
    <w:abstractNumId w:val="15"/>
  </w:num>
  <w:num w:numId="32">
    <w:abstractNumId w:val="17"/>
  </w:num>
  <w:num w:numId="33">
    <w:abstractNumId w:val="36"/>
  </w:num>
  <w:num w:numId="34">
    <w:abstractNumId w:val="31"/>
  </w:num>
  <w:num w:numId="35">
    <w:abstractNumId w:val="13"/>
  </w:num>
  <w:num w:numId="36">
    <w:abstractNumId w:val="28"/>
  </w:num>
  <w:num w:numId="37">
    <w:abstractNumId w:val="0"/>
  </w:num>
  <w:num w:numId="38">
    <w:abstractNumId w:val="25"/>
  </w:num>
  <w:num w:numId="39">
    <w:abstractNumId w:val="20"/>
  </w:num>
  <w:num w:numId="40">
    <w:abstractNumId w:val="40"/>
  </w:num>
  <w:num w:numId="41">
    <w:abstractNumId w:val="19"/>
  </w:num>
  <w:num w:numId="42">
    <w:abstractNumId w:val="23"/>
  </w:num>
  <w:num w:numId="43">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20"/>
  <w:drawingGridHorizontalSpacing w:val="120"/>
  <w:displayHorizontalDrawingGridEvery w:val="2"/>
  <w:noPunctuationKerning/>
  <w:characterSpacingControl w:val="doNotCompress"/>
  <w:hdrShapeDefaults>
    <o:shapedefaults v:ext="edit" spidmax="32770"/>
  </w:hdrShapeDefaults>
  <w:footnotePr>
    <w:footnote w:id="-1"/>
    <w:footnote w:id="0"/>
  </w:footnotePr>
  <w:endnotePr>
    <w:endnote w:id="-1"/>
    <w:endnote w:id="0"/>
  </w:endnotePr>
  <w:compat/>
  <w:rsids>
    <w:rsidRoot w:val="003735DD"/>
    <w:rsid w:val="000009B3"/>
    <w:rsid w:val="0000334C"/>
    <w:rsid w:val="0001149F"/>
    <w:rsid w:val="00012A00"/>
    <w:rsid w:val="00012F0D"/>
    <w:rsid w:val="000174A0"/>
    <w:rsid w:val="00020CD7"/>
    <w:rsid w:val="00022D3D"/>
    <w:rsid w:val="00024A21"/>
    <w:rsid w:val="00030B6E"/>
    <w:rsid w:val="0003105B"/>
    <w:rsid w:val="000359A5"/>
    <w:rsid w:val="00041F47"/>
    <w:rsid w:val="00047EB2"/>
    <w:rsid w:val="000512B5"/>
    <w:rsid w:val="0005134D"/>
    <w:rsid w:val="00052E4B"/>
    <w:rsid w:val="00053230"/>
    <w:rsid w:val="000539A9"/>
    <w:rsid w:val="00054720"/>
    <w:rsid w:val="00054AF2"/>
    <w:rsid w:val="0006001F"/>
    <w:rsid w:val="000611B5"/>
    <w:rsid w:val="000658EC"/>
    <w:rsid w:val="00070AC3"/>
    <w:rsid w:val="00071F67"/>
    <w:rsid w:val="00075028"/>
    <w:rsid w:val="000769A9"/>
    <w:rsid w:val="00077FEC"/>
    <w:rsid w:val="000830CD"/>
    <w:rsid w:val="00083A87"/>
    <w:rsid w:val="0009101D"/>
    <w:rsid w:val="000924BC"/>
    <w:rsid w:val="0009482D"/>
    <w:rsid w:val="00096777"/>
    <w:rsid w:val="00097678"/>
    <w:rsid w:val="000A1DA7"/>
    <w:rsid w:val="000A2143"/>
    <w:rsid w:val="000A5501"/>
    <w:rsid w:val="000A6E08"/>
    <w:rsid w:val="000B0717"/>
    <w:rsid w:val="000B1418"/>
    <w:rsid w:val="000B2899"/>
    <w:rsid w:val="000B2EAA"/>
    <w:rsid w:val="000B42A6"/>
    <w:rsid w:val="000B5EF4"/>
    <w:rsid w:val="000B6703"/>
    <w:rsid w:val="000C16D7"/>
    <w:rsid w:val="000C3642"/>
    <w:rsid w:val="000C3718"/>
    <w:rsid w:val="000C46F5"/>
    <w:rsid w:val="000C5943"/>
    <w:rsid w:val="000C5DCF"/>
    <w:rsid w:val="000D0612"/>
    <w:rsid w:val="000D0C52"/>
    <w:rsid w:val="000D20E6"/>
    <w:rsid w:val="000D20E7"/>
    <w:rsid w:val="000D2C0F"/>
    <w:rsid w:val="000D3A8F"/>
    <w:rsid w:val="000D4428"/>
    <w:rsid w:val="000D446E"/>
    <w:rsid w:val="000D4717"/>
    <w:rsid w:val="000D6887"/>
    <w:rsid w:val="000D68A9"/>
    <w:rsid w:val="000E22D0"/>
    <w:rsid w:val="000E3DAD"/>
    <w:rsid w:val="000F1B7B"/>
    <w:rsid w:val="001018CA"/>
    <w:rsid w:val="00104363"/>
    <w:rsid w:val="00106296"/>
    <w:rsid w:val="00110AF6"/>
    <w:rsid w:val="001247CC"/>
    <w:rsid w:val="00127B2C"/>
    <w:rsid w:val="00132472"/>
    <w:rsid w:val="00133447"/>
    <w:rsid w:val="00135829"/>
    <w:rsid w:val="001430B5"/>
    <w:rsid w:val="001446C1"/>
    <w:rsid w:val="00147043"/>
    <w:rsid w:val="00147470"/>
    <w:rsid w:val="0015641E"/>
    <w:rsid w:val="00160EFC"/>
    <w:rsid w:val="00163AD5"/>
    <w:rsid w:val="00166A63"/>
    <w:rsid w:val="001701B0"/>
    <w:rsid w:val="001704AF"/>
    <w:rsid w:val="001742CB"/>
    <w:rsid w:val="00174633"/>
    <w:rsid w:val="00174F66"/>
    <w:rsid w:val="00180C3F"/>
    <w:rsid w:val="00185A58"/>
    <w:rsid w:val="0018682F"/>
    <w:rsid w:val="00190EA0"/>
    <w:rsid w:val="001972B1"/>
    <w:rsid w:val="001A1325"/>
    <w:rsid w:val="001A2E41"/>
    <w:rsid w:val="001A5276"/>
    <w:rsid w:val="001B4C61"/>
    <w:rsid w:val="001B5B7E"/>
    <w:rsid w:val="001C1918"/>
    <w:rsid w:val="001C209E"/>
    <w:rsid w:val="001C30E1"/>
    <w:rsid w:val="001C370E"/>
    <w:rsid w:val="001C4889"/>
    <w:rsid w:val="001C4E28"/>
    <w:rsid w:val="001C54F0"/>
    <w:rsid w:val="001C6240"/>
    <w:rsid w:val="001C71F7"/>
    <w:rsid w:val="001C7A05"/>
    <w:rsid w:val="001D454C"/>
    <w:rsid w:val="001D71E1"/>
    <w:rsid w:val="001D76B5"/>
    <w:rsid w:val="001E51BB"/>
    <w:rsid w:val="001E5DFC"/>
    <w:rsid w:val="001E731C"/>
    <w:rsid w:val="001F24F9"/>
    <w:rsid w:val="001F32D8"/>
    <w:rsid w:val="001F78E5"/>
    <w:rsid w:val="0020267A"/>
    <w:rsid w:val="0020462A"/>
    <w:rsid w:val="00207ED7"/>
    <w:rsid w:val="00210006"/>
    <w:rsid w:val="00210322"/>
    <w:rsid w:val="002116CB"/>
    <w:rsid w:val="0021189E"/>
    <w:rsid w:val="00211969"/>
    <w:rsid w:val="00212DB7"/>
    <w:rsid w:val="002132AA"/>
    <w:rsid w:val="002145D4"/>
    <w:rsid w:val="002145D7"/>
    <w:rsid w:val="00214DD8"/>
    <w:rsid w:val="00223C24"/>
    <w:rsid w:val="00224350"/>
    <w:rsid w:val="00225959"/>
    <w:rsid w:val="00232124"/>
    <w:rsid w:val="00237AA1"/>
    <w:rsid w:val="00240C43"/>
    <w:rsid w:val="00242416"/>
    <w:rsid w:val="002429D9"/>
    <w:rsid w:val="002441C5"/>
    <w:rsid w:val="00244600"/>
    <w:rsid w:val="00247C27"/>
    <w:rsid w:val="002529B4"/>
    <w:rsid w:val="00267642"/>
    <w:rsid w:val="00273617"/>
    <w:rsid w:val="00281CD8"/>
    <w:rsid w:val="002857A8"/>
    <w:rsid w:val="0029259F"/>
    <w:rsid w:val="00293B18"/>
    <w:rsid w:val="00297FF0"/>
    <w:rsid w:val="002A0304"/>
    <w:rsid w:val="002A3556"/>
    <w:rsid w:val="002A6913"/>
    <w:rsid w:val="002B0141"/>
    <w:rsid w:val="002B0F59"/>
    <w:rsid w:val="002B1216"/>
    <w:rsid w:val="002B4E0F"/>
    <w:rsid w:val="002B561A"/>
    <w:rsid w:val="002C4877"/>
    <w:rsid w:val="002D035F"/>
    <w:rsid w:val="002D2140"/>
    <w:rsid w:val="002D4421"/>
    <w:rsid w:val="002D6DCE"/>
    <w:rsid w:val="002D7F78"/>
    <w:rsid w:val="002E2366"/>
    <w:rsid w:val="002E3234"/>
    <w:rsid w:val="002E38E1"/>
    <w:rsid w:val="002E541B"/>
    <w:rsid w:val="002F2477"/>
    <w:rsid w:val="002F2700"/>
    <w:rsid w:val="002F30B6"/>
    <w:rsid w:val="003006F5"/>
    <w:rsid w:val="00300B1A"/>
    <w:rsid w:val="003013DA"/>
    <w:rsid w:val="003031AA"/>
    <w:rsid w:val="00305F30"/>
    <w:rsid w:val="00307591"/>
    <w:rsid w:val="003102A2"/>
    <w:rsid w:val="00312BC5"/>
    <w:rsid w:val="00312FAD"/>
    <w:rsid w:val="0031436D"/>
    <w:rsid w:val="00314595"/>
    <w:rsid w:val="00322307"/>
    <w:rsid w:val="003223CE"/>
    <w:rsid w:val="00325D6B"/>
    <w:rsid w:val="0033009A"/>
    <w:rsid w:val="00332512"/>
    <w:rsid w:val="003327A1"/>
    <w:rsid w:val="003374CD"/>
    <w:rsid w:val="003405F9"/>
    <w:rsid w:val="00343B5A"/>
    <w:rsid w:val="0034649E"/>
    <w:rsid w:val="003472A5"/>
    <w:rsid w:val="00347F6E"/>
    <w:rsid w:val="00352341"/>
    <w:rsid w:val="00353677"/>
    <w:rsid w:val="00353F40"/>
    <w:rsid w:val="00356CE0"/>
    <w:rsid w:val="0036147F"/>
    <w:rsid w:val="00362247"/>
    <w:rsid w:val="00365949"/>
    <w:rsid w:val="003662FB"/>
    <w:rsid w:val="00371C92"/>
    <w:rsid w:val="0037256B"/>
    <w:rsid w:val="003726BA"/>
    <w:rsid w:val="003735DD"/>
    <w:rsid w:val="0037429F"/>
    <w:rsid w:val="003742D7"/>
    <w:rsid w:val="00375995"/>
    <w:rsid w:val="003766B2"/>
    <w:rsid w:val="003778D1"/>
    <w:rsid w:val="003839A5"/>
    <w:rsid w:val="00384BE6"/>
    <w:rsid w:val="00385651"/>
    <w:rsid w:val="00387A83"/>
    <w:rsid w:val="00387AEF"/>
    <w:rsid w:val="00390C8F"/>
    <w:rsid w:val="0039107A"/>
    <w:rsid w:val="0039301F"/>
    <w:rsid w:val="00394FC7"/>
    <w:rsid w:val="00395ECD"/>
    <w:rsid w:val="00396255"/>
    <w:rsid w:val="003A04FA"/>
    <w:rsid w:val="003A12F0"/>
    <w:rsid w:val="003A20C9"/>
    <w:rsid w:val="003A4127"/>
    <w:rsid w:val="003A55E1"/>
    <w:rsid w:val="003A6D57"/>
    <w:rsid w:val="003A79CF"/>
    <w:rsid w:val="003B0624"/>
    <w:rsid w:val="003B1D45"/>
    <w:rsid w:val="003B346B"/>
    <w:rsid w:val="003B654B"/>
    <w:rsid w:val="003C0496"/>
    <w:rsid w:val="003C1E3A"/>
    <w:rsid w:val="003C20D2"/>
    <w:rsid w:val="003C69C5"/>
    <w:rsid w:val="003D17D1"/>
    <w:rsid w:val="003D2F61"/>
    <w:rsid w:val="003D3207"/>
    <w:rsid w:val="003D32EB"/>
    <w:rsid w:val="003F0D90"/>
    <w:rsid w:val="003F4698"/>
    <w:rsid w:val="003F6A2D"/>
    <w:rsid w:val="00402DFA"/>
    <w:rsid w:val="00404652"/>
    <w:rsid w:val="00404812"/>
    <w:rsid w:val="00406DE7"/>
    <w:rsid w:val="00410898"/>
    <w:rsid w:val="00412FE8"/>
    <w:rsid w:val="00422ADA"/>
    <w:rsid w:val="00446AAF"/>
    <w:rsid w:val="00447C4D"/>
    <w:rsid w:val="00452186"/>
    <w:rsid w:val="004534DA"/>
    <w:rsid w:val="00457598"/>
    <w:rsid w:val="00460483"/>
    <w:rsid w:val="00462EDD"/>
    <w:rsid w:val="00463360"/>
    <w:rsid w:val="004646B7"/>
    <w:rsid w:val="00467DF6"/>
    <w:rsid w:val="00471326"/>
    <w:rsid w:val="004736D4"/>
    <w:rsid w:val="004800F3"/>
    <w:rsid w:val="004804A0"/>
    <w:rsid w:val="00481960"/>
    <w:rsid w:val="00482061"/>
    <w:rsid w:val="00485A39"/>
    <w:rsid w:val="00486E64"/>
    <w:rsid w:val="004930A8"/>
    <w:rsid w:val="004A1474"/>
    <w:rsid w:val="004A281B"/>
    <w:rsid w:val="004A74FD"/>
    <w:rsid w:val="004B13A9"/>
    <w:rsid w:val="004B2084"/>
    <w:rsid w:val="004B2D88"/>
    <w:rsid w:val="004C1FBE"/>
    <w:rsid w:val="004C330A"/>
    <w:rsid w:val="004C3B8B"/>
    <w:rsid w:val="004C59E2"/>
    <w:rsid w:val="004D2571"/>
    <w:rsid w:val="004D2E3A"/>
    <w:rsid w:val="004D329D"/>
    <w:rsid w:val="004D4CE5"/>
    <w:rsid w:val="004D6725"/>
    <w:rsid w:val="004D6CAE"/>
    <w:rsid w:val="004E4C87"/>
    <w:rsid w:val="004E5E97"/>
    <w:rsid w:val="004E629A"/>
    <w:rsid w:val="004F1F39"/>
    <w:rsid w:val="004F3B65"/>
    <w:rsid w:val="004F5E2D"/>
    <w:rsid w:val="00500C1E"/>
    <w:rsid w:val="0050199A"/>
    <w:rsid w:val="00504B2C"/>
    <w:rsid w:val="00505832"/>
    <w:rsid w:val="0051090F"/>
    <w:rsid w:val="005117E9"/>
    <w:rsid w:val="005177E5"/>
    <w:rsid w:val="005210E1"/>
    <w:rsid w:val="005219EC"/>
    <w:rsid w:val="00524514"/>
    <w:rsid w:val="005338D4"/>
    <w:rsid w:val="005347AB"/>
    <w:rsid w:val="005368CC"/>
    <w:rsid w:val="00541370"/>
    <w:rsid w:val="00546089"/>
    <w:rsid w:val="0054613D"/>
    <w:rsid w:val="00546C9B"/>
    <w:rsid w:val="00546EC5"/>
    <w:rsid w:val="00547BE7"/>
    <w:rsid w:val="005516C5"/>
    <w:rsid w:val="0055261A"/>
    <w:rsid w:val="00556171"/>
    <w:rsid w:val="005579D0"/>
    <w:rsid w:val="00561952"/>
    <w:rsid w:val="00564554"/>
    <w:rsid w:val="00566337"/>
    <w:rsid w:val="00567333"/>
    <w:rsid w:val="00572DC9"/>
    <w:rsid w:val="00575D0F"/>
    <w:rsid w:val="00591418"/>
    <w:rsid w:val="00594A0A"/>
    <w:rsid w:val="00594FFC"/>
    <w:rsid w:val="00595CB4"/>
    <w:rsid w:val="005961C3"/>
    <w:rsid w:val="005A20D3"/>
    <w:rsid w:val="005A4668"/>
    <w:rsid w:val="005B12C1"/>
    <w:rsid w:val="005B5FE5"/>
    <w:rsid w:val="005B7144"/>
    <w:rsid w:val="005C07AB"/>
    <w:rsid w:val="005C1EAA"/>
    <w:rsid w:val="005C479D"/>
    <w:rsid w:val="005C4B73"/>
    <w:rsid w:val="005C5E89"/>
    <w:rsid w:val="005C6690"/>
    <w:rsid w:val="005C70F2"/>
    <w:rsid w:val="005D7D16"/>
    <w:rsid w:val="005E06C9"/>
    <w:rsid w:val="005E1B8E"/>
    <w:rsid w:val="005E259C"/>
    <w:rsid w:val="005E27BD"/>
    <w:rsid w:val="005E48D8"/>
    <w:rsid w:val="005E51C8"/>
    <w:rsid w:val="005E62C4"/>
    <w:rsid w:val="0060226A"/>
    <w:rsid w:val="00602ADF"/>
    <w:rsid w:val="00604901"/>
    <w:rsid w:val="00605EF0"/>
    <w:rsid w:val="006065EA"/>
    <w:rsid w:val="00606D31"/>
    <w:rsid w:val="00610279"/>
    <w:rsid w:val="00610E47"/>
    <w:rsid w:val="0061233C"/>
    <w:rsid w:val="00612CC0"/>
    <w:rsid w:val="00613CF9"/>
    <w:rsid w:val="00614CCC"/>
    <w:rsid w:val="006174E7"/>
    <w:rsid w:val="00617884"/>
    <w:rsid w:val="00624B51"/>
    <w:rsid w:val="00625609"/>
    <w:rsid w:val="00632E80"/>
    <w:rsid w:val="006375D1"/>
    <w:rsid w:val="006378DA"/>
    <w:rsid w:val="00643878"/>
    <w:rsid w:val="006463A0"/>
    <w:rsid w:val="00646DF8"/>
    <w:rsid w:val="006572EC"/>
    <w:rsid w:val="00662ABA"/>
    <w:rsid w:val="00671D9E"/>
    <w:rsid w:val="0067334E"/>
    <w:rsid w:val="00673D8B"/>
    <w:rsid w:val="006741EF"/>
    <w:rsid w:val="006755AE"/>
    <w:rsid w:val="0067743C"/>
    <w:rsid w:val="0068530E"/>
    <w:rsid w:val="00685DE6"/>
    <w:rsid w:val="00685E57"/>
    <w:rsid w:val="00686FA6"/>
    <w:rsid w:val="00690B3D"/>
    <w:rsid w:val="006931EC"/>
    <w:rsid w:val="00697091"/>
    <w:rsid w:val="006A59C3"/>
    <w:rsid w:val="006A7C20"/>
    <w:rsid w:val="006B28FD"/>
    <w:rsid w:val="006B42CB"/>
    <w:rsid w:val="006C020F"/>
    <w:rsid w:val="006C0D63"/>
    <w:rsid w:val="006C1A58"/>
    <w:rsid w:val="006C5A31"/>
    <w:rsid w:val="006D28C9"/>
    <w:rsid w:val="006D3840"/>
    <w:rsid w:val="006D734A"/>
    <w:rsid w:val="006E0632"/>
    <w:rsid w:val="006E0C76"/>
    <w:rsid w:val="006E180C"/>
    <w:rsid w:val="006E3E08"/>
    <w:rsid w:val="006E5C56"/>
    <w:rsid w:val="006F2B36"/>
    <w:rsid w:val="006F737A"/>
    <w:rsid w:val="0070129F"/>
    <w:rsid w:val="00701EF5"/>
    <w:rsid w:val="00703A9F"/>
    <w:rsid w:val="00704119"/>
    <w:rsid w:val="00711F84"/>
    <w:rsid w:val="0071253D"/>
    <w:rsid w:val="0071255D"/>
    <w:rsid w:val="00715D55"/>
    <w:rsid w:val="007161A4"/>
    <w:rsid w:val="00725099"/>
    <w:rsid w:val="00727B4D"/>
    <w:rsid w:val="00734138"/>
    <w:rsid w:val="00737D9C"/>
    <w:rsid w:val="007443AC"/>
    <w:rsid w:val="00744BE6"/>
    <w:rsid w:val="007454D1"/>
    <w:rsid w:val="00746B86"/>
    <w:rsid w:val="00750810"/>
    <w:rsid w:val="0075540A"/>
    <w:rsid w:val="00755F9F"/>
    <w:rsid w:val="007562D5"/>
    <w:rsid w:val="00762415"/>
    <w:rsid w:val="00762913"/>
    <w:rsid w:val="00763D71"/>
    <w:rsid w:val="00765E1B"/>
    <w:rsid w:val="00766571"/>
    <w:rsid w:val="00766F5C"/>
    <w:rsid w:val="00770EFE"/>
    <w:rsid w:val="00771207"/>
    <w:rsid w:val="00772148"/>
    <w:rsid w:val="00774F8E"/>
    <w:rsid w:val="0077633D"/>
    <w:rsid w:val="00783533"/>
    <w:rsid w:val="00786282"/>
    <w:rsid w:val="007904B8"/>
    <w:rsid w:val="007906C2"/>
    <w:rsid w:val="00792CE9"/>
    <w:rsid w:val="007956CF"/>
    <w:rsid w:val="00795E1E"/>
    <w:rsid w:val="0079745E"/>
    <w:rsid w:val="007A2D9B"/>
    <w:rsid w:val="007A4018"/>
    <w:rsid w:val="007A4A83"/>
    <w:rsid w:val="007B4A1E"/>
    <w:rsid w:val="007B4DAF"/>
    <w:rsid w:val="007C0440"/>
    <w:rsid w:val="007C2F48"/>
    <w:rsid w:val="007C3366"/>
    <w:rsid w:val="007D0000"/>
    <w:rsid w:val="007D23B2"/>
    <w:rsid w:val="007D2B1F"/>
    <w:rsid w:val="007D360A"/>
    <w:rsid w:val="007D7AD3"/>
    <w:rsid w:val="007D7EAC"/>
    <w:rsid w:val="007E0A37"/>
    <w:rsid w:val="007E5758"/>
    <w:rsid w:val="007F0F9D"/>
    <w:rsid w:val="007F3456"/>
    <w:rsid w:val="007F5C50"/>
    <w:rsid w:val="007F6E11"/>
    <w:rsid w:val="00802613"/>
    <w:rsid w:val="00805222"/>
    <w:rsid w:val="00805CFD"/>
    <w:rsid w:val="00805E31"/>
    <w:rsid w:val="008064C3"/>
    <w:rsid w:val="008069B8"/>
    <w:rsid w:val="00813722"/>
    <w:rsid w:val="0081532D"/>
    <w:rsid w:val="00816483"/>
    <w:rsid w:val="00817770"/>
    <w:rsid w:val="00817FE2"/>
    <w:rsid w:val="008228DA"/>
    <w:rsid w:val="0082503F"/>
    <w:rsid w:val="008266DC"/>
    <w:rsid w:val="00826B8C"/>
    <w:rsid w:val="00827678"/>
    <w:rsid w:val="00827BA8"/>
    <w:rsid w:val="00845B47"/>
    <w:rsid w:val="00851FCA"/>
    <w:rsid w:val="008558DA"/>
    <w:rsid w:val="008575CF"/>
    <w:rsid w:val="00866207"/>
    <w:rsid w:val="00866F60"/>
    <w:rsid w:val="008675B6"/>
    <w:rsid w:val="0087384A"/>
    <w:rsid w:val="00875163"/>
    <w:rsid w:val="008751AC"/>
    <w:rsid w:val="00876F54"/>
    <w:rsid w:val="00891CB8"/>
    <w:rsid w:val="008959F6"/>
    <w:rsid w:val="00896C9C"/>
    <w:rsid w:val="008A1F73"/>
    <w:rsid w:val="008A2EDD"/>
    <w:rsid w:val="008A7F2D"/>
    <w:rsid w:val="008B19A8"/>
    <w:rsid w:val="008B262F"/>
    <w:rsid w:val="008B3888"/>
    <w:rsid w:val="008B5798"/>
    <w:rsid w:val="008B7ECB"/>
    <w:rsid w:val="008B7FC4"/>
    <w:rsid w:val="008C069D"/>
    <w:rsid w:val="008C1520"/>
    <w:rsid w:val="008C301A"/>
    <w:rsid w:val="008C571F"/>
    <w:rsid w:val="008C6648"/>
    <w:rsid w:val="008C6952"/>
    <w:rsid w:val="008D6C41"/>
    <w:rsid w:val="008E33B9"/>
    <w:rsid w:val="008E4F53"/>
    <w:rsid w:val="008E6F77"/>
    <w:rsid w:val="008F0B43"/>
    <w:rsid w:val="00902D10"/>
    <w:rsid w:val="00904B60"/>
    <w:rsid w:val="009050F1"/>
    <w:rsid w:val="00907AAF"/>
    <w:rsid w:val="00910998"/>
    <w:rsid w:val="00911763"/>
    <w:rsid w:val="00916366"/>
    <w:rsid w:val="00916F4E"/>
    <w:rsid w:val="00917C50"/>
    <w:rsid w:val="009202F0"/>
    <w:rsid w:val="00924789"/>
    <w:rsid w:val="00924FFA"/>
    <w:rsid w:val="00926DDA"/>
    <w:rsid w:val="009344B8"/>
    <w:rsid w:val="0093576B"/>
    <w:rsid w:val="00936185"/>
    <w:rsid w:val="00936DDE"/>
    <w:rsid w:val="009434F2"/>
    <w:rsid w:val="0094450D"/>
    <w:rsid w:val="00947191"/>
    <w:rsid w:val="009477EE"/>
    <w:rsid w:val="00950F5C"/>
    <w:rsid w:val="00951397"/>
    <w:rsid w:val="00951D19"/>
    <w:rsid w:val="00951FE9"/>
    <w:rsid w:val="00953D9B"/>
    <w:rsid w:val="00956031"/>
    <w:rsid w:val="00961596"/>
    <w:rsid w:val="009663F5"/>
    <w:rsid w:val="0097212D"/>
    <w:rsid w:val="009751D6"/>
    <w:rsid w:val="009757FC"/>
    <w:rsid w:val="009763E5"/>
    <w:rsid w:val="009764B5"/>
    <w:rsid w:val="009767D9"/>
    <w:rsid w:val="00983B76"/>
    <w:rsid w:val="009852C6"/>
    <w:rsid w:val="00990378"/>
    <w:rsid w:val="00995445"/>
    <w:rsid w:val="0099735F"/>
    <w:rsid w:val="009A395A"/>
    <w:rsid w:val="009B15CA"/>
    <w:rsid w:val="009B1B69"/>
    <w:rsid w:val="009B53EF"/>
    <w:rsid w:val="009B66F9"/>
    <w:rsid w:val="009B67A6"/>
    <w:rsid w:val="009C39F1"/>
    <w:rsid w:val="009C6833"/>
    <w:rsid w:val="009D318C"/>
    <w:rsid w:val="009E0E9E"/>
    <w:rsid w:val="009E1E2A"/>
    <w:rsid w:val="009E26CB"/>
    <w:rsid w:val="009F0A33"/>
    <w:rsid w:val="009F2F9C"/>
    <w:rsid w:val="009F35A1"/>
    <w:rsid w:val="009F7B6A"/>
    <w:rsid w:val="00A00533"/>
    <w:rsid w:val="00A009DA"/>
    <w:rsid w:val="00A01093"/>
    <w:rsid w:val="00A018FB"/>
    <w:rsid w:val="00A063D6"/>
    <w:rsid w:val="00A07472"/>
    <w:rsid w:val="00A10AAE"/>
    <w:rsid w:val="00A117FE"/>
    <w:rsid w:val="00A12A52"/>
    <w:rsid w:val="00A1474C"/>
    <w:rsid w:val="00A206FB"/>
    <w:rsid w:val="00A22464"/>
    <w:rsid w:val="00A279EE"/>
    <w:rsid w:val="00A27E16"/>
    <w:rsid w:val="00A30B78"/>
    <w:rsid w:val="00A31306"/>
    <w:rsid w:val="00A31AA0"/>
    <w:rsid w:val="00A356D9"/>
    <w:rsid w:val="00A3722A"/>
    <w:rsid w:val="00A401BB"/>
    <w:rsid w:val="00A4024C"/>
    <w:rsid w:val="00A41702"/>
    <w:rsid w:val="00A43382"/>
    <w:rsid w:val="00A43D15"/>
    <w:rsid w:val="00A43EA6"/>
    <w:rsid w:val="00A50748"/>
    <w:rsid w:val="00A5404C"/>
    <w:rsid w:val="00A54B7B"/>
    <w:rsid w:val="00A55EB9"/>
    <w:rsid w:val="00A562C5"/>
    <w:rsid w:val="00A5782C"/>
    <w:rsid w:val="00A57B83"/>
    <w:rsid w:val="00A65B1B"/>
    <w:rsid w:val="00A727E2"/>
    <w:rsid w:val="00A741FA"/>
    <w:rsid w:val="00A7501A"/>
    <w:rsid w:val="00A77606"/>
    <w:rsid w:val="00A7785E"/>
    <w:rsid w:val="00A82676"/>
    <w:rsid w:val="00A84126"/>
    <w:rsid w:val="00A84547"/>
    <w:rsid w:val="00A8572C"/>
    <w:rsid w:val="00A8610B"/>
    <w:rsid w:val="00A91D30"/>
    <w:rsid w:val="00A93963"/>
    <w:rsid w:val="00A942A1"/>
    <w:rsid w:val="00A9547E"/>
    <w:rsid w:val="00A97732"/>
    <w:rsid w:val="00AA3576"/>
    <w:rsid w:val="00AA5388"/>
    <w:rsid w:val="00AA621C"/>
    <w:rsid w:val="00AA6F27"/>
    <w:rsid w:val="00AB057C"/>
    <w:rsid w:val="00AB0B76"/>
    <w:rsid w:val="00AB28A4"/>
    <w:rsid w:val="00AB685A"/>
    <w:rsid w:val="00AB6869"/>
    <w:rsid w:val="00AB6F8B"/>
    <w:rsid w:val="00AB7080"/>
    <w:rsid w:val="00AC064B"/>
    <w:rsid w:val="00AC7F09"/>
    <w:rsid w:val="00AD2F42"/>
    <w:rsid w:val="00AD6533"/>
    <w:rsid w:val="00AE2646"/>
    <w:rsid w:val="00AE47E0"/>
    <w:rsid w:val="00AE7250"/>
    <w:rsid w:val="00AF18DF"/>
    <w:rsid w:val="00AF344B"/>
    <w:rsid w:val="00AF4F37"/>
    <w:rsid w:val="00AF5DDC"/>
    <w:rsid w:val="00B0208F"/>
    <w:rsid w:val="00B10EE0"/>
    <w:rsid w:val="00B203FA"/>
    <w:rsid w:val="00B2247E"/>
    <w:rsid w:val="00B24D1D"/>
    <w:rsid w:val="00B26235"/>
    <w:rsid w:val="00B26E90"/>
    <w:rsid w:val="00B274FB"/>
    <w:rsid w:val="00B31828"/>
    <w:rsid w:val="00B3193A"/>
    <w:rsid w:val="00B337A2"/>
    <w:rsid w:val="00B34F38"/>
    <w:rsid w:val="00B35C47"/>
    <w:rsid w:val="00B37C92"/>
    <w:rsid w:val="00B51171"/>
    <w:rsid w:val="00B54CEE"/>
    <w:rsid w:val="00B54D19"/>
    <w:rsid w:val="00B552B4"/>
    <w:rsid w:val="00B57AA0"/>
    <w:rsid w:val="00B61806"/>
    <w:rsid w:val="00B61B87"/>
    <w:rsid w:val="00B6322A"/>
    <w:rsid w:val="00B7131E"/>
    <w:rsid w:val="00B742C4"/>
    <w:rsid w:val="00B74C7A"/>
    <w:rsid w:val="00B74F39"/>
    <w:rsid w:val="00B74F43"/>
    <w:rsid w:val="00B754B7"/>
    <w:rsid w:val="00B822E1"/>
    <w:rsid w:val="00B9015A"/>
    <w:rsid w:val="00B949A4"/>
    <w:rsid w:val="00B958C4"/>
    <w:rsid w:val="00B967AB"/>
    <w:rsid w:val="00B97117"/>
    <w:rsid w:val="00B978BA"/>
    <w:rsid w:val="00BA2AB1"/>
    <w:rsid w:val="00BA2C2C"/>
    <w:rsid w:val="00BA6CA1"/>
    <w:rsid w:val="00BB571E"/>
    <w:rsid w:val="00BB7B2B"/>
    <w:rsid w:val="00BC00C3"/>
    <w:rsid w:val="00BC4F31"/>
    <w:rsid w:val="00BD0658"/>
    <w:rsid w:val="00BD2D47"/>
    <w:rsid w:val="00BD4930"/>
    <w:rsid w:val="00BD5CD4"/>
    <w:rsid w:val="00BD6ABA"/>
    <w:rsid w:val="00BE2A8E"/>
    <w:rsid w:val="00BE4C1E"/>
    <w:rsid w:val="00BE5317"/>
    <w:rsid w:val="00BF12D9"/>
    <w:rsid w:val="00BF3F43"/>
    <w:rsid w:val="00BF4F61"/>
    <w:rsid w:val="00BF5A6E"/>
    <w:rsid w:val="00C0059B"/>
    <w:rsid w:val="00C006F3"/>
    <w:rsid w:val="00C00F4F"/>
    <w:rsid w:val="00C01581"/>
    <w:rsid w:val="00C04320"/>
    <w:rsid w:val="00C04C8D"/>
    <w:rsid w:val="00C05404"/>
    <w:rsid w:val="00C05CF9"/>
    <w:rsid w:val="00C1193D"/>
    <w:rsid w:val="00C119B9"/>
    <w:rsid w:val="00C11A07"/>
    <w:rsid w:val="00C12F52"/>
    <w:rsid w:val="00C16C56"/>
    <w:rsid w:val="00C17FF6"/>
    <w:rsid w:val="00C217D0"/>
    <w:rsid w:val="00C328D8"/>
    <w:rsid w:val="00C33B0B"/>
    <w:rsid w:val="00C3519B"/>
    <w:rsid w:val="00C4087B"/>
    <w:rsid w:val="00C44F55"/>
    <w:rsid w:val="00C47EA4"/>
    <w:rsid w:val="00C501CB"/>
    <w:rsid w:val="00C54D7C"/>
    <w:rsid w:val="00C57299"/>
    <w:rsid w:val="00C66224"/>
    <w:rsid w:val="00C725A9"/>
    <w:rsid w:val="00C72CFC"/>
    <w:rsid w:val="00C8470A"/>
    <w:rsid w:val="00C86A0B"/>
    <w:rsid w:val="00C86B56"/>
    <w:rsid w:val="00C874E5"/>
    <w:rsid w:val="00C90AAB"/>
    <w:rsid w:val="00C9247C"/>
    <w:rsid w:val="00C932E9"/>
    <w:rsid w:val="00C97460"/>
    <w:rsid w:val="00CA2870"/>
    <w:rsid w:val="00CB3FEF"/>
    <w:rsid w:val="00CB5067"/>
    <w:rsid w:val="00CC1F0B"/>
    <w:rsid w:val="00CC2485"/>
    <w:rsid w:val="00CC2EB7"/>
    <w:rsid w:val="00CC480B"/>
    <w:rsid w:val="00CC4EAB"/>
    <w:rsid w:val="00CC5242"/>
    <w:rsid w:val="00CC60A5"/>
    <w:rsid w:val="00CD38A7"/>
    <w:rsid w:val="00CE5A51"/>
    <w:rsid w:val="00CE5D54"/>
    <w:rsid w:val="00CE779B"/>
    <w:rsid w:val="00CF1D27"/>
    <w:rsid w:val="00CF215F"/>
    <w:rsid w:val="00CF3E47"/>
    <w:rsid w:val="00CF5EEC"/>
    <w:rsid w:val="00CF785C"/>
    <w:rsid w:val="00D05561"/>
    <w:rsid w:val="00D065FF"/>
    <w:rsid w:val="00D06D22"/>
    <w:rsid w:val="00D072EB"/>
    <w:rsid w:val="00D13040"/>
    <w:rsid w:val="00D179F4"/>
    <w:rsid w:val="00D22DEE"/>
    <w:rsid w:val="00D242DB"/>
    <w:rsid w:val="00D24CD1"/>
    <w:rsid w:val="00D304C8"/>
    <w:rsid w:val="00D310CA"/>
    <w:rsid w:val="00D317D7"/>
    <w:rsid w:val="00D36139"/>
    <w:rsid w:val="00D36254"/>
    <w:rsid w:val="00D379A6"/>
    <w:rsid w:val="00D40CA8"/>
    <w:rsid w:val="00D4303F"/>
    <w:rsid w:val="00D47B68"/>
    <w:rsid w:val="00D5096B"/>
    <w:rsid w:val="00D52F19"/>
    <w:rsid w:val="00D60D96"/>
    <w:rsid w:val="00D6583C"/>
    <w:rsid w:val="00D658BC"/>
    <w:rsid w:val="00D67DB2"/>
    <w:rsid w:val="00D806D4"/>
    <w:rsid w:val="00D84D6F"/>
    <w:rsid w:val="00D91B29"/>
    <w:rsid w:val="00D951FD"/>
    <w:rsid w:val="00D961E8"/>
    <w:rsid w:val="00DA31A7"/>
    <w:rsid w:val="00DA69F2"/>
    <w:rsid w:val="00DA7207"/>
    <w:rsid w:val="00DC23E0"/>
    <w:rsid w:val="00DC5186"/>
    <w:rsid w:val="00DC5C5E"/>
    <w:rsid w:val="00DC79F7"/>
    <w:rsid w:val="00DD142F"/>
    <w:rsid w:val="00DE03AE"/>
    <w:rsid w:val="00DE2067"/>
    <w:rsid w:val="00DE2BF2"/>
    <w:rsid w:val="00DF1815"/>
    <w:rsid w:val="00DF25E5"/>
    <w:rsid w:val="00DF2D59"/>
    <w:rsid w:val="00DF7312"/>
    <w:rsid w:val="00E0024B"/>
    <w:rsid w:val="00E018C1"/>
    <w:rsid w:val="00E01E7F"/>
    <w:rsid w:val="00E02295"/>
    <w:rsid w:val="00E031D6"/>
    <w:rsid w:val="00E03BFA"/>
    <w:rsid w:val="00E05B89"/>
    <w:rsid w:val="00E13456"/>
    <w:rsid w:val="00E22CC2"/>
    <w:rsid w:val="00E23B58"/>
    <w:rsid w:val="00E23E84"/>
    <w:rsid w:val="00E257DE"/>
    <w:rsid w:val="00E36579"/>
    <w:rsid w:val="00E410E1"/>
    <w:rsid w:val="00E4779E"/>
    <w:rsid w:val="00E47C9B"/>
    <w:rsid w:val="00E546BE"/>
    <w:rsid w:val="00E54FF5"/>
    <w:rsid w:val="00E63C51"/>
    <w:rsid w:val="00E64543"/>
    <w:rsid w:val="00E64D21"/>
    <w:rsid w:val="00E70CA1"/>
    <w:rsid w:val="00E71DDA"/>
    <w:rsid w:val="00E738B5"/>
    <w:rsid w:val="00E740EE"/>
    <w:rsid w:val="00E755C1"/>
    <w:rsid w:val="00E76801"/>
    <w:rsid w:val="00E768FB"/>
    <w:rsid w:val="00E80BF7"/>
    <w:rsid w:val="00E824D1"/>
    <w:rsid w:val="00E82E16"/>
    <w:rsid w:val="00E84B0F"/>
    <w:rsid w:val="00E86571"/>
    <w:rsid w:val="00E90498"/>
    <w:rsid w:val="00E92163"/>
    <w:rsid w:val="00EA1372"/>
    <w:rsid w:val="00EA14F2"/>
    <w:rsid w:val="00EA59F1"/>
    <w:rsid w:val="00EB3A6C"/>
    <w:rsid w:val="00EB3C25"/>
    <w:rsid w:val="00EB5488"/>
    <w:rsid w:val="00EB71C3"/>
    <w:rsid w:val="00EC0BF0"/>
    <w:rsid w:val="00EC0DB5"/>
    <w:rsid w:val="00EC3156"/>
    <w:rsid w:val="00EC3172"/>
    <w:rsid w:val="00EC3C0A"/>
    <w:rsid w:val="00ED283D"/>
    <w:rsid w:val="00ED3A3B"/>
    <w:rsid w:val="00EE1774"/>
    <w:rsid w:val="00EE1E3F"/>
    <w:rsid w:val="00EE36BF"/>
    <w:rsid w:val="00EE432B"/>
    <w:rsid w:val="00F02835"/>
    <w:rsid w:val="00F10EAA"/>
    <w:rsid w:val="00F12296"/>
    <w:rsid w:val="00F129A7"/>
    <w:rsid w:val="00F12ACB"/>
    <w:rsid w:val="00F216FB"/>
    <w:rsid w:val="00F30C81"/>
    <w:rsid w:val="00F329D4"/>
    <w:rsid w:val="00F420AA"/>
    <w:rsid w:val="00F45E96"/>
    <w:rsid w:val="00F476B7"/>
    <w:rsid w:val="00F501A3"/>
    <w:rsid w:val="00F50E77"/>
    <w:rsid w:val="00F5533A"/>
    <w:rsid w:val="00F56F09"/>
    <w:rsid w:val="00F62ABE"/>
    <w:rsid w:val="00F669B6"/>
    <w:rsid w:val="00F7025B"/>
    <w:rsid w:val="00F72BA2"/>
    <w:rsid w:val="00F76C1B"/>
    <w:rsid w:val="00F77E8C"/>
    <w:rsid w:val="00F845C5"/>
    <w:rsid w:val="00F85F64"/>
    <w:rsid w:val="00F86CE3"/>
    <w:rsid w:val="00F87135"/>
    <w:rsid w:val="00F93933"/>
    <w:rsid w:val="00F965C9"/>
    <w:rsid w:val="00FA0786"/>
    <w:rsid w:val="00FA4248"/>
    <w:rsid w:val="00FA4C53"/>
    <w:rsid w:val="00FA57FA"/>
    <w:rsid w:val="00FA7405"/>
    <w:rsid w:val="00FA77A9"/>
    <w:rsid w:val="00FB0438"/>
    <w:rsid w:val="00FB5C4B"/>
    <w:rsid w:val="00FB720E"/>
    <w:rsid w:val="00FC0372"/>
    <w:rsid w:val="00FC4468"/>
    <w:rsid w:val="00FD6F9E"/>
    <w:rsid w:val="00FE188C"/>
    <w:rsid w:val="00FE53CC"/>
    <w:rsid w:val="00FF0783"/>
    <w:rsid w:val="00FF0F8E"/>
    <w:rsid w:val="00FF156D"/>
    <w:rsid w:val="00FF257E"/>
    <w:rsid w:val="00FF4140"/>
    <w:rsid w:val="00FF56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F54"/>
    <w:pPr>
      <w:bidi/>
    </w:pPr>
    <w:rPr>
      <w:sz w:val="24"/>
      <w:szCs w:val="24"/>
      <w:lang w:eastAsia="ar-SA"/>
    </w:rPr>
  </w:style>
  <w:style w:type="paragraph" w:styleId="Heading1">
    <w:name w:val="heading 1"/>
    <w:basedOn w:val="Normal"/>
    <w:next w:val="Normal"/>
    <w:link w:val="Heading1Char"/>
    <w:qFormat/>
    <w:rsid w:val="00876F54"/>
    <w:pPr>
      <w:keepNext/>
      <w:outlineLvl w:val="0"/>
    </w:pPr>
    <w:rPr>
      <w:b/>
      <w:bCs/>
    </w:rPr>
  </w:style>
  <w:style w:type="paragraph" w:styleId="Heading2">
    <w:name w:val="heading 2"/>
    <w:basedOn w:val="Normal"/>
    <w:next w:val="Normal"/>
    <w:qFormat/>
    <w:rsid w:val="00876F54"/>
    <w:pPr>
      <w:keepNext/>
      <w:jc w:val="center"/>
      <w:outlineLvl w:val="1"/>
    </w:pPr>
    <w:rPr>
      <w:rFonts w:cs="Simplified Arabic"/>
      <w:b/>
      <w:bCs/>
    </w:rPr>
  </w:style>
  <w:style w:type="paragraph" w:styleId="Heading3">
    <w:name w:val="heading 3"/>
    <w:basedOn w:val="Normal"/>
    <w:next w:val="Normal"/>
    <w:link w:val="Heading3Char"/>
    <w:qFormat/>
    <w:rsid w:val="00876F54"/>
    <w:pPr>
      <w:keepNext/>
      <w:jc w:val="center"/>
      <w:outlineLvl w:val="2"/>
    </w:pPr>
    <w:rPr>
      <w:rFonts w:cs="Simplified Arabic"/>
      <w:b/>
      <w:bCs/>
      <w:sz w:val="22"/>
      <w:szCs w:val="22"/>
    </w:rPr>
  </w:style>
  <w:style w:type="paragraph" w:styleId="Heading4">
    <w:name w:val="heading 4"/>
    <w:basedOn w:val="Normal"/>
    <w:next w:val="Normal"/>
    <w:link w:val="Heading4Char"/>
    <w:qFormat/>
    <w:rsid w:val="00876F54"/>
    <w:pPr>
      <w:keepNext/>
      <w:jc w:val="lowKashida"/>
      <w:outlineLvl w:val="3"/>
    </w:pPr>
    <w:rPr>
      <w:rFonts w:cs="Simplified Arabic"/>
      <w:b/>
      <w:bCs/>
    </w:rPr>
  </w:style>
  <w:style w:type="paragraph" w:styleId="Heading5">
    <w:name w:val="heading 5"/>
    <w:basedOn w:val="Normal"/>
    <w:next w:val="Normal"/>
    <w:qFormat/>
    <w:rsid w:val="00876F54"/>
    <w:pPr>
      <w:keepNext/>
      <w:jc w:val="center"/>
      <w:outlineLvl w:val="4"/>
    </w:pPr>
    <w:rPr>
      <w:rFonts w:cs="Simplified Arabic"/>
      <w:b/>
      <w:bCs/>
      <w:color w:val="339966"/>
    </w:rPr>
  </w:style>
  <w:style w:type="paragraph" w:styleId="Heading6">
    <w:name w:val="heading 6"/>
    <w:basedOn w:val="Normal"/>
    <w:next w:val="Normal"/>
    <w:qFormat/>
    <w:rsid w:val="00876F54"/>
    <w:pPr>
      <w:keepNext/>
      <w:jc w:val="center"/>
      <w:outlineLvl w:val="5"/>
    </w:pPr>
    <w:rPr>
      <w:rFonts w:cs="Simplified Arabic"/>
      <w:b/>
      <w:bCs/>
      <w:sz w:val="28"/>
      <w:szCs w:val="28"/>
    </w:rPr>
  </w:style>
  <w:style w:type="paragraph" w:styleId="Heading7">
    <w:name w:val="heading 7"/>
    <w:basedOn w:val="Normal"/>
    <w:next w:val="Normal"/>
    <w:qFormat/>
    <w:rsid w:val="00876F54"/>
    <w:pPr>
      <w:keepNext/>
      <w:outlineLvl w:val="6"/>
    </w:pPr>
    <w:rPr>
      <w:rFonts w:cs="Simplified Arabic"/>
      <w:b/>
      <w:bCs/>
      <w:sz w:val="22"/>
      <w:szCs w:val="22"/>
    </w:rPr>
  </w:style>
  <w:style w:type="paragraph" w:styleId="Heading8">
    <w:name w:val="heading 8"/>
    <w:basedOn w:val="Normal"/>
    <w:next w:val="Normal"/>
    <w:qFormat/>
    <w:rsid w:val="00876F54"/>
    <w:pPr>
      <w:keepNext/>
      <w:jc w:val="lowKashida"/>
      <w:outlineLvl w:val="7"/>
    </w:pPr>
    <w:rPr>
      <w:rFonts w:cs="Simplified Arabic"/>
      <w:b/>
      <w:bCs/>
      <w:sz w:val="20"/>
      <w:szCs w:val="20"/>
    </w:rPr>
  </w:style>
  <w:style w:type="paragraph" w:styleId="Heading9">
    <w:name w:val="heading 9"/>
    <w:basedOn w:val="Normal"/>
    <w:next w:val="Normal"/>
    <w:qFormat/>
    <w:rsid w:val="00876F54"/>
    <w:pPr>
      <w:keepNext/>
      <w:outlineLvl w:val="8"/>
    </w:pPr>
    <w:rPr>
      <w:rFonts w:ascii="Arial" w:hAnsi="Arial" w:cs="Simplified Arab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76F54"/>
    <w:pPr>
      <w:jc w:val="lowKashida"/>
    </w:pPr>
    <w:rPr>
      <w:rFonts w:cs="Simplified Arabic"/>
      <w:snapToGrid w:val="0"/>
      <w:sz w:val="20"/>
      <w:szCs w:val="20"/>
      <w:lang w:eastAsia="en-US"/>
    </w:rPr>
  </w:style>
  <w:style w:type="paragraph" w:styleId="List">
    <w:name w:val="List"/>
    <w:basedOn w:val="Normal"/>
    <w:semiHidden/>
    <w:rsid w:val="00876F54"/>
    <w:pPr>
      <w:ind w:left="283" w:hanging="283"/>
    </w:pPr>
  </w:style>
  <w:style w:type="paragraph" w:styleId="List2">
    <w:name w:val="List 2"/>
    <w:basedOn w:val="Normal"/>
    <w:semiHidden/>
    <w:rsid w:val="00876F54"/>
    <w:pPr>
      <w:ind w:left="566" w:hanging="283"/>
    </w:pPr>
  </w:style>
  <w:style w:type="paragraph" w:styleId="BodyText2">
    <w:name w:val="Body Text 2"/>
    <w:basedOn w:val="Normal"/>
    <w:semiHidden/>
    <w:rsid w:val="00876F54"/>
    <w:pPr>
      <w:jc w:val="lowKashida"/>
    </w:pPr>
    <w:rPr>
      <w:rFonts w:cs="Traditional Arabic"/>
      <w:noProof/>
      <w:szCs w:val="28"/>
      <w:lang w:eastAsia="en-US"/>
    </w:rPr>
  </w:style>
  <w:style w:type="paragraph" w:styleId="BodyTextIndent">
    <w:name w:val="Body Text Indent"/>
    <w:basedOn w:val="Normal"/>
    <w:semiHidden/>
    <w:rsid w:val="00876F54"/>
    <w:pPr>
      <w:ind w:left="2040"/>
    </w:pPr>
  </w:style>
  <w:style w:type="paragraph" w:styleId="BodyText3">
    <w:name w:val="Body Text 3"/>
    <w:basedOn w:val="Normal"/>
    <w:semiHidden/>
    <w:rsid w:val="00876F54"/>
    <w:pPr>
      <w:jc w:val="lowKashida"/>
    </w:pPr>
    <w:rPr>
      <w:rFonts w:cs="Simplified Arabic"/>
    </w:rPr>
  </w:style>
  <w:style w:type="paragraph" w:styleId="Header">
    <w:name w:val="header"/>
    <w:basedOn w:val="Normal"/>
    <w:link w:val="HeaderChar"/>
    <w:uiPriority w:val="99"/>
    <w:rsid w:val="00876F54"/>
    <w:pPr>
      <w:tabs>
        <w:tab w:val="center" w:pos="4320"/>
        <w:tab w:val="right" w:pos="8640"/>
      </w:tabs>
    </w:pPr>
    <w:rPr>
      <w:rFonts w:cs="Traditional Arabic"/>
      <w:snapToGrid w:val="0"/>
      <w:sz w:val="20"/>
      <w:szCs w:val="20"/>
      <w:lang w:eastAsia="en-US"/>
    </w:rPr>
  </w:style>
  <w:style w:type="paragraph" w:styleId="Footer">
    <w:name w:val="footer"/>
    <w:basedOn w:val="Normal"/>
    <w:semiHidden/>
    <w:rsid w:val="00876F54"/>
    <w:pPr>
      <w:tabs>
        <w:tab w:val="center" w:pos="4153"/>
        <w:tab w:val="right" w:pos="8306"/>
      </w:tabs>
    </w:pPr>
  </w:style>
  <w:style w:type="character" w:styleId="PageNumber">
    <w:name w:val="page number"/>
    <w:basedOn w:val="DefaultParagraphFont"/>
    <w:semiHidden/>
    <w:rsid w:val="00876F54"/>
  </w:style>
  <w:style w:type="paragraph" w:customStyle="1" w:styleId="xl24">
    <w:name w:val="xl24"/>
    <w:basedOn w:val="Normal"/>
    <w:rsid w:val="00876F54"/>
    <w:pPr>
      <w:pBdr>
        <w:right w:val="single" w:sz="4" w:space="0" w:color="auto"/>
      </w:pBdr>
      <w:bidi w:val="0"/>
      <w:spacing w:before="100" w:beforeAutospacing="1" w:after="100" w:afterAutospacing="1"/>
      <w:jc w:val="right"/>
      <w:textAlignment w:val="center"/>
    </w:pPr>
    <w:rPr>
      <w:rFonts w:cs="Simplified Arabic" w:hint="cs"/>
    </w:rPr>
  </w:style>
  <w:style w:type="paragraph" w:customStyle="1" w:styleId="xl25">
    <w:name w:val="xl25"/>
    <w:basedOn w:val="Normal"/>
    <w:rsid w:val="00876F54"/>
    <w:pPr>
      <w:bidi w:val="0"/>
      <w:spacing w:before="100" w:beforeAutospacing="1" w:after="100" w:afterAutospacing="1"/>
      <w:jc w:val="center"/>
    </w:pPr>
    <w:rPr>
      <w:rFonts w:cs="Simplified Arabic" w:hint="cs"/>
      <w:b/>
      <w:bCs/>
    </w:rPr>
  </w:style>
  <w:style w:type="paragraph" w:customStyle="1" w:styleId="xl26">
    <w:name w:val="xl26"/>
    <w:basedOn w:val="Normal"/>
    <w:rsid w:val="00876F54"/>
    <w:pPr>
      <w:pBdr>
        <w:bottom w:val="single" w:sz="4" w:space="0" w:color="auto"/>
      </w:pBdr>
      <w:bidi w:val="0"/>
      <w:spacing w:before="100" w:beforeAutospacing="1" w:after="100" w:afterAutospacing="1"/>
      <w:jc w:val="right"/>
    </w:pPr>
    <w:rPr>
      <w:rFonts w:cs="Simplified Arabic" w:hint="cs"/>
      <w:b/>
      <w:bCs/>
    </w:rPr>
  </w:style>
  <w:style w:type="paragraph" w:customStyle="1" w:styleId="xl27">
    <w:name w:val="xl27"/>
    <w:basedOn w:val="Normal"/>
    <w:rsid w:val="00876F54"/>
    <w:pPr>
      <w:bidi w:val="0"/>
      <w:spacing w:before="100" w:beforeAutospacing="1" w:after="100" w:afterAutospacing="1"/>
      <w:jc w:val="right"/>
    </w:pPr>
    <w:rPr>
      <w:rFonts w:cs="Simplified Arabic" w:hint="cs"/>
      <w:b/>
      <w:bCs/>
    </w:rPr>
  </w:style>
  <w:style w:type="paragraph" w:customStyle="1" w:styleId="xl28">
    <w:name w:val="xl28"/>
    <w:basedOn w:val="Normal"/>
    <w:rsid w:val="00876F54"/>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Simplified Arabic" w:hint="cs"/>
    </w:rPr>
  </w:style>
  <w:style w:type="paragraph" w:customStyle="1" w:styleId="xl29">
    <w:name w:val="xl29"/>
    <w:basedOn w:val="Normal"/>
    <w:rsid w:val="00876F54"/>
    <w:pPr>
      <w:bidi w:val="0"/>
      <w:spacing w:before="100" w:beforeAutospacing="1" w:after="100" w:afterAutospacing="1"/>
      <w:jc w:val="right"/>
    </w:pPr>
    <w:rPr>
      <w:rFonts w:cs="Simplified Arabic" w:hint="cs"/>
    </w:rPr>
  </w:style>
  <w:style w:type="paragraph" w:customStyle="1" w:styleId="xl30">
    <w:name w:val="xl30"/>
    <w:basedOn w:val="Normal"/>
    <w:rsid w:val="00876F54"/>
    <w:pPr>
      <w:pBdr>
        <w:right w:val="single" w:sz="4" w:space="0" w:color="auto"/>
      </w:pBdr>
      <w:bidi w:val="0"/>
      <w:spacing w:before="100" w:beforeAutospacing="1" w:after="100" w:afterAutospacing="1"/>
      <w:jc w:val="both"/>
    </w:pPr>
    <w:rPr>
      <w:rFonts w:cs="Simplified Arabic" w:hint="cs"/>
      <w:b/>
      <w:bCs/>
    </w:rPr>
  </w:style>
  <w:style w:type="paragraph" w:customStyle="1" w:styleId="xl31">
    <w:name w:val="xl31"/>
    <w:basedOn w:val="Normal"/>
    <w:rsid w:val="00876F54"/>
    <w:pPr>
      <w:pBdr>
        <w:left w:val="single" w:sz="4" w:space="0" w:color="auto"/>
        <w:right w:val="single" w:sz="4" w:space="0" w:color="auto"/>
      </w:pBdr>
      <w:bidi w:val="0"/>
      <w:spacing w:before="100" w:beforeAutospacing="1" w:after="100" w:afterAutospacing="1"/>
    </w:pPr>
    <w:rPr>
      <w:rFonts w:cs="Simplified Arabic" w:hint="cs"/>
      <w:b/>
      <w:bCs/>
    </w:rPr>
  </w:style>
  <w:style w:type="paragraph" w:customStyle="1" w:styleId="xl32">
    <w:name w:val="xl32"/>
    <w:basedOn w:val="Normal"/>
    <w:rsid w:val="00876F54"/>
    <w:pPr>
      <w:pBdr>
        <w:right w:val="single" w:sz="4" w:space="0" w:color="auto"/>
      </w:pBdr>
      <w:bidi w:val="0"/>
      <w:spacing w:before="100" w:beforeAutospacing="1" w:after="100" w:afterAutospacing="1"/>
      <w:jc w:val="both"/>
    </w:pPr>
    <w:rPr>
      <w:rFonts w:cs="Simplified Arabic" w:hint="cs"/>
    </w:rPr>
  </w:style>
  <w:style w:type="paragraph" w:customStyle="1" w:styleId="xl33">
    <w:name w:val="xl33"/>
    <w:basedOn w:val="Normal"/>
    <w:rsid w:val="00876F54"/>
    <w:pPr>
      <w:pBdr>
        <w:bottom w:val="single" w:sz="4" w:space="0" w:color="auto"/>
        <w:right w:val="single" w:sz="4" w:space="0" w:color="auto"/>
      </w:pBdr>
      <w:bidi w:val="0"/>
      <w:spacing w:before="100" w:beforeAutospacing="1" w:after="100" w:afterAutospacing="1"/>
      <w:jc w:val="both"/>
    </w:pPr>
    <w:rPr>
      <w:rFonts w:cs="Simplified Arabic" w:hint="cs"/>
      <w:b/>
      <w:bCs/>
    </w:rPr>
  </w:style>
  <w:style w:type="paragraph" w:customStyle="1" w:styleId="xl34">
    <w:name w:val="xl34"/>
    <w:basedOn w:val="Normal"/>
    <w:rsid w:val="00876F54"/>
    <w:pPr>
      <w:pBdr>
        <w:right w:val="single" w:sz="4" w:space="0" w:color="auto"/>
      </w:pBdr>
      <w:bidi w:val="0"/>
      <w:spacing w:before="100" w:beforeAutospacing="1" w:after="100" w:afterAutospacing="1"/>
      <w:jc w:val="right"/>
      <w:textAlignment w:val="center"/>
    </w:pPr>
    <w:rPr>
      <w:b/>
      <w:bCs/>
    </w:rPr>
  </w:style>
  <w:style w:type="paragraph" w:customStyle="1" w:styleId="xl35">
    <w:name w:val="xl35"/>
    <w:basedOn w:val="Normal"/>
    <w:rsid w:val="00876F54"/>
    <w:pPr>
      <w:pBdr>
        <w:top w:val="single" w:sz="4" w:space="0" w:color="auto"/>
        <w:left w:val="single" w:sz="4" w:space="0" w:color="auto"/>
      </w:pBdr>
      <w:bidi w:val="0"/>
      <w:spacing w:before="100" w:beforeAutospacing="1" w:after="100" w:afterAutospacing="1"/>
      <w:jc w:val="right"/>
      <w:textAlignment w:val="center"/>
    </w:pPr>
    <w:rPr>
      <w:b/>
      <w:bCs/>
    </w:rPr>
  </w:style>
  <w:style w:type="paragraph" w:customStyle="1" w:styleId="xl36">
    <w:name w:val="xl36"/>
    <w:basedOn w:val="Normal"/>
    <w:rsid w:val="00876F54"/>
    <w:pPr>
      <w:pBdr>
        <w:top w:val="single" w:sz="4" w:space="0" w:color="auto"/>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37">
    <w:name w:val="xl37"/>
    <w:basedOn w:val="Normal"/>
    <w:rsid w:val="00876F54"/>
    <w:pPr>
      <w:pBdr>
        <w:left w:val="single" w:sz="4" w:space="0" w:color="auto"/>
      </w:pBdr>
      <w:bidi w:val="0"/>
      <w:spacing w:before="100" w:beforeAutospacing="1" w:after="100" w:afterAutospacing="1"/>
      <w:jc w:val="right"/>
      <w:textAlignment w:val="center"/>
    </w:pPr>
  </w:style>
  <w:style w:type="paragraph" w:customStyle="1" w:styleId="xl38">
    <w:name w:val="xl38"/>
    <w:basedOn w:val="Normal"/>
    <w:rsid w:val="00876F54"/>
    <w:pPr>
      <w:pBdr>
        <w:right w:val="single" w:sz="4" w:space="0" w:color="auto"/>
      </w:pBdr>
      <w:bidi w:val="0"/>
      <w:spacing w:before="100" w:beforeAutospacing="1" w:after="100" w:afterAutospacing="1"/>
      <w:jc w:val="right"/>
      <w:textAlignment w:val="center"/>
    </w:pPr>
  </w:style>
  <w:style w:type="paragraph" w:customStyle="1" w:styleId="xl39">
    <w:name w:val="xl39"/>
    <w:basedOn w:val="Normal"/>
    <w:rsid w:val="00876F54"/>
    <w:pPr>
      <w:pBdr>
        <w:left w:val="single" w:sz="4" w:space="0" w:color="auto"/>
        <w:right w:val="single" w:sz="4" w:space="0" w:color="auto"/>
      </w:pBdr>
      <w:bidi w:val="0"/>
      <w:spacing w:before="100" w:beforeAutospacing="1" w:after="100" w:afterAutospacing="1"/>
      <w:jc w:val="right"/>
      <w:textAlignment w:val="center"/>
    </w:pPr>
  </w:style>
  <w:style w:type="paragraph" w:customStyle="1" w:styleId="xl40">
    <w:name w:val="xl40"/>
    <w:basedOn w:val="Normal"/>
    <w:rsid w:val="00876F54"/>
    <w:pPr>
      <w:pBdr>
        <w:right w:val="single" w:sz="4" w:space="0" w:color="auto"/>
      </w:pBdr>
      <w:bidi w:val="0"/>
      <w:spacing w:before="100" w:beforeAutospacing="1" w:after="100" w:afterAutospacing="1"/>
      <w:jc w:val="right"/>
      <w:textAlignment w:val="center"/>
    </w:pPr>
  </w:style>
  <w:style w:type="paragraph" w:customStyle="1" w:styleId="xl41">
    <w:name w:val="xl41"/>
    <w:basedOn w:val="Normal"/>
    <w:rsid w:val="00876F54"/>
    <w:pPr>
      <w:pBdr>
        <w:left w:val="single" w:sz="4" w:space="0" w:color="auto"/>
      </w:pBdr>
      <w:bidi w:val="0"/>
      <w:spacing w:before="100" w:beforeAutospacing="1" w:after="100" w:afterAutospacing="1"/>
      <w:jc w:val="right"/>
      <w:textAlignment w:val="center"/>
    </w:pPr>
  </w:style>
  <w:style w:type="paragraph" w:customStyle="1" w:styleId="xl42">
    <w:name w:val="xl42"/>
    <w:basedOn w:val="Normal"/>
    <w:rsid w:val="00876F54"/>
    <w:pPr>
      <w:pBdr>
        <w:left w:val="single" w:sz="4" w:space="0" w:color="auto"/>
      </w:pBdr>
      <w:bidi w:val="0"/>
      <w:spacing w:before="100" w:beforeAutospacing="1" w:after="100" w:afterAutospacing="1"/>
      <w:jc w:val="right"/>
      <w:textAlignment w:val="center"/>
    </w:pPr>
  </w:style>
  <w:style w:type="paragraph" w:customStyle="1" w:styleId="xl44">
    <w:name w:val="xl44"/>
    <w:basedOn w:val="Normal"/>
    <w:rsid w:val="00876F54"/>
    <w:pPr>
      <w:pBdr>
        <w:right w:val="single" w:sz="4" w:space="0" w:color="auto"/>
      </w:pBdr>
      <w:shd w:val="clear" w:color="auto" w:fill="FFCC99"/>
      <w:bidi w:val="0"/>
      <w:spacing w:before="100" w:beforeAutospacing="1" w:after="100" w:afterAutospacing="1"/>
      <w:jc w:val="right"/>
      <w:textAlignment w:val="center"/>
    </w:pPr>
    <w:rPr>
      <w:b/>
      <w:bCs/>
    </w:rPr>
  </w:style>
  <w:style w:type="paragraph" w:customStyle="1" w:styleId="xl45">
    <w:name w:val="xl45"/>
    <w:basedOn w:val="Normal"/>
    <w:rsid w:val="00876F54"/>
    <w:pPr>
      <w:pBdr>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6">
    <w:name w:val="xl46"/>
    <w:basedOn w:val="Normal"/>
    <w:rsid w:val="00876F54"/>
    <w:pPr>
      <w:pBdr>
        <w:right w:val="single" w:sz="4" w:space="0" w:color="auto"/>
      </w:pBdr>
      <w:bidi w:val="0"/>
      <w:spacing w:before="100" w:beforeAutospacing="1" w:after="100" w:afterAutospacing="1"/>
      <w:jc w:val="right"/>
      <w:textAlignment w:val="center"/>
    </w:pPr>
    <w:rPr>
      <w:b/>
      <w:bCs/>
    </w:rPr>
  </w:style>
  <w:style w:type="paragraph" w:customStyle="1" w:styleId="xl47">
    <w:name w:val="xl47"/>
    <w:basedOn w:val="Normal"/>
    <w:rsid w:val="00876F54"/>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8">
    <w:name w:val="xl48"/>
    <w:basedOn w:val="Normal"/>
    <w:rsid w:val="00876F54"/>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49">
    <w:name w:val="xl49"/>
    <w:basedOn w:val="Normal"/>
    <w:rsid w:val="00876F54"/>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0">
    <w:name w:val="xl50"/>
    <w:basedOn w:val="Normal"/>
    <w:rsid w:val="00876F54"/>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51">
    <w:name w:val="xl51"/>
    <w:basedOn w:val="Normal"/>
    <w:rsid w:val="00876F54"/>
    <w:pPr>
      <w:pBdr>
        <w:left w:val="single" w:sz="4" w:space="0" w:color="auto"/>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2">
    <w:name w:val="xl52"/>
    <w:basedOn w:val="Normal"/>
    <w:rsid w:val="00876F54"/>
    <w:pPr>
      <w:pBdr>
        <w:top w:val="single" w:sz="4" w:space="0" w:color="auto"/>
        <w:left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3">
    <w:name w:val="xl53"/>
    <w:basedOn w:val="Normal"/>
    <w:rsid w:val="00876F54"/>
    <w:pPr>
      <w:pBdr>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4">
    <w:name w:val="xl54"/>
    <w:basedOn w:val="Normal"/>
    <w:rsid w:val="00876F5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5">
    <w:name w:val="xl55"/>
    <w:basedOn w:val="Normal"/>
    <w:rsid w:val="00876F54"/>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56">
    <w:name w:val="xl56"/>
    <w:basedOn w:val="Normal"/>
    <w:rsid w:val="00876F54"/>
    <w:pPr>
      <w:pBdr>
        <w:left w:val="single" w:sz="4" w:space="0" w:color="auto"/>
        <w:bottom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43">
    <w:name w:val="xl43"/>
    <w:basedOn w:val="Normal"/>
    <w:rsid w:val="00876F54"/>
    <w:pPr>
      <w:pBdr>
        <w:left w:val="single" w:sz="4" w:space="0" w:color="auto"/>
        <w:right w:val="single" w:sz="4" w:space="0" w:color="auto"/>
      </w:pBdr>
      <w:bidi w:val="0"/>
      <w:spacing w:before="100" w:beforeAutospacing="1" w:after="100" w:afterAutospacing="1"/>
      <w:jc w:val="center"/>
      <w:textAlignment w:val="center"/>
    </w:pPr>
    <w:rPr>
      <w:rFonts w:cs="Simplified Arabic" w:hint="cs"/>
      <w:b/>
      <w:bCs/>
      <w:sz w:val="18"/>
      <w:szCs w:val="18"/>
    </w:rPr>
  </w:style>
  <w:style w:type="paragraph" w:customStyle="1" w:styleId="font5">
    <w:name w:val="font5"/>
    <w:basedOn w:val="Normal"/>
    <w:rsid w:val="00876F54"/>
    <w:pPr>
      <w:bidi w:val="0"/>
      <w:spacing w:before="100" w:beforeAutospacing="1" w:after="100" w:afterAutospacing="1"/>
    </w:pPr>
    <w:rPr>
      <w:b/>
      <w:bCs/>
    </w:rPr>
  </w:style>
  <w:style w:type="paragraph" w:customStyle="1" w:styleId="font6">
    <w:name w:val="font6"/>
    <w:basedOn w:val="Normal"/>
    <w:rsid w:val="00876F54"/>
    <w:pPr>
      <w:bidi w:val="0"/>
      <w:spacing w:before="100" w:beforeAutospacing="1" w:after="100" w:afterAutospacing="1"/>
    </w:pPr>
    <w:rPr>
      <w:rFonts w:cs="Simplified Arabic" w:hint="cs"/>
      <w:b/>
      <w:bCs/>
    </w:rPr>
  </w:style>
  <w:style w:type="paragraph" w:customStyle="1" w:styleId="xl57">
    <w:name w:val="xl57"/>
    <w:basedOn w:val="Normal"/>
    <w:rsid w:val="00876F54"/>
    <w:pPr>
      <w:bidi w:val="0"/>
      <w:spacing w:before="100" w:beforeAutospacing="1" w:after="100" w:afterAutospacing="1"/>
      <w:jc w:val="center"/>
      <w:textAlignment w:val="center"/>
    </w:pPr>
    <w:rPr>
      <w:rFonts w:cs="Simplified Arabic" w:hint="cs"/>
      <w:b/>
      <w:bCs/>
    </w:rPr>
  </w:style>
  <w:style w:type="character" w:styleId="FootnoteReference">
    <w:name w:val="footnote reference"/>
    <w:basedOn w:val="DefaultParagraphFont"/>
    <w:semiHidden/>
    <w:rsid w:val="00876F54"/>
    <w:rPr>
      <w:vertAlign w:val="superscript"/>
    </w:rPr>
  </w:style>
  <w:style w:type="paragraph" w:styleId="FootnoteText">
    <w:name w:val="footnote text"/>
    <w:basedOn w:val="Normal"/>
    <w:semiHidden/>
    <w:rsid w:val="00876F54"/>
    <w:rPr>
      <w:sz w:val="20"/>
      <w:szCs w:val="20"/>
    </w:rPr>
  </w:style>
  <w:style w:type="paragraph" w:styleId="BlockText">
    <w:name w:val="Block Text"/>
    <w:basedOn w:val="Normal"/>
    <w:semiHidden/>
    <w:rsid w:val="00876F54"/>
    <w:pPr>
      <w:ind w:left="737" w:right="737"/>
      <w:jc w:val="lowKashida"/>
    </w:pPr>
    <w:rPr>
      <w:rFonts w:cs="Simplified Arabic"/>
    </w:rPr>
  </w:style>
  <w:style w:type="paragraph" w:styleId="Caption">
    <w:name w:val="caption"/>
    <w:basedOn w:val="Normal"/>
    <w:next w:val="Normal"/>
    <w:qFormat/>
    <w:rsid w:val="00876F54"/>
    <w:pPr>
      <w:jc w:val="lowKashida"/>
    </w:pPr>
    <w:rPr>
      <w:rFonts w:cs="Simplified Arabic"/>
      <w:b/>
      <w:bCs/>
      <w:lang w:eastAsia="en-US"/>
    </w:rPr>
  </w:style>
  <w:style w:type="paragraph" w:styleId="BodyTextIndent2">
    <w:name w:val="Body Text Indent 2"/>
    <w:basedOn w:val="Normal"/>
    <w:semiHidden/>
    <w:rsid w:val="00876F54"/>
    <w:pPr>
      <w:ind w:firstLine="284"/>
      <w:jc w:val="lowKashida"/>
    </w:pPr>
    <w:rPr>
      <w:rFonts w:cs="Simplified Arabic"/>
      <w:lang w:eastAsia="en-US"/>
    </w:rPr>
  </w:style>
  <w:style w:type="character" w:styleId="Hyperlink">
    <w:name w:val="Hyperlink"/>
    <w:basedOn w:val="DefaultParagraphFont"/>
    <w:semiHidden/>
    <w:rsid w:val="00876F54"/>
    <w:rPr>
      <w:color w:val="0000FF"/>
      <w:u w:val="single"/>
    </w:rPr>
  </w:style>
  <w:style w:type="character" w:styleId="FollowedHyperlink">
    <w:name w:val="FollowedHyperlink"/>
    <w:basedOn w:val="DefaultParagraphFont"/>
    <w:semiHidden/>
    <w:rsid w:val="00876F54"/>
    <w:rPr>
      <w:color w:val="800080"/>
      <w:u w:val="single"/>
    </w:rPr>
  </w:style>
  <w:style w:type="paragraph" w:styleId="CommentText">
    <w:name w:val="annotation text"/>
    <w:basedOn w:val="Normal"/>
    <w:semiHidden/>
    <w:rsid w:val="00876F54"/>
    <w:rPr>
      <w:rFonts w:cs="Traditional Arabic"/>
      <w:sz w:val="20"/>
      <w:szCs w:val="20"/>
      <w:lang w:eastAsia="en-US"/>
    </w:rPr>
  </w:style>
  <w:style w:type="paragraph" w:styleId="Title">
    <w:name w:val="Title"/>
    <w:basedOn w:val="Normal"/>
    <w:qFormat/>
    <w:rsid w:val="00876F54"/>
    <w:pPr>
      <w:jc w:val="center"/>
    </w:pPr>
    <w:rPr>
      <w:rFonts w:cs="Simplified Arabic"/>
      <w:b/>
      <w:bCs/>
      <w:noProof/>
      <w:szCs w:val="28"/>
      <w:lang w:eastAsia="en-US"/>
    </w:rPr>
  </w:style>
  <w:style w:type="paragraph" w:styleId="EndnoteText">
    <w:name w:val="endnote text"/>
    <w:basedOn w:val="Normal"/>
    <w:semiHidden/>
    <w:rsid w:val="00876F54"/>
    <w:rPr>
      <w:sz w:val="20"/>
      <w:szCs w:val="20"/>
    </w:rPr>
  </w:style>
  <w:style w:type="character" w:styleId="EndnoteReference">
    <w:name w:val="endnote reference"/>
    <w:basedOn w:val="DefaultParagraphFont"/>
    <w:semiHidden/>
    <w:rsid w:val="00876F54"/>
    <w:rPr>
      <w:vertAlign w:val="superscript"/>
    </w:rPr>
  </w:style>
  <w:style w:type="character" w:customStyle="1" w:styleId="HeaderChar">
    <w:name w:val="Header Char"/>
    <w:basedOn w:val="DefaultParagraphFont"/>
    <w:link w:val="Header"/>
    <w:uiPriority w:val="99"/>
    <w:rsid w:val="00237AA1"/>
    <w:rPr>
      <w:rFonts w:cs="Traditional Arabic"/>
      <w:snapToGrid w:val="0"/>
    </w:rPr>
  </w:style>
  <w:style w:type="paragraph" w:styleId="BodyTextIndent3">
    <w:name w:val="Body Text Indent 3"/>
    <w:basedOn w:val="Normal"/>
    <w:link w:val="BodyTextIndent3Char"/>
    <w:semiHidden/>
    <w:rsid w:val="000B2EAA"/>
    <w:pPr>
      <w:ind w:left="714" w:hanging="357"/>
    </w:pPr>
    <w:rPr>
      <w:noProof/>
      <w:lang w:eastAsia="en-US"/>
    </w:rPr>
  </w:style>
  <w:style w:type="character" w:customStyle="1" w:styleId="BodyTextIndent3Char">
    <w:name w:val="Body Text Indent 3 Char"/>
    <w:basedOn w:val="DefaultParagraphFont"/>
    <w:link w:val="BodyTextIndent3"/>
    <w:semiHidden/>
    <w:rsid w:val="000B2EAA"/>
    <w:rPr>
      <w:noProof/>
      <w:sz w:val="24"/>
      <w:szCs w:val="24"/>
    </w:rPr>
  </w:style>
  <w:style w:type="paragraph" w:styleId="Subtitle">
    <w:name w:val="Subtitle"/>
    <w:basedOn w:val="Normal"/>
    <w:link w:val="SubtitleChar"/>
    <w:qFormat/>
    <w:rsid w:val="000B2EAA"/>
    <w:pPr>
      <w:jc w:val="center"/>
    </w:pPr>
    <w:rPr>
      <w:b/>
      <w:bCs/>
      <w:sz w:val="20"/>
      <w:szCs w:val="20"/>
      <w:lang w:eastAsia="en-US"/>
    </w:rPr>
  </w:style>
  <w:style w:type="character" w:customStyle="1" w:styleId="SubtitleChar">
    <w:name w:val="Subtitle Char"/>
    <w:basedOn w:val="DefaultParagraphFont"/>
    <w:link w:val="Subtitle"/>
    <w:rsid w:val="000B2EAA"/>
    <w:rPr>
      <w:b/>
      <w:bCs/>
    </w:rPr>
  </w:style>
  <w:style w:type="paragraph" w:customStyle="1" w:styleId="xl22">
    <w:name w:val="xl22"/>
    <w:basedOn w:val="Normal"/>
    <w:rsid w:val="000B2EAA"/>
    <w:pPr>
      <w:bidi w:val="0"/>
      <w:spacing w:before="100" w:beforeAutospacing="1" w:after="100" w:afterAutospacing="1"/>
      <w:jc w:val="right"/>
    </w:pPr>
    <w:rPr>
      <w:rFonts w:ascii="Arial" w:hAnsi="Arial" w:cs="Arial"/>
      <w:b/>
      <w:bCs/>
      <w:sz w:val="18"/>
      <w:szCs w:val="18"/>
    </w:rPr>
  </w:style>
  <w:style w:type="paragraph" w:styleId="BalloonText">
    <w:name w:val="Balloon Text"/>
    <w:basedOn w:val="Normal"/>
    <w:link w:val="BalloonTextChar"/>
    <w:rsid w:val="000B2EAA"/>
    <w:rPr>
      <w:rFonts w:ascii="Tahoma" w:hAnsi="Tahoma" w:cs="Tahoma"/>
      <w:sz w:val="16"/>
      <w:szCs w:val="16"/>
    </w:rPr>
  </w:style>
  <w:style w:type="character" w:customStyle="1" w:styleId="BalloonTextChar">
    <w:name w:val="Balloon Text Char"/>
    <w:basedOn w:val="DefaultParagraphFont"/>
    <w:link w:val="BalloonText"/>
    <w:rsid w:val="000B2EAA"/>
    <w:rPr>
      <w:rFonts w:ascii="Tahoma" w:hAnsi="Tahoma" w:cs="Tahoma"/>
      <w:sz w:val="16"/>
      <w:szCs w:val="16"/>
      <w:lang w:eastAsia="ar-SA"/>
    </w:rPr>
  </w:style>
  <w:style w:type="character" w:customStyle="1" w:styleId="Heading3Char">
    <w:name w:val="Heading 3 Char"/>
    <w:basedOn w:val="DefaultParagraphFont"/>
    <w:link w:val="Heading3"/>
    <w:rsid w:val="00C328D8"/>
    <w:rPr>
      <w:rFonts w:cs="Simplified Arabic"/>
      <w:b/>
      <w:bCs/>
      <w:sz w:val="22"/>
      <w:szCs w:val="22"/>
      <w:lang w:eastAsia="ar-SA"/>
    </w:rPr>
  </w:style>
  <w:style w:type="table" w:styleId="TableGrid">
    <w:name w:val="Table Grid"/>
    <w:basedOn w:val="TableNormal"/>
    <w:uiPriority w:val="59"/>
    <w:rsid w:val="002F30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rsid w:val="00E0024B"/>
    <w:rPr>
      <w:rFonts w:cs="Simplified Arabic"/>
      <w:snapToGrid w:val="0"/>
    </w:rPr>
  </w:style>
  <w:style w:type="character" w:customStyle="1" w:styleId="Heading1Char">
    <w:name w:val="Heading 1 Char"/>
    <w:basedOn w:val="DefaultParagraphFont"/>
    <w:link w:val="Heading1"/>
    <w:rsid w:val="00685E57"/>
    <w:rPr>
      <w:b/>
      <w:bCs/>
      <w:sz w:val="24"/>
      <w:szCs w:val="24"/>
      <w:lang w:eastAsia="ar-SA"/>
    </w:rPr>
  </w:style>
  <w:style w:type="character" w:customStyle="1" w:styleId="Heading4Char">
    <w:name w:val="Heading 4 Char"/>
    <w:basedOn w:val="DefaultParagraphFont"/>
    <w:link w:val="Heading4"/>
    <w:rsid w:val="0075540A"/>
    <w:rPr>
      <w:rFonts w:cs="Simplified Arabic"/>
      <w:b/>
      <w:bCs/>
      <w:sz w:val="24"/>
      <w:szCs w:val="24"/>
      <w:lang w:eastAsia="ar-SA"/>
    </w:rPr>
  </w:style>
  <w:style w:type="paragraph" w:styleId="ListParagraph">
    <w:name w:val="List Paragraph"/>
    <w:basedOn w:val="Normal"/>
    <w:uiPriority w:val="34"/>
    <w:qFormat/>
    <w:rsid w:val="00A65B1B"/>
    <w:pPr>
      <w:ind w:left="720"/>
      <w:contextualSpacing/>
    </w:pPr>
  </w:style>
  <w:style w:type="table" w:styleId="MediumGrid1-Accent3">
    <w:name w:val="Medium Grid 1 Accent 3"/>
    <w:basedOn w:val="TableNormal"/>
    <w:uiPriority w:val="67"/>
    <w:rsid w:val="00C0059B"/>
    <w:rPr>
      <w:rFonts w:cs="Traditional Arabic"/>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444306">
      <w:bodyDiv w:val="1"/>
      <w:marLeft w:val="0"/>
      <w:marRight w:val="0"/>
      <w:marTop w:val="0"/>
      <w:marBottom w:val="0"/>
      <w:divBdr>
        <w:top w:val="none" w:sz="0" w:space="0" w:color="auto"/>
        <w:left w:val="none" w:sz="0" w:space="0" w:color="auto"/>
        <w:bottom w:val="none" w:sz="0" w:space="0" w:color="auto"/>
        <w:right w:val="none" w:sz="0" w:space="0" w:color="auto"/>
      </w:divBdr>
    </w:div>
    <w:div w:id="149911222">
      <w:bodyDiv w:val="1"/>
      <w:marLeft w:val="0"/>
      <w:marRight w:val="0"/>
      <w:marTop w:val="0"/>
      <w:marBottom w:val="0"/>
      <w:divBdr>
        <w:top w:val="none" w:sz="0" w:space="0" w:color="auto"/>
        <w:left w:val="none" w:sz="0" w:space="0" w:color="auto"/>
        <w:bottom w:val="none" w:sz="0" w:space="0" w:color="auto"/>
        <w:right w:val="none" w:sz="0" w:space="0" w:color="auto"/>
      </w:divBdr>
    </w:div>
    <w:div w:id="150100198">
      <w:bodyDiv w:val="1"/>
      <w:marLeft w:val="0"/>
      <w:marRight w:val="0"/>
      <w:marTop w:val="0"/>
      <w:marBottom w:val="0"/>
      <w:divBdr>
        <w:top w:val="none" w:sz="0" w:space="0" w:color="auto"/>
        <w:left w:val="none" w:sz="0" w:space="0" w:color="auto"/>
        <w:bottom w:val="none" w:sz="0" w:space="0" w:color="auto"/>
        <w:right w:val="none" w:sz="0" w:space="0" w:color="auto"/>
      </w:divBdr>
    </w:div>
    <w:div w:id="432475488">
      <w:bodyDiv w:val="1"/>
      <w:marLeft w:val="0"/>
      <w:marRight w:val="0"/>
      <w:marTop w:val="0"/>
      <w:marBottom w:val="0"/>
      <w:divBdr>
        <w:top w:val="none" w:sz="0" w:space="0" w:color="auto"/>
        <w:left w:val="none" w:sz="0" w:space="0" w:color="auto"/>
        <w:bottom w:val="none" w:sz="0" w:space="0" w:color="auto"/>
        <w:right w:val="none" w:sz="0" w:space="0" w:color="auto"/>
      </w:divBdr>
    </w:div>
    <w:div w:id="512888748">
      <w:bodyDiv w:val="1"/>
      <w:marLeft w:val="0"/>
      <w:marRight w:val="0"/>
      <w:marTop w:val="0"/>
      <w:marBottom w:val="0"/>
      <w:divBdr>
        <w:top w:val="none" w:sz="0" w:space="0" w:color="auto"/>
        <w:left w:val="none" w:sz="0" w:space="0" w:color="auto"/>
        <w:bottom w:val="none" w:sz="0" w:space="0" w:color="auto"/>
        <w:right w:val="none" w:sz="0" w:space="0" w:color="auto"/>
      </w:divBdr>
    </w:div>
    <w:div w:id="619190310">
      <w:bodyDiv w:val="1"/>
      <w:marLeft w:val="0"/>
      <w:marRight w:val="0"/>
      <w:marTop w:val="0"/>
      <w:marBottom w:val="0"/>
      <w:divBdr>
        <w:top w:val="none" w:sz="0" w:space="0" w:color="auto"/>
        <w:left w:val="none" w:sz="0" w:space="0" w:color="auto"/>
        <w:bottom w:val="none" w:sz="0" w:space="0" w:color="auto"/>
        <w:right w:val="none" w:sz="0" w:space="0" w:color="auto"/>
      </w:divBdr>
    </w:div>
    <w:div w:id="636838011">
      <w:bodyDiv w:val="1"/>
      <w:marLeft w:val="0"/>
      <w:marRight w:val="0"/>
      <w:marTop w:val="0"/>
      <w:marBottom w:val="0"/>
      <w:divBdr>
        <w:top w:val="none" w:sz="0" w:space="0" w:color="auto"/>
        <w:left w:val="none" w:sz="0" w:space="0" w:color="auto"/>
        <w:bottom w:val="none" w:sz="0" w:space="0" w:color="auto"/>
        <w:right w:val="none" w:sz="0" w:space="0" w:color="auto"/>
      </w:divBdr>
    </w:div>
    <w:div w:id="836842147">
      <w:bodyDiv w:val="1"/>
      <w:marLeft w:val="0"/>
      <w:marRight w:val="0"/>
      <w:marTop w:val="0"/>
      <w:marBottom w:val="0"/>
      <w:divBdr>
        <w:top w:val="none" w:sz="0" w:space="0" w:color="auto"/>
        <w:left w:val="none" w:sz="0" w:space="0" w:color="auto"/>
        <w:bottom w:val="none" w:sz="0" w:space="0" w:color="auto"/>
        <w:right w:val="none" w:sz="0" w:space="0" w:color="auto"/>
      </w:divBdr>
    </w:div>
    <w:div w:id="948706609">
      <w:bodyDiv w:val="1"/>
      <w:marLeft w:val="0"/>
      <w:marRight w:val="0"/>
      <w:marTop w:val="0"/>
      <w:marBottom w:val="0"/>
      <w:divBdr>
        <w:top w:val="none" w:sz="0" w:space="0" w:color="auto"/>
        <w:left w:val="none" w:sz="0" w:space="0" w:color="auto"/>
        <w:bottom w:val="none" w:sz="0" w:space="0" w:color="auto"/>
        <w:right w:val="none" w:sz="0" w:space="0" w:color="auto"/>
      </w:divBdr>
    </w:div>
    <w:div w:id="1196385707">
      <w:bodyDiv w:val="1"/>
      <w:marLeft w:val="0"/>
      <w:marRight w:val="0"/>
      <w:marTop w:val="0"/>
      <w:marBottom w:val="0"/>
      <w:divBdr>
        <w:top w:val="none" w:sz="0" w:space="0" w:color="auto"/>
        <w:left w:val="none" w:sz="0" w:space="0" w:color="auto"/>
        <w:bottom w:val="none" w:sz="0" w:space="0" w:color="auto"/>
        <w:right w:val="none" w:sz="0" w:space="0" w:color="auto"/>
      </w:divBdr>
    </w:div>
    <w:div w:id="1289970691">
      <w:bodyDiv w:val="1"/>
      <w:marLeft w:val="0"/>
      <w:marRight w:val="0"/>
      <w:marTop w:val="0"/>
      <w:marBottom w:val="0"/>
      <w:divBdr>
        <w:top w:val="none" w:sz="0" w:space="0" w:color="auto"/>
        <w:left w:val="none" w:sz="0" w:space="0" w:color="auto"/>
        <w:bottom w:val="none" w:sz="0" w:space="0" w:color="auto"/>
        <w:right w:val="none" w:sz="0" w:space="0" w:color="auto"/>
      </w:divBdr>
    </w:div>
    <w:div w:id="1329560613">
      <w:bodyDiv w:val="1"/>
      <w:marLeft w:val="0"/>
      <w:marRight w:val="0"/>
      <w:marTop w:val="0"/>
      <w:marBottom w:val="0"/>
      <w:divBdr>
        <w:top w:val="none" w:sz="0" w:space="0" w:color="auto"/>
        <w:left w:val="none" w:sz="0" w:space="0" w:color="auto"/>
        <w:bottom w:val="none" w:sz="0" w:space="0" w:color="auto"/>
        <w:right w:val="none" w:sz="0" w:space="0" w:color="auto"/>
      </w:divBdr>
    </w:div>
    <w:div w:id="1371806412">
      <w:bodyDiv w:val="1"/>
      <w:marLeft w:val="0"/>
      <w:marRight w:val="0"/>
      <w:marTop w:val="0"/>
      <w:marBottom w:val="0"/>
      <w:divBdr>
        <w:top w:val="none" w:sz="0" w:space="0" w:color="auto"/>
        <w:left w:val="none" w:sz="0" w:space="0" w:color="auto"/>
        <w:bottom w:val="none" w:sz="0" w:space="0" w:color="auto"/>
        <w:right w:val="none" w:sz="0" w:space="0" w:color="auto"/>
      </w:divBdr>
    </w:div>
    <w:div w:id="1566260039">
      <w:bodyDiv w:val="1"/>
      <w:marLeft w:val="0"/>
      <w:marRight w:val="0"/>
      <w:marTop w:val="0"/>
      <w:marBottom w:val="0"/>
      <w:divBdr>
        <w:top w:val="none" w:sz="0" w:space="0" w:color="auto"/>
        <w:left w:val="none" w:sz="0" w:space="0" w:color="auto"/>
        <w:bottom w:val="none" w:sz="0" w:space="0" w:color="auto"/>
        <w:right w:val="none" w:sz="0" w:space="0" w:color="auto"/>
      </w:divBdr>
    </w:div>
    <w:div w:id="1583221382">
      <w:bodyDiv w:val="1"/>
      <w:marLeft w:val="0"/>
      <w:marRight w:val="0"/>
      <w:marTop w:val="0"/>
      <w:marBottom w:val="0"/>
      <w:divBdr>
        <w:top w:val="none" w:sz="0" w:space="0" w:color="auto"/>
        <w:left w:val="none" w:sz="0" w:space="0" w:color="auto"/>
        <w:bottom w:val="none" w:sz="0" w:space="0" w:color="auto"/>
        <w:right w:val="none" w:sz="0" w:space="0" w:color="auto"/>
      </w:divBdr>
    </w:div>
    <w:div w:id="1678192130">
      <w:bodyDiv w:val="1"/>
      <w:marLeft w:val="0"/>
      <w:marRight w:val="0"/>
      <w:marTop w:val="0"/>
      <w:marBottom w:val="0"/>
      <w:divBdr>
        <w:top w:val="none" w:sz="0" w:space="0" w:color="auto"/>
        <w:left w:val="none" w:sz="0" w:space="0" w:color="auto"/>
        <w:bottom w:val="none" w:sz="0" w:space="0" w:color="auto"/>
        <w:right w:val="none" w:sz="0" w:space="0" w:color="auto"/>
      </w:divBdr>
    </w:div>
    <w:div w:id="1825274030">
      <w:bodyDiv w:val="1"/>
      <w:marLeft w:val="0"/>
      <w:marRight w:val="0"/>
      <w:marTop w:val="0"/>
      <w:marBottom w:val="0"/>
      <w:divBdr>
        <w:top w:val="none" w:sz="0" w:space="0" w:color="auto"/>
        <w:left w:val="none" w:sz="0" w:space="0" w:color="auto"/>
        <w:bottom w:val="none" w:sz="0" w:space="0" w:color="auto"/>
        <w:right w:val="none" w:sz="0" w:space="0" w:color="auto"/>
      </w:divBdr>
    </w:div>
    <w:div w:id="1892303225">
      <w:bodyDiv w:val="1"/>
      <w:marLeft w:val="0"/>
      <w:marRight w:val="0"/>
      <w:marTop w:val="0"/>
      <w:marBottom w:val="0"/>
      <w:divBdr>
        <w:top w:val="none" w:sz="0" w:space="0" w:color="auto"/>
        <w:left w:val="none" w:sz="0" w:space="0" w:color="auto"/>
        <w:bottom w:val="none" w:sz="0" w:space="0" w:color="auto"/>
        <w:right w:val="none" w:sz="0" w:space="0" w:color="auto"/>
      </w:divBdr>
    </w:div>
    <w:div w:id="1949972224">
      <w:bodyDiv w:val="1"/>
      <w:marLeft w:val="0"/>
      <w:marRight w:val="0"/>
      <w:marTop w:val="0"/>
      <w:marBottom w:val="0"/>
      <w:divBdr>
        <w:top w:val="none" w:sz="0" w:space="0" w:color="auto"/>
        <w:left w:val="none" w:sz="0" w:space="0" w:color="auto"/>
        <w:bottom w:val="none" w:sz="0" w:space="0" w:color="auto"/>
        <w:right w:val="none" w:sz="0" w:space="0" w:color="auto"/>
      </w:divBdr>
    </w:div>
    <w:div w:id="19628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style val="18"/>
  <c:chart>
    <c:title>
      <c:tx>
        <c:rich>
          <a:bodyPr/>
          <a:lstStyle/>
          <a:p>
            <a:pPr>
              <a:defRPr/>
            </a:pPr>
            <a:r>
              <a:rPr lang="ar-SA"/>
              <a:t>
  </a:t>
            </a:r>
          </a:p>
        </c:rich>
      </c:tx>
      <c:layout>
        <c:manualLayout>
          <c:xMode val="edge"/>
          <c:yMode val="edge"/>
          <c:x val="0.49659854508398532"/>
          <c:y val="2.1333445919796846E-2"/>
        </c:manualLayout>
      </c:layout>
    </c:title>
    <c:view3D>
      <c:rotX val="0"/>
      <c:hPercent val="163"/>
      <c:rotY val="0"/>
      <c:depthPercent val="1710"/>
      <c:rAngAx val="1"/>
    </c:view3D>
    <c:plotArea>
      <c:layout>
        <c:manualLayout>
          <c:layoutTarget val="inner"/>
          <c:xMode val="edge"/>
          <c:yMode val="edge"/>
          <c:x val="0.10853066094011081"/>
          <c:y val="2.5442498746691546E-2"/>
          <c:w val="0.83790847053209738"/>
          <c:h val="0.74351850853597401"/>
        </c:manualLayout>
      </c:layout>
      <c:bar3DChart>
        <c:barDir val="bar"/>
        <c:grouping val="stacked"/>
        <c:ser>
          <c:idx val="0"/>
          <c:order val="0"/>
          <c:tx>
            <c:strRef>
              <c:f>Sheet1!$B$6:$B$6</c:f>
              <c:strCache>
                <c:ptCount val="1"/>
                <c:pt idx="0">
                  <c:v>Female</c:v>
                </c:pt>
              </c:strCache>
            </c:strRef>
          </c:tx>
          <c:spPr>
            <a:gradFill>
              <a:gsLst>
                <a:gs pos="0">
                  <a:srgbClr val="DDEBCF"/>
                </a:gs>
                <a:gs pos="50000">
                  <a:srgbClr val="9CB86E"/>
                </a:gs>
                <a:gs pos="100000">
                  <a:srgbClr val="156B13"/>
                </a:gs>
              </a:gsLst>
              <a:lin ang="5400000" scaled="0"/>
            </a:gradFill>
            <a:effectLst>
              <a:outerShdw blurRad="40000" dist="23000" dir="5400000" rotWithShape="0">
                <a:schemeClr val="bg1">
                  <a:alpha val="35000"/>
                </a:schemeClr>
              </a:outerShdw>
            </a:effectLst>
          </c:spPr>
          <c:dPt>
            <c:idx val="11"/>
            <c:spPr>
              <a:gradFill>
                <a:gsLst>
                  <a:gs pos="0">
                    <a:srgbClr val="DDEBCF"/>
                  </a:gs>
                  <a:gs pos="50000">
                    <a:srgbClr val="9CB86E"/>
                  </a:gs>
                  <a:gs pos="100000">
                    <a:srgbClr val="156B13"/>
                  </a:gs>
                </a:gsLst>
                <a:lin ang="5400000" scaled="0"/>
              </a:gradFill>
              <a:effectLst>
                <a:outerShdw blurRad="40000" dist="23000" dir="5400000" rotWithShape="0">
                  <a:schemeClr val="bg1">
                    <a:alpha val="35000"/>
                  </a:schemeClr>
                </a:outerShdw>
              </a:effectLst>
              <a:scene3d>
                <a:camera prst="orthographicFront"/>
                <a:lightRig rig="threePt" dir="t"/>
              </a:scene3d>
              <a:sp3d>
                <a:bevelT/>
              </a:sp3d>
            </c:spPr>
          </c:dPt>
          <c:dPt>
            <c:idx val="12"/>
            <c:spPr>
              <a:gradFill>
                <a:gsLst>
                  <a:gs pos="0">
                    <a:srgbClr val="DDEBCF"/>
                  </a:gs>
                  <a:gs pos="50000">
                    <a:srgbClr val="9CB86E"/>
                  </a:gs>
                  <a:gs pos="100000">
                    <a:srgbClr val="156B13"/>
                  </a:gs>
                </a:gsLst>
                <a:lin ang="5400000" scaled="0"/>
              </a:gradFill>
              <a:effectLst>
                <a:outerShdw blurRad="40000" dist="23000" dir="5400000" rotWithShape="0">
                  <a:schemeClr val="bg1">
                    <a:alpha val="35000"/>
                  </a:schemeClr>
                </a:outerShdw>
              </a:effectLst>
              <a:scene3d>
                <a:camera prst="orthographicFront"/>
                <a:lightRig rig="threePt" dir="t"/>
              </a:scene3d>
              <a:sp3d>
                <a:bevelT/>
              </a:sp3d>
            </c:spPr>
          </c:dPt>
          <c:dPt>
            <c:idx val="13"/>
            <c:spPr>
              <a:gradFill>
                <a:gsLst>
                  <a:gs pos="0">
                    <a:srgbClr val="DDEBCF"/>
                  </a:gs>
                  <a:gs pos="50000">
                    <a:srgbClr val="9CB86E"/>
                  </a:gs>
                  <a:gs pos="100000">
                    <a:srgbClr val="156B13"/>
                  </a:gs>
                </a:gsLst>
                <a:lin ang="5400000" scaled="0"/>
              </a:gradFill>
              <a:effectLst>
                <a:outerShdw blurRad="40000" dist="23000" dir="5400000" rotWithShape="0">
                  <a:schemeClr val="bg1">
                    <a:alpha val="35000"/>
                  </a:schemeClr>
                </a:outerShdw>
              </a:effectLst>
              <a:scene3d>
                <a:camera prst="orthographicFront"/>
                <a:lightRig rig="threePt" dir="t"/>
              </a:scene3d>
              <a:sp3d>
                <a:bevelT/>
              </a:sp3d>
            </c:spPr>
          </c:dPt>
          <c:cat>
            <c:strRef>
              <c:f>Sheet1!$A$7:$A$23</c:f>
              <c:strCache>
                <c:ptCount val="17"/>
                <c:pt idx="0">
                  <c:v>+80</c:v>
                </c:pt>
                <c:pt idx="1">
                  <c:v>79-75</c:v>
                </c:pt>
                <c:pt idx="2">
                  <c:v>74-70</c:v>
                </c:pt>
                <c:pt idx="3">
                  <c:v>69-65</c:v>
                </c:pt>
                <c:pt idx="4">
                  <c:v>64-60</c:v>
                </c:pt>
                <c:pt idx="5">
                  <c:v>59-55</c:v>
                </c:pt>
                <c:pt idx="6">
                  <c:v>54-50</c:v>
                </c:pt>
                <c:pt idx="7">
                  <c:v>49-45</c:v>
                </c:pt>
                <c:pt idx="8">
                  <c:v>44-40</c:v>
                </c:pt>
                <c:pt idx="9">
                  <c:v>39-35</c:v>
                </c:pt>
                <c:pt idx="10">
                  <c:v>34-30</c:v>
                </c:pt>
                <c:pt idx="11">
                  <c:v>29-25</c:v>
                </c:pt>
                <c:pt idx="12">
                  <c:v>24-20</c:v>
                </c:pt>
                <c:pt idx="13">
                  <c:v>19-15</c:v>
                </c:pt>
                <c:pt idx="14">
                  <c:v>14-10</c:v>
                </c:pt>
                <c:pt idx="15">
                  <c:v>9-5</c:v>
                </c:pt>
                <c:pt idx="16">
                  <c:v>4-0</c:v>
                </c:pt>
              </c:strCache>
            </c:strRef>
          </c:cat>
          <c:val>
            <c:numRef>
              <c:f>Sheet1!$B$7:$B$23</c:f>
              <c:numCache>
                <c:formatCode>#,##0.0_-;[Red]#,##0.0</c:formatCode>
                <c:ptCount val="17"/>
                <c:pt idx="0">
                  <c:v>-17.582999999999949</c:v>
                </c:pt>
                <c:pt idx="1">
                  <c:v>-14.047000000000001</c:v>
                </c:pt>
                <c:pt idx="2">
                  <c:v>-21.306999999999999</c:v>
                </c:pt>
                <c:pt idx="3">
                  <c:v>-29.524999999999999</c:v>
                </c:pt>
                <c:pt idx="4">
                  <c:v>-41.256</c:v>
                </c:pt>
                <c:pt idx="5">
                  <c:v>-57.223000000000013</c:v>
                </c:pt>
                <c:pt idx="6">
                  <c:v>-78.134999999999991</c:v>
                </c:pt>
                <c:pt idx="7">
                  <c:v>-90.021000000000001</c:v>
                </c:pt>
                <c:pt idx="8">
                  <c:v>-111.23099999999999</c:v>
                </c:pt>
                <c:pt idx="9">
                  <c:v>-128.99800000000027</c:v>
                </c:pt>
                <c:pt idx="10">
                  <c:v>-151.76900000000001</c:v>
                </c:pt>
                <c:pt idx="11">
                  <c:v>-198.15</c:v>
                </c:pt>
                <c:pt idx="12">
                  <c:v>-234.02600000000001</c:v>
                </c:pt>
                <c:pt idx="13">
                  <c:v>-238.88000000000034</c:v>
                </c:pt>
                <c:pt idx="14">
                  <c:v>-266.33599999999933</c:v>
                </c:pt>
                <c:pt idx="15">
                  <c:v>-301.72799999999921</c:v>
                </c:pt>
                <c:pt idx="16">
                  <c:v>-317.77299999999963</c:v>
                </c:pt>
              </c:numCache>
            </c:numRef>
          </c:val>
        </c:ser>
        <c:ser>
          <c:idx val="1"/>
          <c:order val="1"/>
          <c:tx>
            <c:strRef>
              <c:f>Sheet1!$C$6:$C$6</c:f>
              <c:strCache>
                <c:ptCount val="1"/>
                <c:pt idx="0">
                  <c:v>Male</c:v>
                </c:pt>
              </c:strCache>
            </c:strRef>
          </c:tx>
          <c:dPt>
            <c:idx val="11"/>
            <c:spPr>
              <a:scene3d>
                <a:camera prst="orthographicFront"/>
                <a:lightRig rig="threePt" dir="t"/>
              </a:scene3d>
              <a:sp3d>
                <a:bevelT/>
              </a:sp3d>
            </c:spPr>
          </c:dPt>
          <c:dPt>
            <c:idx val="12"/>
            <c:spPr>
              <a:scene3d>
                <a:camera prst="orthographicFront"/>
                <a:lightRig rig="threePt" dir="t"/>
              </a:scene3d>
              <a:sp3d>
                <a:bevelT/>
              </a:sp3d>
            </c:spPr>
          </c:dPt>
          <c:dPt>
            <c:idx val="13"/>
            <c:spPr>
              <a:scene3d>
                <a:camera prst="orthographicFront"/>
                <a:lightRig rig="threePt" dir="t"/>
              </a:scene3d>
              <a:sp3d>
                <a:bevelT/>
              </a:sp3d>
            </c:spPr>
          </c:dPt>
          <c:cat>
            <c:strRef>
              <c:f>Sheet1!$A$7:$A$23</c:f>
              <c:strCache>
                <c:ptCount val="17"/>
                <c:pt idx="0">
                  <c:v>+80</c:v>
                </c:pt>
                <c:pt idx="1">
                  <c:v>79-75</c:v>
                </c:pt>
                <c:pt idx="2">
                  <c:v>74-70</c:v>
                </c:pt>
                <c:pt idx="3">
                  <c:v>69-65</c:v>
                </c:pt>
                <c:pt idx="4">
                  <c:v>64-60</c:v>
                </c:pt>
                <c:pt idx="5">
                  <c:v>59-55</c:v>
                </c:pt>
                <c:pt idx="6">
                  <c:v>54-50</c:v>
                </c:pt>
                <c:pt idx="7">
                  <c:v>49-45</c:v>
                </c:pt>
                <c:pt idx="8">
                  <c:v>44-40</c:v>
                </c:pt>
                <c:pt idx="9">
                  <c:v>39-35</c:v>
                </c:pt>
                <c:pt idx="10">
                  <c:v>34-30</c:v>
                </c:pt>
                <c:pt idx="11">
                  <c:v>29-25</c:v>
                </c:pt>
                <c:pt idx="12">
                  <c:v>24-20</c:v>
                </c:pt>
                <c:pt idx="13">
                  <c:v>19-15</c:v>
                </c:pt>
                <c:pt idx="14">
                  <c:v>14-10</c:v>
                </c:pt>
                <c:pt idx="15">
                  <c:v>9-5</c:v>
                </c:pt>
                <c:pt idx="16">
                  <c:v>4-0</c:v>
                </c:pt>
              </c:strCache>
            </c:strRef>
          </c:cat>
          <c:val>
            <c:numRef>
              <c:f>Sheet1!$C$7:$C$23</c:f>
              <c:numCache>
                <c:formatCode>0.0</c:formatCode>
                <c:ptCount val="17"/>
                <c:pt idx="0">
                  <c:v>11.407</c:v>
                </c:pt>
                <c:pt idx="1">
                  <c:v>9.6610000000000014</c:v>
                </c:pt>
                <c:pt idx="2">
                  <c:v>18.248999999999953</c:v>
                </c:pt>
                <c:pt idx="3">
                  <c:v>29.629000000000001</c:v>
                </c:pt>
                <c:pt idx="4">
                  <c:v>40.598000000000013</c:v>
                </c:pt>
                <c:pt idx="5">
                  <c:v>60.708000000000013</c:v>
                </c:pt>
                <c:pt idx="6">
                  <c:v>83.977000000000004</c:v>
                </c:pt>
                <c:pt idx="7">
                  <c:v>94.438000000000002</c:v>
                </c:pt>
                <c:pt idx="8">
                  <c:v>113.82599999999998</c:v>
                </c:pt>
                <c:pt idx="9">
                  <c:v>128.59700000000001</c:v>
                </c:pt>
                <c:pt idx="10">
                  <c:v>153.065</c:v>
                </c:pt>
                <c:pt idx="11">
                  <c:v>206.86200000000034</c:v>
                </c:pt>
                <c:pt idx="12">
                  <c:v>244.95200000000034</c:v>
                </c:pt>
                <c:pt idx="13">
                  <c:v>249.34900000000002</c:v>
                </c:pt>
                <c:pt idx="14">
                  <c:v>278.714</c:v>
                </c:pt>
                <c:pt idx="15">
                  <c:v>316.42099999999908</c:v>
                </c:pt>
                <c:pt idx="16">
                  <c:v>335.26099999999963</c:v>
                </c:pt>
              </c:numCache>
            </c:numRef>
          </c:val>
        </c:ser>
        <c:gapWidth val="0"/>
        <c:gapDepth val="0"/>
        <c:shape val="box"/>
        <c:axId val="129369600"/>
        <c:axId val="129371520"/>
        <c:axId val="0"/>
      </c:bar3DChart>
      <c:catAx>
        <c:axId val="129369600"/>
        <c:scaling>
          <c:orientation val="maxMin"/>
        </c:scaling>
        <c:axPos val="l"/>
        <c:title>
          <c:tx>
            <c:rich>
              <a:bodyPr/>
              <a:lstStyle/>
              <a:p>
                <a:pPr>
                  <a:defRPr sz="800">
                    <a:latin typeface="Arial" pitchFamily="34" charset="0"/>
                    <a:cs typeface="Arial" pitchFamily="34" charset="0"/>
                  </a:defRPr>
                </a:pPr>
                <a:r>
                  <a:rPr lang="en-US" sz="800" b="1">
                    <a:latin typeface="Arial" pitchFamily="34" charset="0"/>
                    <a:cs typeface="Arial" pitchFamily="34" charset="0"/>
                  </a:rPr>
                  <a:t>Age Group</a:t>
                </a:r>
                <a:r>
                  <a:rPr lang="ar-SA" sz="800" b="1">
                    <a:latin typeface="Arial" pitchFamily="34" charset="0"/>
                    <a:cs typeface="Arial" pitchFamily="34" charset="0"/>
                  </a:rPr>
                  <a:t>   </a:t>
                </a:r>
              </a:p>
            </c:rich>
          </c:tx>
          <c:layout>
            <c:manualLayout>
              <c:xMode val="edge"/>
              <c:yMode val="edge"/>
              <c:x val="5.0340062037699827E-2"/>
              <c:y val="0.3495391211146851"/>
            </c:manualLayout>
          </c:layout>
        </c:title>
        <c:numFmt formatCode="0.00" sourceLinked="0"/>
        <c:tickLblPos val="low"/>
        <c:txPr>
          <a:bodyPr rot="0" vert="horz"/>
          <a:lstStyle/>
          <a:p>
            <a:pPr>
              <a:defRPr sz="800">
                <a:latin typeface="Arial" pitchFamily="34" charset="0"/>
                <a:cs typeface="Arial" pitchFamily="34" charset="0"/>
              </a:defRPr>
            </a:pPr>
            <a:endParaRPr lang="ar-SA"/>
          </a:p>
        </c:txPr>
        <c:crossAx val="129371520"/>
        <c:crossesAt val="350"/>
        <c:lblAlgn val="ctr"/>
        <c:lblOffset val="100"/>
        <c:tickLblSkip val="1"/>
        <c:tickMarkSkip val="1"/>
      </c:catAx>
      <c:valAx>
        <c:axId val="129371520"/>
        <c:scaling>
          <c:orientation val="minMax"/>
          <c:max val="350"/>
          <c:min val="-350"/>
        </c:scaling>
        <c:axPos val="b"/>
        <c:title>
          <c:tx>
            <c:rich>
              <a:bodyPr/>
              <a:lstStyle/>
              <a:p>
                <a:pPr>
                  <a:defRPr sz="800">
                    <a:latin typeface="Arial" pitchFamily="34" charset="0"/>
                    <a:cs typeface="Arial" pitchFamily="34" charset="0"/>
                  </a:defRPr>
                </a:pPr>
                <a:r>
                  <a:rPr lang="en-US" sz="800">
                    <a:latin typeface="Arial" pitchFamily="34" charset="0"/>
                    <a:cs typeface="Arial" pitchFamily="34" charset="0"/>
                  </a:rPr>
                  <a:t>Number</a:t>
                </a:r>
                <a:r>
                  <a:rPr lang="en-US" sz="800" baseline="0">
                    <a:latin typeface="Arial" pitchFamily="34" charset="0"/>
                    <a:cs typeface="Arial" pitchFamily="34" charset="0"/>
                  </a:rPr>
                  <a:t> of Population (thousands)</a:t>
                </a:r>
                <a:endParaRPr lang="ar-SA" sz="800">
                  <a:latin typeface="Arial" pitchFamily="34" charset="0"/>
                  <a:cs typeface="Arial" pitchFamily="34" charset="0"/>
                </a:endParaRPr>
              </a:p>
            </c:rich>
          </c:tx>
          <c:layout>
            <c:manualLayout>
              <c:xMode val="edge"/>
              <c:yMode val="edge"/>
              <c:x val="0.33644477635977144"/>
              <c:y val="0.90821353668751614"/>
            </c:manualLayout>
          </c:layout>
        </c:title>
        <c:numFmt formatCode="#,##0_-;[Red]#,##0" sourceLinked="0"/>
        <c:tickLblPos val="nextTo"/>
        <c:txPr>
          <a:bodyPr rot="-5400000" vert="horz"/>
          <a:lstStyle/>
          <a:p>
            <a:pPr>
              <a:defRPr sz="800">
                <a:latin typeface="Arial" pitchFamily="34" charset="0"/>
                <a:cs typeface="Arial" pitchFamily="34" charset="0"/>
              </a:defRPr>
            </a:pPr>
            <a:endParaRPr lang="ar-SA"/>
          </a:p>
        </c:txPr>
        <c:crossAx val="129369600"/>
        <c:crosses val="max"/>
        <c:crossBetween val="between"/>
        <c:majorUnit val="50"/>
        <c:minorUnit val="10"/>
      </c:valAx>
      <c:spPr>
        <a:ln>
          <a:noFill/>
        </a:ln>
      </c:spPr>
    </c:plotArea>
    <c:legend>
      <c:legendPos val="r"/>
      <c:layout>
        <c:manualLayout>
          <c:xMode val="edge"/>
          <c:yMode val="edge"/>
          <c:x val="0.59541138196048038"/>
          <c:y val="9.6000241349141688E-2"/>
          <c:w val="0.27509315109196253"/>
          <c:h val="9.8666835546373274E-2"/>
        </c:manualLayout>
      </c:layout>
      <c:txPr>
        <a:bodyPr/>
        <a:lstStyle/>
        <a:p>
          <a:pPr>
            <a:defRPr sz="800"/>
          </a:pPr>
          <a:endParaRPr lang="ar-SA"/>
        </a:p>
      </c:txPr>
    </c:legend>
    <c:plotVisOnly val="1"/>
    <c:dispBlanksAs val="gap"/>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0.45075</cdr:x>
      <cdr:y>0.71275</cdr:y>
    </cdr:from>
    <cdr:to>
      <cdr:x>0.60725</cdr:x>
      <cdr:y>0.758</cdr:y>
    </cdr:to>
    <cdr:sp macro="" textlink="">
      <cdr:nvSpPr>
        <cdr:cNvPr id="128001" name="Text Box 1"/>
        <cdr:cNvSpPr txBox="1">
          <a:spLocks xmlns:a="http://schemas.openxmlformats.org/drawingml/2006/main" noChangeArrowheads="1"/>
        </cdr:cNvSpPr>
      </cdr:nvSpPr>
      <cdr:spPr bwMode="auto">
        <a:xfrm xmlns:a="http://schemas.openxmlformats.org/drawingml/2006/main">
          <a:off x="2524516" y="2545854"/>
          <a:ext cx="876509" cy="16162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ar-SA"/>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40C81-4DF9-4932-B15E-9562E1BF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text</vt:lpstr>
    </vt:vector>
  </TitlesOfParts>
  <Company>m.kino</Company>
  <LinksUpToDate>false</LinksUpToDate>
  <CharactersWithSpaces>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heba</dc:creator>
  <cp:lastModifiedBy>hbadran</cp:lastModifiedBy>
  <cp:revision>3</cp:revision>
  <cp:lastPrinted>2018-08-08T11:02:00Z</cp:lastPrinted>
  <dcterms:created xsi:type="dcterms:W3CDTF">2018-08-09T08:53:00Z</dcterms:created>
  <dcterms:modified xsi:type="dcterms:W3CDTF">2018-08-09T09:04:00Z</dcterms:modified>
</cp:coreProperties>
</file>