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9C" w:rsidRDefault="00F57D9C" w:rsidP="00A11141">
      <w:pPr>
        <w:bidi/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Pr="00177D2D" w:rsidRDefault="00A11141" w:rsidP="00F57D9C">
      <w:pPr>
        <w:bidi/>
        <w:spacing w:line="480" w:lineRule="exact"/>
        <w:jc w:val="center"/>
        <w:rPr>
          <w:rFonts w:asciiTheme="majorBidi" w:hAnsiTheme="majorBidi" w:cstheme="majorBidi"/>
          <w:iCs/>
          <w:sz w:val="28"/>
          <w:szCs w:val="28"/>
          <w:rtl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>Palestinian Central Bureau of Statistics (PCBS) and the Palestine Monetary Authority (PMA)</w:t>
      </w:r>
    </w:p>
    <w:p w:rsidR="00A11141" w:rsidRPr="00177D2D" w:rsidRDefault="00A11141" w:rsidP="00A11141">
      <w:pPr>
        <w:bidi/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A11141" w:rsidRPr="00177D2D" w:rsidRDefault="00A11141" w:rsidP="00A1114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>Results Announcement</w:t>
      </w:r>
    </w:p>
    <w:p w:rsidR="00A11141" w:rsidRPr="00177D2D" w:rsidRDefault="00A11141" w:rsidP="00A11141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 xml:space="preserve">International Investment Position &amp; External Debt </w:t>
      </w:r>
      <w:r w:rsidRPr="00177D2D">
        <w:rPr>
          <w:rFonts w:asciiTheme="majorBidi" w:hAnsiTheme="majorBidi" w:cstheme="majorBidi"/>
          <w:sz w:val="28"/>
          <w:szCs w:val="28"/>
          <w:rtl/>
        </w:rPr>
        <w:t>–</w:t>
      </w: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 xml:space="preserve"> First Quarter 2017</w:t>
      </w:r>
    </w:p>
    <w:p w:rsidR="00A11141" w:rsidRPr="00177D2D" w:rsidRDefault="00A11141" w:rsidP="00A11141">
      <w:pPr>
        <w:pStyle w:val="BodyText3"/>
        <w:ind w:right="70"/>
        <w:jc w:val="center"/>
        <w:rPr>
          <w:rFonts w:asciiTheme="majorBidi" w:hAnsiTheme="majorBidi" w:cstheme="majorBidi"/>
          <w:i w:val="0"/>
          <w:iCs/>
        </w:rPr>
      </w:pPr>
    </w:p>
    <w:p w:rsidR="00A11141" w:rsidRPr="00E23D7F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first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A11141" w:rsidRPr="00E23D7F" w:rsidRDefault="00A11141" w:rsidP="00A11141">
      <w:pPr>
        <w:pStyle w:val="BodyText3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Pr="00E04202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first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415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 in Palestine from abroad.  The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Resident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constituting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64.4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assets.</w:t>
      </w:r>
    </w:p>
    <w:p w:rsidR="00A11141" w:rsidRPr="00E04202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External Assets for Palestine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E04202">
        <w:rPr>
          <w:rFonts w:asciiTheme="majorBidi" w:hAnsiTheme="majorBidi" w:cstheme="majorBidi"/>
          <w:sz w:val="24"/>
          <w:szCs w:val="24"/>
        </w:rPr>
        <w:t>,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547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The Foreign Direct Investment abroad had contributed to 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E04202">
        <w:rPr>
          <w:rFonts w:asciiTheme="majorBidi" w:hAnsiTheme="majorBidi" w:cstheme="majorBidi"/>
          <w:b w:val="0"/>
          <w:bCs/>
          <w:sz w:val="24"/>
          <w:szCs w:val="24"/>
        </w:rPr>
        <w:t>.</w:t>
      </w:r>
      <w:r w:rsidRPr="00E04202">
        <w:rPr>
          <w:rFonts w:asciiTheme="majorBidi" w:hAnsiTheme="majorBidi" w:cstheme="majorBidi" w:hint="cs"/>
          <w:b w:val="0"/>
          <w:bCs/>
          <w:sz w:val="24"/>
          <w:szCs w:val="24"/>
          <w:rtl/>
        </w:rPr>
        <w:t>7</w:t>
      </w:r>
      <w:r w:rsidRPr="00E04202">
        <w:rPr>
          <w:rFonts w:asciiTheme="majorBidi" w:hAnsiTheme="majorBidi" w:cstheme="majorBidi"/>
          <w:b w:val="0"/>
          <w:bCs/>
          <w:sz w:val="24"/>
          <w:szCs w:val="24"/>
        </w:rPr>
        <w:t>%,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Portfolio Investments abroad reached 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16.7</w:t>
      </w:r>
      <w:r w:rsidRPr="00E04202">
        <w:rPr>
          <w:rFonts w:asciiTheme="majorBidi" w:hAnsiTheme="majorBidi" w:cstheme="majorBidi"/>
          <w:sz w:val="24"/>
          <w:szCs w:val="24"/>
        </w:rPr>
        <w:t>%,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while Other Foreign Investments abroad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(mainly currency and deposits)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reached 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70.1</w:t>
      </w:r>
      <w:r w:rsidRPr="00E04202">
        <w:rPr>
          <w:rFonts w:asciiTheme="majorBidi" w:hAnsiTheme="majorBidi" w:cstheme="majorBidi"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Reserve Assets amounted to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6.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5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At sectoral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external investments of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 sector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 a large share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standing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E04202">
        <w:rPr>
          <w:rFonts w:asciiTheme="majorBidi" w:hAnsiTheme="majorBidi" w:cstheme="majorBidi" w:hint="cs"/>
          <w:sz w:val="24"/>
          <w:szCs w:val="24"/>
          <w:rtl/>
        </w:rPr>
        <w:t>4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assets.</w:t>
      </w:r>
    </w:p>
    <w:p w:rsidR="00A11141" w:rsidRPr="00E23D7F" w:rsidRDefault="00A11141" w:rsidP="00A11141">
      <w:pPr>
        <w:pStyle w:val="BodyText3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Pr="00E23D7F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Foreign Liabilities in Palestine (Stocks of non-residents invested in Palestine) had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132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50.2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12.5%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37.3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  According to sectoral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Pr="00C1264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C1264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A11141" w:rsidRPr="00177D2D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A11141" w:rsidRPr="00F12038" w:rsidRDefault="00A11141" w:rsidP="00A11141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Gross External Debt on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different sectors of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917 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55.0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41.5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3.3%,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the lending between affiliated companies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 to 0.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A11141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  <w:rtl/>
        </w:rPr>
      </w:pPr>
    </w:p>
    <w:p w:rsidR="00A11141" w:rsidRPr="00E23D7F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Default="00A11141" w:rsidP="00A1114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Default="00A11141" w:rsidP="00A1114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Default="00A11141" w:rsidP="00A1114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A11141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outside Palestine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 Palestine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A11141" w:rsidRPr="00177D2D" w:rsidRDefault="00A11141" w:rsidP="00A1114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A11141" w:rsidRDefault="00A11141" w:rsidP="00A1114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lastRenderedPageBreak/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banks/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A11141" w:rsidRPr="00177D2D" w:rsidRDefault="00A11141" w:rsidP="00A1114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A11141" w:rsidRDefault="00A11141" w:rsidP="00A11141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>Preparing, classifying and publishing of the data based on (External Debt Statistics Manual) issued by IMF in 2003, this manual is harmonized with 5</w:t>
      </w:r>
      <w:r w:rsidRPr="00E23D7F">
        <w:rPr>
          <w:rFonts w:asciiTheme="majorBidi" w:hAnsiTheme="majorBidi" w:cstheme="majorBidi"/>
          <w:bCs/>
          <w:iCs/>
          <w:szCs w:val="24"/>
          <w:vertAlign w:val="superscript"/>
        </w:rPr>
        <w:t>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and International Investment Position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 xml:space="preserve">ual  </w:t>
      </w:r>
    </w:p>
    <w:p w:rsidR="00A11141" w:rsidRDefault="00A11141" w:rsidP="00A1114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Pr="00A11141" w:rsidRDefault="00A11141" w:rsidP="00A11141">
      <w:pPr>
        <w:spacing w:before="120" w:after="120" w:line="276" w:lineRule="auto"/>
        <w:jc w:val="center"/>
        <w:rPr>
          <w:rFonts w:asciiTheme="majorBidi" w:hAnsiTheme="majorBidi" w:cstheme="majorBidi"/>
          <w:b w:val="0"/>
          <w:bCs/>
          <w:i w:val="0"/>
          <w:iCs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>Table 1: International Investment Position (IIP) stock by Economic Sectors For Palestine, at the end of the First Quarter 2017</w:t>
      </w:r>
    </w:p>
    <w:p w:rsidR="00A11141" w:rsidRPr="00A11141" w:rsidRDefault="00A11141" w:rsidP="00A11141">
      <w:pPr>
        <w:contextualSpacing/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A11141" w:rsidRPr="00177D2D" w:rsidRDefault="00A11141" w:rsidP="00A11141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  <w:sz w:val="25"/>
          <w:szCs w:val="25"/>
        </w:rPr>
      </w:pPr>
      <w:r w:rsidRPr="00177D2D">
        <w:rPr>
          <w:rFonts w:asciiTheme="majorBidi" w:hAnsiTheme="majorBidi" w:cstheme="majorBidi"/>
          <w:b w:val="0"/>
          <w:bCs/>
          <w:i w:val="0"/>
          <w:iCs/>
          <w:sz w:val="25"/>
          <w:szCs w:val="25"/>
        </w:rPr>
        <w:t>Value in million USD</w:t>
      </w:r>
    </w:p>
    <w:tbl>
      <w:tblPr>
        <w:bidiVisual/>
        <w:tblW w:w="1082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A11141" w:rsidRPr="007B3C7C" w:rsidTr="00346E7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A11141" w:rsidRPr="0091214D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91214D">
              <w:rPr>
                <w:rFonts w:ascii="Arial" w:hAnsi="Arial"/>
                <w:i w:val="0"/>
                <w:iCs/>
                <w:sz w:val="17"/>
                <w:szCs w:val="17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Banks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t>Sector</w:t>
            </w:r>
          </w:p>
        </w:tc>
        <w:tc>
          <w:tcPr>
            <w:tcW w:w="583" w:type="pct"/>
            <w:vMerge w:val="restart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t xml:space="preserve">Government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t>Sector</w:t>
            </w:r>
          </w:p>
        </w:tc>
        <w:tc>
          <w:tcPr>
            <w:tcW w:w="543" w:type="pct"/>
            <w:vMerge w:val="restart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t xml:space="preserve">Monetary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t>Authorities (PMA)</w:t>
            </w:r>
          </w:p>
        </w:tc>
        <w:tc>
          <w:tcPr>
            <w:tcW w:w="1628" w:type="pct"/>
            <w:vMerge w:val="restart"/>
          </w:tcPr>
          <w:p w:rsidR="00A11141" w:rsidRPr="003F4147" w:rsidRDefault="00B840B1" w:rsidP="00346E7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4pt;margin-top:2.05pt;width:166.9pt;height:86.25pt;z-index:251660288;mso-position-horizontal-relative:text;mso-position-vertical-relative:text" o:connectortype="straight">
                  <w10:wrap anchorx="page"/>
                </v:shape>
              </w:pict>
            </w:r>
            <w:r w:rsidR="00A11141"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Economic Sector</w:t>
            </w:r>
            <w:r w:rsidR="00A11141" w:rsidRPr="003F4147">
              <w:rPr>
                <w:rFonts w:ascii="Arial" w:hAnsi="Arial" w:hint="cs"/>
                <w:i w:val="0"/>
                <w:iCs/>
                <w:sz w:val="17"/>
                <w:szCs w:val="17"/>
                <w:rtl/>
              </w:rPr>
              <w:t xml:space="preserve">   </w:t>
            </w:r>
          </w:p>
          <w:p w:rsidR="00A11141" w:rsidRPr="003F4147" w:rsidRDefault="00A11141" w:rsidP="00346E7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A11141" w:rsidRPr="003F4147" w:rsidRDefault="00A11141" w:rsidP="00346E7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A11141" w:rsidRPr="003F4147" w:rsidRDefault="00A11141" w:rsidP="00346E7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A11141" w:rsidRPr="003F4147" w:rsidRDefault="00A11141" w:rsidP="00346E7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0"/>
                <w:szCs w:val="10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 </w:t>
            </w:r>
            <w:r w:rsidRPr="003F4147">
              <w:rPr>
                <w:rFonts w:ascii="Arial" w:hAnsi="Arial"/>
                <w:i w:val="0"/>
                <w:iCs/>
                <w:sz w:val="10"/>
                <w:szCs w:val="10"/>
              </w:rPr>
              <w:t xml:space="preserve">        </w:t>
            </w:r>
          </w:p>
          <w:p w:rsidR="00A11141" w:rsidRPr="003F4147" w:rsidRDefault="00A11141" w:rsidP="00346E7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</w:p>
          <w:p w:rsidR="00A11141" w:rsidRPr="003F4147" w:rsidRDefault="00A11141" w:rsidP="00346E7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Investments Stocks by</w:t>
            </w:r>
          </w:p>
          <w:p w:rsidR="00A11141" w:rsidRPr="003F4147" w:rsidRDefault="00A11141" w:rsidP="00346E71">
            <w:pPr>
              <w:tabs>
                <w:tab w:val="left" w:pos="3067"/>
              </w:tabs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Type of Investment</w:t>
            </w:r>
          </w:p>
        </w:tc>
      </w:tr>
      <w:tr w:rsidR="00A11141" w:rsidRPr="007B3C7C" w:rsidTr="00346E7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</w:p>
        </w:tc>
        <w:tc>
          <w:tcPr>
            <w:tcW w:w="499" w:type="pct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House- Holds Sector</w:t>
            </w:r>
          </w:p>
        </w:tc>
        <w:tc>
          <w:tcPr>
            <w:tcW w:w="707" w:type="pct"/>
            <w:vAlign w:val="center"/>
          </w:tcPr>
          <w:p w:rsidR="00A11141" w:rsidRPr="003F4147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t xml:space="preserve">Nonbank Financial Corporations, Non-Financial Corporations,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and NGOs Sector</w:t>
            </w:r>
          </w:p>
        </w:tc>
        <w:tc>
          <w:tcPr>
            <w:tcW w:w="541" w:type="pct"/>
            <w:vMerge/>
          </w:tcPr>
          <w:p w:rsidR="00A11141" w:rsidRPr="007B3C7C" w:rsidRDefault="00A11141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83" w:type="pct"/>
            <w:vMerge/>
          </w:tcPr>
          <w:p w:rsidR="00A11141" w:rsidRPr="007B3C7C" w:rsidRDefault="00A11141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:rsidR="00A11141" w:rsidRPr="007B3C7C" w:rsidRDefault="00A11141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1628" w:type="pct"/>
            <w:vMerge/>
          </w:tcPr>
          <w:p w:rsidR="00A11141" w:rsidRPr="007B3C7C" w:rsidRDefault="00A11141" w:rsidP="00346E71">
            <w:pPr>
              <w:spacing w:line="0" w:lineRule="atLeast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lastRenderedPageBreak/>
              <w:t>1,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415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-828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-566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2,891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876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International Investment Position (net)*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6,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547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592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4,868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External Assets 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441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Abroad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1,094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879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28" w:type="pct"/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Portfolio Investments Abroad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4,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590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28" w:type="pct"/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Other Investments Abroad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4,215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3,922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28" w:type="pct"/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currency and deposits**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Reserve Assets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5,132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1,158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1,977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Foreign Liabilities 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2,578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743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893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in Palestine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Portfolio Investments in Palestine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1,914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3F4147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Other Investments in Palestine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1,115</w:t>
            </w:r>
          </w:p>
        </w:tc>
        <w:tc>
          <w:tcPr>
            <w:tcW w:w="499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1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543" w:type="pct"/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Loans from abroad</w:t>
            </w:r>
          </w:p>
        </w:tc>
      </w:tr>
      <w:tr w:rsidR="00A11141" w:rsidRPr="007B3C7C" w:rsidTr="00346E71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:rsidR="00A11141" w:rsidRPr="00B627F7" w:rsidRDefault="00A11141" w:rsidP="00346E7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627F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center"/>
          </w:tcPr>
          <w:p w:rsidR="00A11141" w:rsidRPr="004A7C2C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Of which: currency and deposits***</w:t>
            </w:r>
          </w:p>
        </w:tc>
      </w:tr>
    </w:tbl>
    <w:p w:rsidR="00A11141" w:rsidRPr="003F4147" w:rsidRDefault="00A11141" w:rsidP="00A11141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sz w:val="22"/>
          <w:szCs w:val="22"/>
        </w:rPr>
      </w:pPr>
      <w:r w:rsidRPr="00A11141">
        <w:rPr>
          <w:rFonts w:asciiTheme="majorBidi" w:hAnsiTheme="majorBidi" w:cstheme="majorBidi"/>
          <w:sz w:val="22"/>
          <w:szCs w:val="22"/>
        </w:rPr>
        <w:t>Notes</w:t>
      </w:r>
      <w:r w:rsidRPr="00A11141">
        <w:rPr>
          <w:rFonts w:asciiTheme="majorBidi" w:hAnsiTheme="majorBidi" w:cstheme="majorBidi"/>
          <w:b w:val="0"/>
          <w:bCs/>
          <w:sz w:val="22"/>
          <w:szCs w:val="22"/>
        </w:rPr>
        <w:t>:</w:t>
      </w: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A1114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- The data in the above table are close to the nearest integer.</w:t>
      </w: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A1114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- The data does not include the value of land owned by non-residents.</w:t>
      </w: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  <w:r w:rsidRPr="00A1114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 International investment position (net): equals total external assets minus total foreign liabilities.</w:t>
      </w: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A1114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 Currency and deposits: Including residents deposits in banks abroad, in addition to foreign currency cash in Palestinian  economy.</w:t>
      </w:r>
    </w:p>
    <w:p w:rsidR="00A11141" w:rsidRPr="00A11141" w:rsidRDefault="00A11141" w:rsidP="00A11141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A1114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*** Currency and deposits: Include the deposits of non-residents deposited in resident banks.</w:t>
      </w:r>
    </w:p>
    <w:p w:rsidR="00A11141" w:rsidRDefault="00A11141" w:rsidP="00A11141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A11141" w:rsidRDefault="00A11141" w:rsidP="00A11141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A11141" w:rsidRPr="00177D2D" w:rsidRDefault="00A11141" w:rsidP="00A11141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 xml:space="preserve">Table 2: Gross External Debt position on Palestine, at the end of the </w:t>
      </w:r>
    </w:p>
    <w:p w:rsidR="00A11141" w:rsidRPr="00177D2D" w:rsidRDefault="00A11141" w:rsidP="00A11141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177D2D">
        <w:rPr>
          <w:rFonts w:asciiTheme="majorBidi" w:hAnsiTheme="majorBidi" w:cstheme="majorBidi"/>
          <w:i w:val="0"/>
          <w:iCs/>
          <w:sz w:val="28"/>
          <w:szCs w:val="28"/>
        </w:rPr>
        <w:t>Fourth Quarter 2016 and the end of the First Quarter 2017</w:t>
      </w:r>
    </w:p>
    <w:p w:rsidR="00A11141" w:rsidRDefault="00A11141" w:rsidP="00A11141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A11141" w:rsidRPr="00177D2D" w:rsidRDefault="00A11141" w:rsidP="00A11141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  <w:sz w:val="25"/>
          <w:szCs w:val="25"/>
        </w:rPr>
      </w:pPr>
      <w:r w:rsidRPr="00177D2D">
        <w:rPr>
          <w:rFonts w:asciiTheme="majorBidi" w:hAnsiTheme="majorBidi" w:cstheme="majorBidi"/>
          <w:b w:val="0"/>
          <w:bCs/>
          <w:i w:val="0"/>
          <w:iCs/>
          <w:sz w:val="25"/>
          <w:szCs w:val="25"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178"/>
      </w:tblGrid>
      <w:tr w:rsidR="00A11141" w:rsidRPr="00344FE3" w:rsidTr="00346E71">
        <w:trPr>
          <w:trHeight w:val="284"/>
        </w:trPr>
        <w:tc>
          <w:tcPr>
            <w:tcW w:w="1370" w:type="pct"/>
            <w:vAlign w:val="center"/>
          </w:tcPr>
          <w:p w:rsidR="00A11141" w:rsidRPr="0053342F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First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2017</w:t>
            </w:r>
          </w:p>
        </w:tc>
        <w:tc>
          <w:tcPr>
            <w:tcW w:w="1370" w:type="pct"/>
            <w:vAlign w:val="center"/>
          </w:tcPr>
          <w:p w:rsidR="00A11141" w:rsidRPr="0053342F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Fourth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2016</w:t>
            </w:r>
          </w:p>
        </w:tc>
        <w:tc>
          <w:tcPr>
            <w:tcW w:w="2260" w:type="pct"/>
            <w:vAlign w:val="center"/>
          </w:tcPr>
          <w:p w:rsidR="00A11141" w:rsidRPr="0053342F" w:rsidRDefault="00A11141" w:rsidP="00346E7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Economic Sector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Pr="00444274" w:rsidRDefault="00A11141" w:rsidP="00346E7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</w:t>
            </w: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,</w:t>
            </w: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055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1,0</w:t>
            </w: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General Government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86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79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969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965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Monetary Authorities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796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496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Banks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475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259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321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237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63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63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Other Sectors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60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60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Direct investment: lending between affiliated companies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affiliated enterprises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direct investors</w:t>
            </w:r>
          </w:p>
        </w:tc>
      </w:tr>
      <w:tr w:rsidR="00A11141" w:rsidRPr="00344FE3" w:rsidTr="00346E71">
        <w:trPr>
          <w:trHeight w:val="284"/>
        </w:trPr>
        <w:tc>
          <w:tcPr>
            <w:tcW w:w="1370" w:type="pct"/>
            <w:vAlign w:val="bottom"/>
          </w:tcPr>
          <w:p w:rsidR="00A11141" w:rsidRDefault="00A11141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</w:t>
            </w: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917</w:t>
            </w:r>
          </w:p>
        </w:tc>
        <w:tc>
          <w:tcPr>
            <w:tcW w:w="1370" w:type="pct"/>
            <w:vAlign w:val="bottom"/>
          </w:tcPr>
          <w:p w:rsidR="00A11141" w:rsidRDefault="00A11141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</w:t>
            </w: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606</w:t>
            </w:r>
          </w:p>
        </w:tc>
        <w:tc>
          <w:tcPr>
            <w:tcW w:w="2260" w:type="pct"/>
            <w:vAlign w:val="bottom"/>
          </w:tcPr>
          <w:p w:rsidR="00A11141" w:rsidRPr="0053342F" w:rsidRDefault="00A11141" w:rsidP="00346E71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Gross External Debt Position</w:t>
            </w:r>
          </w:p>
        </w:tc>
      </w:tr>
    </w:tbl>
    <w:p w:rsidR="00A11141" w:rsidRPr="0053342F" w:rsidRDefault="00A11141" w:rsidP="00A11141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A11141" w:rsidRPr="00C305B9" w:rsidRDefault="00A11141" w:rsidP="00A11141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A11141" w:rsidRPr="00B94B95" w:rsidRDefault="00A11141" w:rsidP="00A11141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7B7780" w:rsidRDefault="00A11141">
      <w:r>
        <w:rPr>
          <w:rFonts w:hint="cs"/>
          <w:rtl/>
        </w:rPr>
        <w:t xml:space="preserve"> </w:t>
      </w:r>
    </w:p>
    <w:sectPr w:rsidR="007B7780" w:rsidSect="00177D2D">
      <w:footerReference w:type="default" r:id="rId6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103" w:rsidRDefault="00EC5103" w:rsidP="00B840B1">
      <w:r>
        <w:separator/>
      </w:r>
    </w:p>
  </w:endnote>
  <w:endnote w:type="continuationSeparator" w:id="0">
    <w:p w:rsidR="00EC5103" w:rsidRDefault="00EC5103" w:rsidP="00B8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DF77C6" w:rsidRDefault="00B840B1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A11141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F57D9C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DF77C6" w:rsidRDefault="00EC5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103" w:rsidRDefault="00EC5103" w:rsidP="00B840B1">
      <w:r>
        <w:separator/>
      </w:r>
    </w:p>
  </w:footnote>
  <w:footnote w:type="continuationSeparator" w:id="0">
    <w:p w:rsidR="00EC5103" w:rsidRDefault="00EC5103" w:rsidP="00B84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41"/>
    <w:rsid w:val="007B7780"/>
    <w:rsid w:val="00A11141"/>
    <w:rsid w:val="00B840B1"/>
    <w:rsid w:val="00BD1620"/>
    <w:rsid w:val="00EC5103"/>
    <w:rsid w:val="00F5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1141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141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141"/>
    <w:rPr>
      <w:color w:val="0000FF"/>
      <w:u w:val="single"/>
    </w:rPr>
  </w:style>
  <w:style w:type="paragraph" w:styleId="BodyText">
    <w:name w:val="Body Text"/>
    <w:basedOn w:val="Normal"/>
    <w:link w:val="BodyTextChar"/>
    <w:rsid w:val="00A11141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11141"/>
    <w:rPr>
      <w:rFonts w:ascii="Arial" w:eastAsia="Times New Roman" w:hAnsi="Arial" w:cs="Traditional Arabic"/>
      <w:sz w:val="24"/>
      <w:szCs w:val="28"/>
    </w:rPr>
  </w:style>
  <w:style w:type="table" w:styleId="TableGrid">
    <w:name w:val="Table Grid"/>
    <w:basedOn w:val="TableNormal"/>
    <w:uiPriority w:val="59"/>
    <w:rsid w:val="00A11141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A111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1141"/>
    <w:rPr>
      <w:rFonts w:ascii="Simplified Arabic" w:eastAsia="Times New Roman" w:hAnsi="Simplified Arabic" w:cs="Times New Roman"/>
      <w:b/>
      <w:i/>
      <w:sz w:val="16"/>
      <w:szCs w:val="16"/>
    </w:rPr>
  </w:style>
  <w:style w:type="character" w:customStyle="1" w:styleId="hps">
    <w:name w:val="hps"/>
    <w:basedOn w:val="DefaultParagraphFont"/>
    <w:rsid w:val="00A11141"/>
  </w:style>
  <w:style w:type="character" w:customStyle="1" w:styleId="longtext">
    <w:name w:val="long_text"/>
    <w:basedOn w:val="DefaultParagraphFont"/>
    <w:rsid w:val="00A11141"/>
  </w:style>
  <w:style w:type="paragraph" w:styleId="BalloonText">
    <w:name w:val="Balloon Text"/>
    <w:basedOn w:val="Normal"/>
    <w:link w:val="BalloonTextChar"/>
    <w:uiPriority w:val="99"/>
    <w:semiHidden/>
    <w:unhideWhenUsed/>
    <w:rsid w:val="00A11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41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2</cp:revision>
  <dcterms:created xsi:type="dcterms:W3CDTF">2017-06-15T09:53:00Z</dcterms:created>
  <dcterms:modified xsi:type="dcterms:W3CDTF">2017-06-18T06:14:00Z</dcterms:modified>
</cp:coreProperties>
</file>