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13" w:rsidRPr="00F12713" w:rsidRDefault="00F12713" w:rsidP="00F12713">
      <w:pPr>
        <w:pStyle w:val="Heading1"/>
        <w:jc w:val="center"/>
        <w:rPr>
          <w:b w:val="0"/>
          <w:bCs w:val="0"/>
          <w:color w:val="000000"/>
          <w:sz w:val="32"/>
          <w:szCs w:val="32"/>
        </w:rPr>
      </w:pPr>
      <w:r w:rsidRPr="00F12713">
        <w:rPr>
          <w:sz w:val="32"/>
          <w:szCs w:val="32"/>
        </w:rPr>
        <w:t xml:space="preserve">Palestinian Central Bureau </w:t>
      </w:r>
      <w:r w:rsidRPr="00F12713">
        <w:rPr>
          <w:rFonts w:cs="Simplified Arabic"/>
          <w:sz w:val="32"/>
          <w:szCs w:val="32"/>
        </w:rPr>
        <w:t>of Statistics (PCBS)</w:t>
      </w:r>
    </w:p>
    <w:p w:rsidR="00F12713" w:rsidRDefault="00F12713" w:rsidP="00F12713">
      <w:pPr>
        <w:bidi w:val="0"/>
        <w:spacing w:line="360" w:lineRule="auto"/>
        <w:jc w:val="center"/>
        <w:outlineLvl w:val="0"/>
        <w:rPr>
          <w:b/>
          <w:bCs/>
          <w:color w:val="000000"/>
          <w:sz w:val="28"/>
          <w:szCs w:val="28"/>
        </w:rPr>
      </w:pPr>
    </w:p>
    <w:p w:rsidR="00F12713" w:rsidRDefault="00F12713" w:rsidP="00F12713">
      <w:pPr>
        <w:bidi w:val="0"/>
        <w:spacing w:line="360" w:lineRule="auto"/>
        <w:jc w:val="center"/>
        <w:outlineLvl w:val="0"/>
        <w:rPr>
          <w:b/>
          <w:bCs/>
          <w:color w:val="000000"/>
          <w:sz w:val="28"/>
          <w:szCs w:val="28"/>
        </w:rPr>
      </w:pPr>
    </w:p>
    <w:p w:rsidR="004736AF" w:rsidRPr="00F12713" w:rsidRDefault="00635C53" w:rsidP="00F12713">
      <w:pPr>
        <w:bidi w:val="0"/>
        <w:spacing w:line="360" w:lineRule="auto"/>
        <w:jc w:val="center"/>
        <w:outlineLvl w:val="0"/>
        <w:rPr>
          <w:b/>
          <w:bCs/>
          <w:color w:val="000000"/>
          <w:sz w:val="28"/>
          <w:szCs w:val="28"/>
        </w:rPr>
      </w:pPr>
      <w:r w:rsidRPr="00F12713">
        <w:rPr>
          <w:b/>
          <w:bCs/>
          <w:color w:val="000000"/>
          <w:sz w:val="28"/>
          <w:szCs w:val="28"/>
        </w:rPr>
        <w:t>Palestinian</w:t>
      </w:r>
      <w:r w:rsidRPr="00F12713">
        <w:rPr>
          <w:b/>
          <w:bCs/>
          <w:kern w:val="36"/>
          <w:sz w:val="28"/>
          <w:szCs w:val="28"/>
        </w:rPr>
        <w:t xml:space="preserve"> </w:t>
      </w:r>
      <w:r w:rsidR="00362C56" w:rsidRPr="00F12713">
        <w:rPr>
          <w:b/>
          <w:bCs/>
          <w:color w:val="000000"/>
          <w:sz w:val="28"/>
          <w:szCs w:val="28"/>
        </w:rPr>
        <w:t>Wholesale</w:t>
      </w:r>
      <w:r w:rsidRPr="00F12713">
        <w:rPr>
          <w:b/>
          <w:bCs/>
          <w:color w:val="000000"/>
          <w:sz w:val="28"/>
          <w:szCs w:val="28"/>
        </w:rPr>
        <w:t xml:space="preserve"> Price Index</w:t>
      </w:r>
      <w:r w:rsidR="00F12713" w:rsidRPr="00F12713">
        <w:rPr>
          <w:b/>
          <w:bCs/>
          <w:sz w:val="28"/>
          <w:szCs w:val="28"/>
        </w:rPr>
        <w:t xml:space="preserve"> During the </w:t>
      </w:r>
      <w:r w:rsidR="00F12713" w:rsidRPr="00F12713">
        <w:rPr>
          <w:b/>
          <w:bCs/>
          <w:kern w:val="36"/>
          <w:sz w:val="28"/>
          <w:szCs w:val="28"/>
        </w:rPr>
        <w:t>Fourth Quarter of 2019</w:t>
      </w:r>
      <w:r w:rsidR="00F12713" w:rsidRPr="00F12713">
        <w:rPr>
          <w:b/>
          <w:bCs/>
          <w:color w:val="000000"/>
          <w:sz w:val="28"/>
          <w:szCs w:val="28"/>
        </w:rPr>
        <w:t xml:space="preserve"> &amp;</w:t>
      </w:r>
      <w:r w:rsidR="00F12713" w:rsidRPr="00F12713">
        <w:rPr>
          <w:b/>
          <w:bCs/>
          <w:sz w:val="28"/>
          <w:szCs w:val="28"/>
        </w:rPr>
        <w:t xml:space="preserve"> During</w:t>
      </w:r>
      <w:r w:rsidR="00F12713" w:rsidRPr="00F12713">
        <w:rPr>
          <w:b/>
          <w:bCs/>
          <w:kern w:val="36"/>
          <w:sz w:val="28"/>
          <w:szCs w:val="28"/>
        </w:rPr>
        <w:t xml:space="preserve"> 2019</w:t>
      </w:r>
    </w:p>
    <w:p w:rsidR="00F12713" w:rsidRDefault="00F12713" w:rsidP="00F12713">
      <w:pPr>
        <w:bidi w:val="0"/>
        <w:spacing w:line="360" w:lineRule="auto"/>
        <w:jc w:val="center"/>
        <w:outlineLvl w:val="0"/>
        <w:rPr>
          <w:b/>
          <w:bCs/>
          <w:color w:val="000000"/>
          <w:sz w:val="28"/>
          <w:szCs w:val="28"/>
        </w:rPr>
      </w:pPr>
    </w:p>
    <w:p w:rsidR="006177C1" w:rsidRPr="00234FC5" w:rsidRDefault="006177C1" w:rsidP="006177C1">
      <w:pPr>
        <w:bidi w:val="0"/>
        <w:jc w:val="both"/>
        <w:outlineLvl w:val="1"/>
        <w:rPr>
          <w:b/>
          <w:bCs/>
          <w:rtl/>
        </w:rPr>
      </w:pPr>
      <w:r w:rsidRPr="00234FC5">
        <w:rPr>
          <w:b/>
          <w:bCs/>
          <w:color w:val="000000"/>
        </w:rPr>
        <w:t>Increase in</w:t>
      </w:r>
      <w:r w:rsidRPr="00234FC5">
        <w:rPr>
          <w:b/>
          <w:bCs/>
        </w:rPr>
        <w:t xml:space="preserve"> the Wholesale Price</w:t>
      </w:r>
      <w:r w:rsidR="006B279C">
        <w:rPr>
          <w:rStyle w:val="FootnoteReference"/>
          <w:b/>
          <w:bCs/>
        </w:rPr>
        <w:footnoteReference w:id="1"/>
      </w:r>
      <w:r w:rsidRPr="00234FC5">
        <w:rPr>
          <w:b/>
          <w:bCs/>
        </w:rPr>
        <w:t xml:space="preserve"> Index (WPI) During</w:t>
      </w:r>
      <w:r w:rsidRPr="00234FC5">
        <w:rPr>
          <w:b/>
          <w:bCs/>
          <w:kern w:val="36"/>
        </w:rPr>
        <w:t xml:space="preserve"> </w:t>
      </w:r>
      <w:r>
        <w:rPr>
          <w:b/>
          <w:bCs/>
          <w:kern w:val="36"/>
        </w:rPr>
        <w:t>2019</w:t>
      </w:r>
    </w:p>
    <w:p w:rsidR="006177C1" w:rsidRPr="00352CB9" w:rsidRDefault="006177C1" w:rsidP="006177C1">
      <w:pPr>
        <w:bidi w:val="0"/>
        <w:jc w:val="both"/>
        <w:outlineLvl w:val="1"/>
        <w:rPr>
          <w:b/>
          <w:bCs/>
          <w:color w:val="000000"/>
          <w:sz w:val="16"/>
          <w:szCs w:val="16"/>
        </w:rPr>
      </w:pPr>
    </w:p>
    <w:p w:rsidR="006177C1" w:rsidRPr="00AE3EE7" w:rsidRDefault="006177C1" w:rsidP="006177C1">
      <w:pPr>
        <w:bidi w:val="0"/>
        <w:jc w:val="both"/>
      </w:pPr>
      <w:r w:rsidRPr="00AE3EE7">
        <w:t xml:space="preserve">The </w:t>
      </w:r>
      <w:r w:rsidRPr="00AE3EE7">
        <w:rPr>
          <w:b/>
          <w:bCs/>
        </w:rPr>
        <w:t>overall Wholesale Price Index (WPI) in Palestine</w:t>
      </w:r>
      <w:r w:rsidRPr="00AE3EE7">
        <w:t xml:space="preserve"> with its base year (2007=100) reached </w:t>
      </w:r>
      <w:r>
        <w:rPr>
          <w:rFonts w:hint="cs"/>
          <w:rtl/>
        </w:rPr>
        <w:t>125.61</w:t>
      </w:r>
      <w:r w:rsidRPr="00AE3EE7">
        <w:t xml:space="preserve"> </w:t>
      </w:r>
      <w:r w:rsidRPr="00AE3EE7">
        <w:rPr>
          <w:b/>
          <w:bCs/>
        </w:rPr>
        <w:t xml:space="preserve">in </w:t>
      </w:r>
      <w:r>
        <w:rPr>
          <w:b/>
          <w:bCs/>
        </w:rPr>
        <w:t>2019</w:t>
      </w:r>
      <w:r w:rsidRPr="00AE3EE7">
        <w:t xml:space="preserve">, </w:t>
      </w:r>
      <w:r>
        <w:t>which indicates an</w:t>
      </w:r>
      <w:r w:rsidRPr="00AE3EE7">
        <w:t xml:space="preserve"> </w:t>
      </w:r>
      <w:r>
        <w:rPr>
          <w:b/>
          <w:bCs/>
        </w:rPr>
        <w:t>increase</w:t>
      </w:r>
      <w:r w:rsidRPr="00AE3EE7">
        <w:rPr>
          <w:b/>
          <w:bCs/>
        </w:rPr>
        <w:t xml:space="preserve"> by </w:t>
      </w:r>
      <w:r>
        <w:rPr>
          <w:b/>
          <w:bCs/>
        </w:rPr>
        <w:t>0.11</w:t>
      </w:r>
      <w:r w:rsidRPr="00AE3EE7">
        <w:rPr>
          <w:b/>
          <w:bCs/>
        </w:rPr>
        <w:t>%</w:t>
      </w:r>
      <w:r w:rsidRPr="00AE3EE7">
        <w:t xml:space="preserve"> </w:t>
      </w:r>
      <w:r w:rsidRPr="00AE3EE7">
        <w:rPr>
          <w:b/>
          <w:bCs/>
        </w:rPr>
        <w:t xml:space="preserve">compared with </w:t>
      </w:r>
      <w:r>
        <w:rPr>
          <w:b/>
          <w:bCs/>
        </w:rPr>
        <w:t>2018</w:t>
      </w:r>
      <w:r w:rsidRPr="00AE3EE7">
        <w:t>.</w:t>
      </w:r>
    </w:p>
    <w:p w:rsidR="006177C1" w:rsidRPr="00352CB9" w:rsidRDefault="006177C1" w:rsidP="006177C1">
      <w:pPr>
        <w:bidi w:val="0"/>
        <w:jc w:val="both"/>
        <w:outlineLvl w:val="1"/>
        <w:rPr>
          <w:b/>
          <w:bCs/>
          <w:color w:val="000000"/>
        </w:rPr>
      </w:pPr>
    </w:p>
    <w:p w:rsidR="006177C1" w:rsidRPr="00AE3EE7" w:rsidRDefault="006177C1" w:rsidP="006177C1">
      <w:pPr>
        <w:bidi w:val="0"/>
        <w:jc w:val="both"/>
      </w:pPr>
      <w:r w:rsidRPr="00AE3EE7">
        <w:t xml:space="preserve">Prices of WPI for </w:t>
      </w:r>
      <w:r>
        <w:t>2019</w:t>
      </w:r>
      <w:r w:rsidRPr="00AE3EE7">
        <w:t xml:space="preserve"> </w:t>
      </w:r>
      <w:r>
        <w:t>in</w:t>
      </w:r>
      <w:r w:rsidRPr="00AE3EE7">
        <w:t xml:space="preserve">creased due to the </w:t>
      </w:r>
      <w:r>
        <w:t>in</w:t>
      </w:r>
      <w:r w:rsidRPr="00AE3EE7">
        <w:t xml:space="preserve">crease in the prices of </w:t>
      </w:r>
      <w:r w:rsidRPr="00AE3EE7">
        <w:rPr>
          <w:b/>
          <w:bCs/>
        </w:rPr>
        <w:t xml:space="preserve">Fishing goods by </w:t>
      </w:r>
      <w:r>
        <w:rPr>
          <w:b/>
          <w:bCs/>
        </w:rPr>
        <w:t>8.89</w:t>
      </w:r>
      <w:r w:rsidRPr="00AE3EE7">
        <w:rPr>
          <w:b/>
          <w:bCs/>
        </w:rPr>
        <w:t>%</w:t>
      </w:r>
      <w:r w:rsidRPr="00AE3EE7">
        <w:t xml:space="preserve">, </w:t>
      </w:r>
      <w:r w:rsidRPr="00AE3EE7">
        <w:rPr>
          <w:b/>
          <w:bCs/>
        </w:rPr>
        <w:t xml:space="preserve">Mining and quarrying group </w:t>
      </w:r>
      <w:r>
        <w:rPr>
          <w:b/>
          <w:bCs/>
        </w:rPr>
        <w:t xml:space="preserve"> by 2.62%, and </w:t>
      </w:r>
      <w:r w:rsidR="004F6095">
        <w:rPr>
          <w:b/>
          <w:bCs/>
        </w:rPr>
        <w:t>Agricultural</w:t>
      </w:r>
      <w:r w:rsidRPr="00AE3EE7">
        <w:rPr>
          <w:b/>
          <w:bCs/>
        </w:rPr>
        <w:t xml:space="preserve"> goods by </w:t>
      </w:r>
      <w:r>
        <w:rPr>
          <w:b/>
          <w:bCs/>
        </w:rPr>
        <w:t>0.68</w:t>
      </w:r>
      <w:r w:rsidRPr="00AE3EE7">
        <w:rPr>
          <w:b/>
          <w:bCs/>
        </w:rPr>
        <w:t>%</w:t>
      </w:r>
      <w:r>
        <w:t>, while</w:t>
      </w:r>
      <w:r w:rsidRPr="00AE3EE7">
        <w:t xml:space="preserve"> the prices of goods in</w:t>
      </w:r>
      <w:r w:rsidRPr="006177C1">
        <w:rPr>
          <w:b/>
          <w:bCs/>
        </w:rPr>
        <w:t xml:space="preserve"> </w:t>
      </w:r>
      <w:r w:rsidRPr="00AE3EE7">
        <w:rPr>
          <w:b/>
          <w:bCs/>
        </w:rPr>
        <w:t>Manufacturing group</w:t>
      </w:r>
      <w:r w:rsidRPr="00AE3EE7">
        <w:t xml:space="preserve"> </w:t>
      </w:r>
      <w:r>
        <w:rPr>
          <w:b/>
          <w:bCs/>
        </w:rPr>
        <w:t xml:space="preserve">decreased </w:t>
      </w:r>
      <w:r w:rsidRPr="00AE3EE7">
        <w:rPr>
          <w:b/>
          <w:bCs/>
        </w:rPr>
        <w:t xml:space="preserve">by </w:t>
      </w:r>
      <w:r>
        <w:rPr>
          <w:b/>
          <w:bCs/>
        </w:rPr>
        <w:t>0.20</w:t>
      </w:r>
      <w:r w:rsidRPr="00AE3EE7">
        <w:rPr>
          <w:b/>
          <w:bCs/>
        </w:rPr>
        <w:t>%</w:t>
      </w:r>
      <w:r w:rsidRPr="00AE3EE7">
        <w:t>.</w:t>
      </w:r>
    </w:p>
    <w:p w:rsidR="006177C1" w:rsidRDefault="006177C1" w:rsidP="006177C1">
      <w:pPr>
        <w:jc w:val="both"/>
      </w:pPr>
    </w:p>
    <w:p w:rsidR="006177C1" w:rsidRDefault="006177C1" w:rsidP="006177C1">
      <w:pPr>
        <w:bidi w:val="0"/>
        <w:jc w:val="both"/>
        <w:rPr>
          <w:b/>
          <w:bCs/>
        </w:rPr>
      </w:pPr>
      <w:r w:rsidRPr="00AE3EE7">
        <w:t xml:space="preserve">The prices of </w:t>
      </w:r>
      <w:r w:rsidRPr="006177C1">
        <w:rPr>
          <w:b/>
          <w:bCs/>
        </w:rPr>
        <w:t>local products</w:t>
      </w:r>
      <w:r w:rsidRPr="00AE3EE7">
        <w:t xml:space="preserve"> </w:t>
      </w:r>
      <w:r w:rsidRPr="002B7A6D">
        <w:rPr>
          <w:b/>
          <w:bCs/>
        </w:rPr>
        <w:t xml:space="preserve">increased by </w:t>
      </w:r>
      <w:r w:rsidRPr="002B7A6D">
        <w:rPr>
          <w:rFonts w:hint="cs"/>
          <w:b/>
          <w:bCs/>
          <w:rtl/>
        </w:rPr>
        <w:t>1.41</w:t>
      </w:r>
      <w:r w:rsidRPr="002B7A6D">
        <w:rPr>
          <w:b/>
          <w:bCs/>
        </w:rPr>
        <w:t>%</w:t>
      </w:r>
      <w:r w:rsidRPr="00AE3EE7">
        <w:t xml:space="preserve">, </w:t>
      </w:r>
      <w:r>
        <w:t>while</w:t>
      </w:r>
      <w:r w:rsidRPr="00AE3EE7">
        <w:t xml:space="preserve"> the prices of </w:t>
      </w:r>
      <w:r w:rsidRPr="006177C1">
        <w:rPr>
          <w:b/>
          <w:bCs/>
        </w:rPr>
        <w:t>imported products</w:t>
      </w:r>
      <w:r w:rsidRPr="00AE3EE7">
        <w:t xml:space="preserve"> </w:t>
      </w:r>
      <w:r w:rsidRPr="002B7A6D">
        <w:rPr>
          <w:b/>
          <w:bCs/>
        </w:rPr>
        <w:t>decreased by 0.86%</w:t>
      </w:r>
      <w:r w:rsidRPr="00AE3EE7">
        <w:rPr>
          <w:b/>
          <w:bCs/>
        </w:rPr>
        <w:t xml:space="preserve"> </w:t>
      </w:r>
      <w:r w:rsidRPr="00AE3EE7">
        <w:t>compared with the previous year.</w:t>
      </w:r>
    </w:p>
    <w:p w:rsidR="006177C1" w:rsidRPr="00352CB9" w:rsidRDefault="006177C1" w:rsidP="006177C1">
      <w:pPr>
        <w:bidi w:val="0"/>
        <w:jc w:val="both"/>
        <w:outlineLvl w:val="1"/>
        <w:rPr>
          <w:b/>
          <w:bCs/>
          <w:color w:val="000000"/>
        </w:rPr>
      </w:pPr>
    </w:p>
    <w:p w:rsidR="006177C1" w:rsidRDefault="006177C1" w:rsidP="002B7A6D">
      <w:pPr>
        <w:bidi w:val="0"/>
        <w:jc w:val="center"/>
        <w:rPr>
          <w:b/>
          <w:bCs/>
        </w:rPr>
      </w:pPr>
      <w:r w:rsidRPr="00805294">
        <w:rPr>
          <w:b/>
          <w:bCs/>
        </w:rPr>
        <w:t>Yearly Percent Change</w:t>
      </w:r>
      <w:r w:rsidR="004F6095">
        <w:rPr>
          <w:b/>
          <w:bCs/>
        </w:rPr>
        <w:t>s</w:t>
      </w:r>
      <w:r w:rsidRPr="00805294">
        <w:rPr>
          <w:b/>
          <w:bCs/>
        </w:rPr>
        <w:t xml:space="preserve"> in </w:t>
      </w:r>
      <w:r>
        <w:rPr>
          <w:b/>
          <w:bCs/>
        </w:rPr>
        <w:t xml:space="preserve">the </w:t>
      </w:r>
      <w:r w:rsidRPr="00805294">
        <w:rPr>
          <w:b/>
          <w:bCs/>
        </w:rPr>
        <w:t xml:space="preserve">Wholesale Price Index in Palestine for 2007 – </w:t>
      </w:r>
      <w:r>
        <w:rPr>
          <w:b/>
          <w:bCs/>
        </w:rPr>
        <w:t>2019</w:t>
      </w:r>
    </w:p>
    <w:p w:rsidR="006177C1" w:rsidRPr="00001E72" w:rsidRDefault="006177C1" w:rsidP="006177C1">
      <w:pPr>
        <w:bidi w:val="0"/>
        <w:jc w:val="both"/>
        <w:rPr>
          <w:b/>
          <w:bCs/>
          <w:sz w:val="12"/>
          <w:szCs w:val="12"/>
        </w:rPr>
      </w:pPr>
    </w:p>
    <w:tbl>
      <w:tblPr>
        <w:tblStyle w:val="TableGrid"/>
        <w:tblW w:w="0" w:type="auto"/>
        <w:tblInd w:w="2912" w:type="dxa"/>
        <w:tblLayout w:type="fixed"/>
        <w:tblLook w:val="04A0"/>
      </w:tblPr>
      <w:tblGrid>
        <w:gridCol w:w="4395"/>
      </w:tblGrid>
      <w:tr w:rsidR="006177C1" w:rsidTr="00F12713">
        <w:tc>
          <w:tcPr>
            <w:tcW w:w="4395" w:type="dxa"/>
          </w:tcPr>
          <w:p w:rsidR="006177C1" w:rsidRDefault="006177C1" w:rsidP="00F12713">
            <w:pPr>
              <w:bidi w:val="0"/>
              <w:jc w:val="center"/>
              <w:rPr>
                <w:b/>
                <w:bCs/>
              </w:rPr>
            </w:pPr>
            <w:r w:rsidRPr="00001E72">
              <w:rPr>
                <w:b/>
                <w:bCs/>
                <w:noProof/>
                <w:lang w:eastAsia="en-US"/>
              </w:rPr>
              <w:drawing>
                <wp:inline distT="0" distB="0" distL="0" distR="0">
                  <wp:extent cx="2600325" cy="2266950"/>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6177C1" w:rsidRDefault="006177C1" w:rsidP="006177C1">
      <w:pPr>
        <w:bidi w:val="0"/>
        <w:jc w:val="both"/>
        <w:rPr>
          <w:b/>
          <w:bCs/>
        </w:rPr>
      </w:pPr>
    </w:p>
    <w:p w:rsidR="00ED16E5" w:rsidRDefault="006B279C" w:rsidP="006B279C">
      <w:pPr>
        <w:bidi w:val="0"/>
        <w:jc w:val="both"/>
        <w:outlineLvl w:val="1"/>
        <w:rPr>
          <w:b/>
          <w:bCs/>
        </w:rPr>
      </w:pPr>
      <w:r>
        <w:rPr>
          <w:b/>
          <w:bCs/>
          <w:color w:val="000000"/>
        </w:rPr>
        <w:t>De</w:t>
      </w:r>
      <w:r w:rsidR="00936FAF">
        <w:rPr>
          <w:b/>
          <w:bCs/>
          <w:color w:val="000000"/>
        </w:rPr>
        <w:t>crease</w:t>
      </w:r>
      <w:r w:rsidR="00ED16E5" w:rsidRPr="00234FC5">
        <w:rPr>
          <w:b/>
          <w:bCs/>
          <w:color w:val="000000"/>
        </w:rPr>
        <w:t xml:space="preserve"> in</w:t>
      </w:r>
      <w:r w:rsidR="00ED16E5" w:rsidRPr="00234FC5">
        <w:rPr>
          <w:b/>
          <w:bCs/>
        </w:rPr>
        <w:t xml:space="preserve"> the Wholesale Price Index (WPI) During</w:t>
      </w:r>
      <w:r w:rsidR="000A3D33" w:rsidRPr="00874B95">
        <w:rPr>
          <w:b/>
          <w:bCs/>
          <w:sz w:val="26"/>
          <w:szCs w:val="26"/>
        </w:rPr>
        <w:t xml:space="preserve"> the </w:t>
      </w:r>
      <w:r>
        <w:rPr>
          <w:b/>
          <w:bCs/>
          <w:kern w:val="36"/>
          <w:sz w:val="26"/>
          <w:szCs w:val="26"/>
        </w:rPr>
        <w:t>Fourth</w:t>
      </w:r>
      <w:r w:rsidR="000A3D33" w:rsidRPr="00874B95">
        <w:rPr>
          <w:b/>
          <w:bCs/>
          <w:kern w:val="36"/>
          <w:sz w:val="26"/>
          <w:szCs w:val="26"/>
        </w:rPr>
        <w:t xml:space="preserve"> Quarter of </w:t>
      </w:r>
      <w:r w:rsidR="000A3D33">
        <w:rPr>
          <w:b/>
          <w:bCs/>
          <w:kern w:val="36"/>
          <w:sz w:val="26"/>
          <w:szCs w:val="26"/>
        </w:rPr>
        <w:t>2019</w:t>
      </w:r>
    </w:p>
    <w:p w:rsidR="000A3D33" w:rsidRPr="000A3D33" w:rsidRDefault="000A3D33" w:rsidP="000A3D33">
      <w:pPr>
        <w:bidi w:val="0"/>
        <w:jc w:val="both"/>
        <w:outlineLvl w:val="1"/>
        <w:rPr>
          <w:b/>
          <w:bCs/>
        </w:rPr>
      </w:pPr>
    </w:p>
    <w:p w:rsidR="000A3D33" w:rsidRDefault="0066695A" w:rsidP="00080A64">
      <w:pPr>
        <w:bidi w:val="0"/>
        <w:jc w:val="both"/>
        <w:outlineLvl w:val="0"/>
      </w:pPr>
      <w:r w:rsidRPr="00FC160D">
        <w:t>The overall WPI in Palestine with its base year (2007</w:t>
      </w:r>
      <w:r w:rsidR="00647C1C">
        <w:t xml:space="preserve"> </w:t>
      </w:r>
      <w:r w:rsidRPr="00FC160D">
        <w:t>=</w:t>
      </w:r>
      <w:r w:rsidR="00647C1C">
        <w:t xml:space="preserve"> </w:t>
      </w:r>
      <w:r w:rsidRPr="00FC160D">
        <w:t xml:space="preserve">100) reached </w:t>
      </w:r>
      <w:r w:rsidR="006B279C">
        <w:t>123.92</w:t>
      </w:r>
      <w:r w:rsidRPr="00FC160D">
        <w:t xml:space="preserve"> in the </w:t>
      </w:r>
      <w:r w:rsidR="006B279C">
        <w:t>Fourth</w:t>
      </w:r>
      <w:r w:rsidR="00DF74E6">
        <w:t xml:space="preserve"> </w:t>
      </w:r>
      <w:r w:rsidRPr="00FC160D">
        <w:t xml:space="preserve">quarter </w:t>
      </w:r>
      <w:r w:rsidR="000A3D33">
        <w:t>2019</w:t>
      </w:r>
      <w:r w:rsidRPr="00FC160D">
        <w:t xml:space="preserve">, which indicates a </w:t>
      </w:r>
      <w:r w:rsidR="006B279C">
        <w:t>de</w:t>
      </w:r>
      <w:r w:rsidR="000A30A5">
        <w:t>crease</w:t>
      </w:r>
      <w:r w:rsidRPr="00FC160D">
        <w:t xml:space="preserve"> </w:t>
      </w:r>
      <w:r w:rsidR="00B42AE4">
        <w:t>of</w:t>
      </w:r>
      <w:r w:rsidRPr="00FC160D">
        <w:t xml:space="preserve"> </w:t>
      </w:r>
      <w:r w:rsidR="006B279C">
        <w:t>1.86</w:t>
      </w:r>
      <w:r w:rsidRPr="00FC160D">
        <w:t xml:space="preserve">% compared with the </w:t>
      </w:r>
      <w:r w:rsidR="006B279C">
        <w:t>Third</w:t>
      </w:r>
      <w:r w:rsidR="007119C4">
        <w:t xml:space="preserve"> </w:t>
      </w:r>
      <w:r w:rsidRPr="00FC160D">
        <w:t xml:space="preserve">quarter </w:t>
      </w:r>
      <w:r w:rsidR="00936FAF">
        <w:t>2019</w:t>
      </w:r>
      <w:r w:rsidRPr="00FC160D">
        <w:t>.</w:t>
      </w:r>
    </w:p>
    <w:p w:rsidR="007119C4" w:rsidRPr="00FC160D" w:rsidRDefault="007119C4" w:rsidP="006B279C">
      <w:pPr>
        <w:pStyle w:val="BodyText2"/>
        <w:bidi w:val="0"/>
        <w:spacing w:after="0" w:line="240" w:lineRule="auto"/>
        <w:jc w:val="both"/>
        <w:outlineLvl w:val="0"/>
      </w:pPr>
      <w:r w:rsidRPr="00FC160D">
        <w:t>WPI for local products (2007</w:t>
      </w:r>
      <w:r>
        <w:t xml:space="preserve"> </w:t>
      </w:r>
      <w:r w:rsidRPr="00FC160D">
        <w:t>=</w:t>
      </w:r>
      <w:r>
        <w:t xml:space="preserve"> </w:t>
      </w:r>
      <w:r w:rsidRPr="00FC160D">
        <w:t xml:space="preserve">100) reached </w:t>
      </w:r>
      <w:r w:rsidR="006B279C">
        <w:t>127.58</w:t>
      </w:r>
      <w:r w:rsidRPr="00FC160D">
        <w:t xml:space="preserve"> in the </w:t>
      </w:r>
      <w:r w:rsidR="006B279C">
        <w:t>Fourth</w:t>
      </w:r>
      <w:r>
        <w:t xml:space="preserve"> </w:t>
      </w:r>
      <w:r w:rsidRPr="00FC160D">
        <w:t xml:space="preserve">quarter </w:t>
      </w:r>
      <w:r w:rsidR="000A3D33">
        <w:t>2019</w:t>
      </w:r>
      <w:r w:rsidRPr="00FC160D">
        <w:t xml:space="preserve">, which indicates a </w:t>
      </w:r>
      <w:r w:rsidR="006B279C">
        <w:t>de</w:t>
      </w:r>
      <w:r>
        <w:t>crease</w:t>
      </w:r>
      <w:r w:rsidRPr="00FC160D">
        <w:t xml:space="preserve"> </w:t>
      </w:r>
      <w:r w:rsidR="00B42AE4">
        <w:t>of</w:t>
      </w:r>
      <w:r w:rsidRPr="00FC160D">
        <w:t xml:space="preserve"> </w:t>
      </w:r>
      <w:r w:rsidR="006B279C">
        <w:t>1.91</w:t>
      </w:r>
      <w:r w:rsidRPr="00FC160D">
        <w:t>% compared with the</w:t>
      </w:r>
      <w:r>
        <w:t xml:space="preserve"> </w:t>
      </w:r>
      <w:r w:rsidR="006B279C">
        <w:t>Third</w:t>
      </w:r>
      <w:r w:rsidR="000A3D33">
        <w:t xml:space="preserve"> </w:t>
      </w:r>
      <w:r w:rsidRPr="00FC160D">
        <w:t xml:space="preserve">quarter </w:t>
      </w:r>
      <w:r w:rsidR="00936FAF">
        <w:t>2019</w:t>
      </w:r>
      <w:r w:rsidRPr="00FC160D">
        <w:t xml:space="preserve">. </w:t>
      </w:r>
    </w:p>
    <w:p w:rsidR="007119C4" w:rsidRDefault="007119C4" w:rsidP="0059251C">
      <w:pPr>
        <w:pStyle w:val="BodyText2"/>
        <w:bidi w:val="0"/>
        <w:spacing w:after="0" w:line="240" w:lineRule="auto"/>
        <w:jc w:val="both"/>
        <w:outlineLvl w:val="0"/>
      </w:pPr>
    </w:p>
    <w:p w:rsidR="0059251C" w:rsidRDefault="0059251C" w:rsidP="006B279C">
      <w:pPr>
        <w:pStyle w:val="BodyText2"/>
        <w:bidi w:val="0"/>
        <w:spacing w:after="0" w:line="240" w:lineRule="auto"/>
        <w:jc w:val="both"/>
        <w:outlineLvl w:val="0"/>
      </w:pPr>
      <w:r w:rsidRPr="00FC160D">
        <w:t>WPI for imported products (2007</w:t>
      </w:r>
      <w:r>
        <w:t xml:space="preserve"> </w:t>
      </w:r>
      <w:r w:rsidRPr="00FC160D">
        <w:t>=</w:t>
      </w:r>
      <w:r>
        <w:t xml:space="preserve"> </w:t>
      </w:r>
      <w:r w:rsidRPr="00FC160D">
        <w:t xml:space="preserve">100) reached </w:t>
      </w:r>
      <w:r w:rsidR="006B279C">
        <w:t>121.14</w:t>
      </w:r>
      <w:r w:rsidRPr="00FC160D">
        <w:t xml:space="preserve"> in the </w:t>
      </w:r>
      <w:r w:rsidR="006B279C">
        <w:t>Fourth</w:t>
      </w:r>
      <w:r>
        <w:t xml:space="preserve"> </w:t>
      </w:r>
      <w:r w:rsidRPr="00FC160D">
        <w:t xml:space="preserve">quarter </w:t>
      </w:r>
      <w:r w:rsidR="000A3D33">
        <w:t>2019</w:t>
      </w:r>
      <w:r w:rsidRPr="00FC160D">
        <w:t xml:space="preserve">, which indicates </w:t>
      </w:r>
      <w:r w:rsidR="000441A2">
        <w:t>a</w:t>
      </w:r>
      <w:r>
        <w:t xml:space="preserve"> </w:t>
      </w:r>
      <w:r w:rsidR="006B279C">
        <w:t>de</w:t>
      </w:r>
      <w:r>
        <w:t>crease</w:t>
      </w:r>
      <w:r w:rsidRPr="00FC160D">
        <w:t xml:space="preserve"> </w:t>
      </w:r>
      <w:r w:rsidR="00B42AE4">
        <w:t>of</w:t>
      </w:r>
      <w:r w:rsidRPr="00FC160D">
        <w:t xml:space="preserve"> </w:t>
      </w:r>
      <w:r w:rsidR="006B279C">
        <w:t>0.91</w:t>
      </w:r>
      <w:r w:rsidRPr="00FC160D">
        <w:t xml:space="preserve">% compared with the </w:t>
      </w:r>
      <w:r w:rsidR="006B279C">
        <w:t>Third</w:t>
      </w:r>
      <w:r w:rsidRPr="00FC160D">
        <w:t xml:space="preserve"> quarter </w:t>
      </w:r>
      <w:r w:rsidR="00936FAF">
        <w:t>2019</w:t>
      </w:r>
      <w:r w:rsidRPr="00FC160D">
        <w:t>.</w:t>
      </w:r>
    </w:p>
    <w:p w:rsidR="00F12713" w:rsidRDefault="00F12713" w:rsidP="00F12713">
      <w:pPr>
        <w:pStyle w:val="BodyText2"/>
        <w:bidi w:val="0"/>
        <w:spacing w:after="0" w:line="240" w:lineRule="auto"/>
        <w:jc w:val="both"/>
        <w:outlineLvl w:val="0"/>
      </w:pPr>
    </w:p>
    <w:p w:rsidR="00F12713" w:rsidRDefault="00F12713" w:rsidP="00F12713">
      <w:pPr>
        <w:pStyle w:val="BodyText2"/>
        <w:bidi w:val="0"/>
        <w:spacing w:after="0" w:line="240" w:lineRule="auto"/>
        <w:jc w:val="both"/>
        <w:outlineLvl w:val="0"/>
      </w:pPr>
    </w:p>
    <w:p w:rsidR="00F12713" w:rsidRDefault="00F12713" w:rsidP="00F12713">
      <w:pPr>
        <w:pStyle w:val="BodyText2"/>
        <w:bidi w:val="0"/>
        <w:spacing w:after="0" w:line="240" w:lineRule="auto"/>
        <w:jc w:val="both"/>
        <w:outlineLvl w:val="0"/>
      </w:pPr>
    </w:p>
    <w:p w:rsidR="00F12713" w:rsidRPr="00FC160D" w:rsidRDefault="00F12713" w:rsidP="00F12713">
      <w:pPr>
        <w:pStyle w:val="BodyText2"/>
        <w:bidi w:val="0"/>
        <w:spacing w:after="0" w:line="240" w:lineRule="auto"/>
        <w:jc w:val="both"/>
        <w:outlineLvl w:val="0"/>
      </w:pPr>
    </w:p>
    <w:p w:rsidR="00677C79" w:rsidRDefault="00677C79" w:rsidP="00677C79">
      <w:pPr>
        <w:autoSpaceDE w:val="0"/>
        <w:autoSpaceDN w:val="0"/>
        <w:bidi w:val="0"/>
        <w:adjustRightInd w:val="0"/>
        <w:jc w:val="both"/>
        <w:rPr>
          <w:snapToGrid w:val="0"/>
        </w:rPr>
      </w:pPr>
    </w:p>
    <w:p w:rsidR="00F12713" w:rsidRDefault="00F12713" w:rsidP="006B279C">
      <w:pPr>
        <w:autoSpaceDE w:val="0"/>
        <w:autoSpaceDN w:val="0"/>
        <w:bidi w:val="0"/>
        <w:adjustRightInd w:val="0"/>
        <w:jc w:val="both"/>
        <w:rPr>
          <w:b/>
          <w:bCs/>
          <w:snapToGrid w:val="0"/>
        </w:rPr>
      </w:pPr>
    </w:p>
    <w:p w:rsidR="00F12713" w:rsidRDefault="00F12713" w:rsidP="00F12713">
      <w:pPr>
        <w:autoSpaceDE w:val="0"/>
        <w:autoSpaceDN w:val="0"/>
        <w:bidi w:val="0"/>
        <w:adjustRightInd w:val="0"/>
        <w:jc w:val="both"/>
        <w:rPr>
          <w:b/>
          <w:bCs/>
          <w:snapToGrid w:val="0"/>
        </w:rPr>
      </w:pPr>
    </w:p>
    <w:p w:rsidR="00F12713" w:rsidRDefault="00F12713" w:rsidP="00F12713">
      <w:pPr>
        <w:autoSpaceDE w:val="0"/>
        <w:autoSpaceDN w:val="0"/>
        <w:bidi w:val="0"/>
        <w:adjustRightInd w:val="0"/>
        <w:jc w:val="both"/>
        <w:rPr>
          <w:b/>
          <w:bCs/>
          <w:snapToGrid w:val="0"/>
        </w:rPr>
      </w:pPr>
    </w:p>
    <w:p w:rsidR="0066695A" w:rsidRPr="00F12713" w:rsidRDefault="006507EC" w:rsidP="00F12713">
      <w:pPr>
        <w:autoSpaceDE w:val="0"/>
        <w:autoSpaceDN w:val="0"/>
        <w:bidi w:val="0"/>
        <w:adjustRightInd w:val="0"/>
        <w:jc w:val="both"/>
        <w:rPr>
          <w:b/>
          <w:bCs/>
        </w:rPr>
      </w:pPr>
      <w:r w:rsidRPr="00F12713">
        <w:rPr>
          <w:b/>
          <w:bCs/>
          <w:snapToGrid w:val="0"/>
        </w:rPr>
        <w:t>The t</w:t>
      </w:r>
      <w:r w:rsidR="0066695A" w:rsidRPr="00F12713">
        <w:rPr>
          <w:b/>
          <w:bCs/>
          <w:snapToGrid w:val="0"/>
        </w:rPr>
        <w:t>able shows the relative share and the quarterly percent changes in WPI by major activities in Palestine for</w:t>
      </w:r>
      <w:r w:rsidR="000E048A" w:rsidRPr="00F12713">
        <w:rPr>
          <w:rFonts w:cs="Simplified Arabic"/>
          <w:b/>
          <w:bCs/>
          <w:snapToGrid w:val="0"/>
          <w:color w:val="000000"/>
        </w:rPr>
        <w:t xml:space="preserve"> the period</w:t>
      </w:r>
      <w:r w:rsidR="00AF79AE" w:rsidRPr="00F12713">
        <w:rPr>
          <w:rFonts w:cs="Simplified Arabic"/>
          <w:b/>
          <w:bCs/>
          <w:snapToGrid w:val="0"/>
          <w:color w:val="000000"/>
        </w:rPr>
        <w:t>:</w:t>
      </w:r>
      <w:r w:rsidR="000A30A5" w:rsidRPr="00F12713">
        <w:rPr>
          <w:b/>
          <w:bCs/>
          <w:snapToGrid w:val="0"/>
        </w:rPr>
        <w:t xml:space="preserve"> </w:t>
      </w:r>
      <w:r w:rsidR="00DF74E6" w:rsidRPr="00F12713">
        <w:rPr>
          <w:b/>
          <w:bCs/>
          <w:snapToGrid w:val="0"/>
        </w:rPr>
        <w:t>F</w:t>
      </w:r>
      <w:r w:rsidR="006B279C" w:rsidRPr="00F12713">
        <w:rPr>
          <w:b/>
          <w:bCs/>
          <w:snapToGrid w:val="0"/>
        </w:rPr>
        <w:t>irst</w:t>
      </w:r>
      <w:r w:rsidR="000A3D33" w:rsidRPr="00F12713">
        <w:rPr>
          <w:b/>
          <w:bCs/>
          <w:snapToGrid w:val="0"/>
        </w:rPr>
        <w:t xml:space="preserve"> </w:t>
      </w:r>
      <w:r w:rsidR="006B279C" w:rsidRPr="00F12713">
        <w:rPr>
          <w:b/>
          <w:bCs/>
          <w:snapToGrid w:val="0"/>
        </w:rPr>
        <w:t xml:space="preserve">- </w:t>
      </w:r>
      <w:r w:rsidR="006B279C" w:rsidRPr="00F12713">
        <w:rPr>
          <w:b/>
          <w:bCs/>
        </w:rPr>
        <w:t>Fourth</w:t>
      </w:r>
      <w:r w:rsidR="000A30A5" w:rsidRPr="00F12713">
        <w:rPr>
          <w:b/>
          <w:bCs/>
        </w:rPr>
        <w:t xml:space="preserve"> </w:t>
      </w:r>
      <w:r w:rsidR="0066695A" w:rsidRPr="00F12713">
        <w:rPr>
          <w:b/>
          <w:bCs/>
          <w:snapToGrid w:val="0"/>
        </w:rPr>
        <w:t>quarter 201</w:t>
      </w:r>
      <w:r w:rsidR="000A3D33" w:rsidRPr="00F12713">
        <w:rPr>
          <w:b/>
          <w:bCs/>
          <w:snapToGrid w:val="0"/>
        </w:rPr>
        <w:t>9</w:t>
      </w:r>
    </w:p>
    <w:p w:rsidR="00F12713" w:rsidRDefault="00F12713" w:rsidP="00F12713">
      <w:pPr>
        <w:autoSpaceDE w:val="0"/>
        <w:autoSpaceDN w:val="0"/>
        <w:bidi w:val="0"/>
        <w:adjustRightInd w:val="0"/>
        <w:jc w:val="both"/>
      </w:pPr>
    </w:p>
    <w:p w:rsidR="00F12713" w:rsidRDefault="00F12713" w:rsidP="00F12713">
      <w:pPr>
        <w:autoSpaceDE w:val="0"/>
        <w:autoSpaceDN w:val="0"/>
        <w:bidi w:val="0"/>
        <w:adjustRightInd w:val="0"/>
        <w:jc w:val="both"/>
      </w:pPr>
    </w:p>
    <w:tbl>
      <w:tblPr>
        <w:tblpPr w:leftFromText="180" w:rightFromText="180" w:vertAnchor="text" w:horzAnchor="page" w:tblpX="2893" w:tblpY="-76"/>
        <w:tblW w:w="5070" w:type="dxa"/>
        <w:tblBorders>
          <w:top w:val="single" w:sz="12" w:space="0" w:color="000000"/>
          <w:bottom w:val="single" w:sz="12" w:space="0" w:color="000000"/>
        </w:tblBorders>
        <w:tblLayout w:type="fixed"/>
        <w:tblLook w:val="04A0"/>
      </w:tblPr>
      <w:tblGrid>
        <w:gridCol w:w="1376"/>
        <w:gridCol w:w="859"/>
        <w:gridCol w:w="708"/>
        <w:gridCol w:w="709"/>
        <w:gridCol w:w="709"/>
        <w:gridCol w:w="709"/>
      </w:tblGrid>
      <w:tr w:rsidR="00F12713" w:rsidRPr="006E028D" w:rsidTr="00F12713">
        <w:trPr>
          <w:trHeight w:val="249"/>
        </w:trPr>
        <w:tc>
          <w:tcPr>
            <w:tcW w:w="1376" w:type="dxa"/>
            <w:vMerge w:val="restart"/>
            <w:tcBorders>
              <w:top w:val="single" w:sz="12" w:space="0" w:color="000000"/>
              <w:bottom w:val="nil"/>
            </w:tcBorders>
            <w:vAlign w:val="center"/>
          </w:tcPr>
          <w:p w:rsidR="00F12713" w:rsidRPr="006E028D" w:rsidRDefault="00F12713" w:rsidP="00F12713">
            <w:pPr>
              <w:autoSpaceDE w:val="0"/>
              <w:autoSpaceDN w:val="0"/>
              <w:bidi w:val="0"/>
              <w:adjustRightInd w:val="0"/>
              <w:ind w:right="-116"/>
              <w:jc w:val="center"/>
              <w:rPr>
                <w:b/>
                <w:bCs/>
                <w:snapToGrid w:val="0"/>
                <w:sz w:val="20"/>
                <w:szCs w:val="20"/>
              </w:rPr>
            </w:pPr>
            <w:r w:rsidRPr="006E028D">
              <w:rPr>
                <w:b/>
                <w:bCs/>
                <w:snapToGrid w:val="0"/>
                <w:sz w:val="20"/>
                <w:szCs w:val="20"/>
              </w:rPr>
              <w:t>Major Activities</w:t>
            </w:r>
          </w:p>
        </w:tc>
        <w:tc>
          <w:tcPr>
            <w:tcW w:w="859" w:type="dxa"/>
            <w:vMerge w:val="restart"/>
            <w:tcBorders>
              <w:top w:val="single" w:sz="12" w:space="0" w:color="000000"/>
              <w:bottom w:val="nil"/>
            </w:tcBorders>
            <w:vAlign w:val="center"/>
          </w:tcPr>
          <w:p w:rsidR="00F12713" w:rsidRPr="006E028D" w:rsidRDefault="00F12713" w:rsidP="00F12713">
            <w:pPr>
              <w:autoSpaceDE w:val="0"/>
              <w:autoSpaceDN w:val="0"/>
              <w:bidi w:val="0"/>
              <w:adjustRightInd w:val="0"/>
              <w:ind w:left="-100" w:right="-200"/>
              <w:jc w:val="center"/>
              <w:rPr>
                <w:b/>
                <w:bCs/>
                <w:snapToGrid w:val="0"/>
                <w:sz w:val="20"/>
                <w:szCs w:val="20"/>
              </w:rPr>
            </w:pPr>
            <w:r w:rsidRPr="006E028D">
              <w:rPr>
                <w:b/>
                <w:bCs/>
                <w:snapToGrid w:val="0"/>
                <w:sz w:val="18"/>
                <w:szCs w:val="18"/>
              </w:rPr>
              <w:t>Relative</w:t>
            </w:r>
            <w:r w:rsidRPr="006E028D">
              <w:rPr>
                <w:b/>
                <w:bCs/>
                <w:snapToGrid w:val="0"/>
                <w:sz w:val="20"/>
                <w:szCs w:val="20"/>
              </w:rPr>
              <w:t xml:space="preserve"> Share</w:t>
            </w:r>
            <w:r>
              <w:rPr>
                <w:b/>
                <w:bCs/>
                <w:snapToGrid w:val="0"/>
                <w:sz w:val="20"/>
                <w:szCs w:val="20"/>
              </w:rPr>
              <w:t xml:space="preserve"> %</w:t>
            </w:r>
          </w:p>
        </w:tc>
        <w:tc>
          <w:tcPr>
            <w:tcW w:w="2835" w:type="dxa"/>
            <w:gridSpan w:val="4"/>
            <w:tcBorders>
              <w:top w:val="single" w:sz="12" w:space="0" w:color="000000"/>
              <w:bottom w:val="nil"/>
            </w:tcBorders>
            <w:vAlign w:val="center"/>
          </w:tcPr>
          <w:p w:rsidR="00F12713" w:rsidRPr="006E028D" w:rsidRDefault="00F12713" w:rsidP="00F12713">
            <w:pPr>
              <w:autoSpaceDE w:val="0"/>
              <w:autoSpaceDN w:val="0"/>
              <w:bidi w:val="0"/>
              <w:adjustRightInd w:val="0"/>
              <w:jc w:val="center"/>
              <w:rPr>
                <w:b/>
                <w:bCs/>
                <w:snapToGrid w:val="0"/>
                <w:sz w:val="20"/>
                <w:szCs w:val="20"/>
              </w:rPr>
            </w:pPr>
            <w:r w:rsidRPr="006E028D">
              <w:rPr>
                <w:b/>
                <w:bCs/>
                <w:snapToGrid w:val="0"/>
                <w:sz w:val="20"/>
                <w:szCs w:val="20"/>
              </w:rPr>
              <w:t>Quarterly Percent Change</w:t>
            </w:r>
          </w:p>
        </w:tc>
      </w:tr>
      <w:tr w:rsidR="00F12713" w:rsidRPr="006E028D" w:rsidTr="00F12713">
        <w:trPr>
          <w:trHeight w:val="150"/>
        </w:trPr>
        <w:tc>
          <w:tcPr>
            <w:tcW w:w="1376" w:type="dxa"/>
            <w:vMerge/>
            <w:tcBorders>
              <w:top w:val="nil"/>
              <w:bottom w:val="nil"/>
            </w:tcBorders>
            <w:vAlign w:val="center"/>
          </w:tcPr>
          <w:p w:rsidR="00F12713" w:rsidRPr="006E028D" w:rsidRDefault="00F12713" w:rsidP="00F12713">
            <w:pPr>
              <w:bidi w:val="0"/>
              <w:ind w:right="-116"/>
              <w:jc w:val="center"/>
              <w:rPr>
                <w:b/>
                <w:bCs/>
                <w:sz w:val="20"/>
                <w:szCs w:val="20"/>
              </w:rPr>
            </w:pPr>
          </w:p>
        </w:tc>
        <w:tc>
          <w:tcPr>
            <w:tcW w:w="859" w:type="dxa"/>
            <w:vMerge/>
            <w:tcBorders>
              <w:top w:val="nil"/>
              <w:bottom w:val="nil"/>
            </w:tcBorders>
            <w:vAlign w:val="center"/>
          </w:tcPr>
          <w:p w:rsidR="00F12713" w:rsidRPr="006E028D" w:rsidRDefault="00F12713" w:rsidP="00F12713">
            <w:pPr>
              <w:autoSpaceDE w:val="0"/>
              <w:autoSpaceDN w:val="0"/>
              <w:bidi w:val="0"/>
              <w:adjustRightInd w:val="0"/>
              <w:ind w:left="-100"/>
              <w:jc w:val="center"/>
              <w:rPr>
                <w:b/>
                <w:bCs/>
                <w:snapToGrid w:val="0"/>
                <w:sz w:val="20"/>
                <w:szCs w:val="20"/>
              </w:rPr>
            </w:pPr>
          </w:p>
        </w:tc>
        <w:tc>
          <w:tcPr>
            <w:tcW w:w="2835" w:type="dxa"/>
            <w:gridSpan w:val="4"/>
            <w:tcBorders>
              <w:top w:val="nil"/>
              <w:bottom w:val="nil"/>
            </w:tcBorders>
            <w:vAlign w:val="center"/>
          </w:tcPr>
          <w:p w:rsidR="00F12713" w:rsidRPr="006E028D" w:rsidRDefault="00F12713" w:rsidP="00F12713">
            <w:pPr>
              <w:autoSpaceDE w:val="0"/>
              <w:autoSpaceDN w:val="0"/>
              <w:bidi w:val="0"/>
              <w:adjustRightInd w:val="0"/>
              <w:jc w:val="center"/>
              <w:rPr>
                <w:b/>
                <w:bCs/>
                <w:snapToGrid w:val="0"/>
                <w:sz w:val="20"/>
                <w:szCs w:val="20"/>
              </w:rPr>
            </w:pPr>
            <w:r>
              <w:rPr>
                <w:b/>
                <w:bCs/>
                <w:snapToGrid w:val="0"/>
                <w:sz w:val="20"/>
                <w:szCs w:val="20"/>
              </w:rPr>
              <w:t>2019</w:t>
            </w:r>
          </w:p>
        </w:tc>
      </w:tr>
      <w:tr w:rsidR="00F12713" w:rsidRPr="006E028D" w:rsidTr="00F12713">
        <w:trPr>
          <w:trHeight w:val="150"/>
        </w:trPr>
        <w:tc>
          <w:tcPr>
            <w:tcW w:w="1376" w:type="dxa"/>
            <w:vMerge/>
            <w:tcBorders>
              <w:top w:val="nil"/>
              <w:bottom w:val="single" w:sz="12" w:space="0" w:color="000000"/>
            </w:tcBorders>
            <w:vAlign w:val="center"/>
          </w:tcPr>
          <w:p w:rsidR="00F12713" w:rsidRPr="006E028D" w:rsidRDefault="00F12713" w:rsidP="00F12713">
            <w:pPr>
              <w:bidi w:val="0"/>
              <w:ind w:right="-116"/>
              <w:jc w:val="center"/>
              <w:rPr>
                <w:b/>
                <w:bCs/>
                <w:sz w:val="20"/>
                <w:szCs w:val="20"/>
              </w:rPr>
            </w:pPr>
          </w:p>
        </w:tc>
        <w:tc>
          <w:tcPr>
            <w:tcW w:w="859" w:type="dxa"/>
            <w:vMerge/>
            <w:tcBorders>
              <w:top w:val="nil"/>
              <w:bottom w:val="single" w:sz="12" w:space="0" w:color="000000"/>
            </w:tcBorders>
            <w:vAlign w:val="center"/>
          </w:tcPr>
          <w:p w:rsidR="00F12713" w:rsidRPr="006E028D" w:rsidRDefault="00F12713" w:rsidP="00F12713">
            <w:pPr>
              <w:autoSpaceDE w:val="0"/>
              <w:autoSpaceDN w:val="0"/>
              <w:bidi w:val="0"/>
              <w:adjustRightInd w:val="0"/>
              <w:ind w:left="-100"/>
              <w:jc w:val="center"/>
              <w:rPr>
                <w:b/>
                <w:bCs/>
                <w:snapToGrid w:val="0"/>
                <w:sz w:val="20"/>
                <w:szCs w:val="20"/>
              </w:rPr>
            </w:pPr>
          </w:p>
        </w:tc>
        <w:tc>
          <w:tcPr>
            <w:tcW w:w="708" w:type="dxa"/>
            <w:tcBorders>
              <w:top w:val="nil"/>
              <w:bottom w:val="single" w:sz="12" w:space="0" w:color="000000"/>
            </w:tcBorders>
          </w:tcPr>
          <w:p w:rsidR="00F12713" w:rsidRPr="006E028D" w:rsidRDefault="00F12713" w:rsidP="00F12713">
            <w:pPr>
              <w:autoSpaceDE w:val="0"/>
              <w:autoSpaceDN w:val="0"/>
              <w:bidi w:val="0"/>
              <w:adjustRightInd w:val="0"/>
              <w:jc w:val="center"/>
              <w:rPr>
                <w:b/>
                <w:bCs/>
                <w:snapToGrid w:val="0"/>
                <w:sz w:val="20"/>
                <w:szCs w:val="20"/>
              </w:rPr>
            </w:pPr>
            <w:r>
              <w:rPr>
                <w:b/>
                <w:bCs/>
                <w:snapToGrid w:val="0"/>
                <w:sz w:val="20"/>
                <w:szCs w:val="20"/>
              </w:rPr>
              <w:t>Q</w:t>
            </w:r>
            <w:r>
              <w:rPr>
                <w:rFonts w:hint="cs"/>
                <w:b/>
                <w:bCs/>
                <w:snapToGrid w:val="0"/>
                <w:sz w:val="20"/>
                <w:szCs w:val="20"/>
                <w:rtl/>
              </w:rPr>
              <w:t>1</w:t>
            </w:r>
          </w:p>
        </w:tc>
        <w:tc>
          <w:tcPr>
            <w:tcW w:w="709" w:type="dxa"/>
            <w:tcBorders>
              <w:top w:val="nil"/>
              <w:bottom w:val="single" w:sz="12" w:space="0" w:color="000000"/>
            </w:tcBorders>
          </w:tcPr>
          <w:p w:rsidR="00F12713" w:rsidRPr="006E028D" w:rsidRDefault="00F12713" w:rsidP="00F12713">
            <w:pPr>
              <w:autoSpaceDE w:val="0"/>
              <w:autoSpaceDN w:val="0"/>
              <w:bidi w:val="0"/>
              <w:adjustRightInd w:val="0"/>
              <w:jc w:val="center"/>
              <w:rPr>
                <w:b/>
                <w:bCs/>
                <w:snapToGrid w:val="0"/>
                <w:sz w:val="20"/>
                <w:szCs w:val="20"/>
              </w:rPr>
            </w:pPr>
            <w:r>
              <w:rPr>
                <w:b/>
                <w:bCs/>
                <w:snapToGrid w:val="0"/>
                <w:sz w:val="20"/>
                <w:szCs w:val="20"/>
              </w:rPr>
              <w:t>Q2</w:t>
            </w:r>
          </w:p>
        </w:tc>
        <w:tc>
          <w:tcPr>
            <w:tcW w:w="709" w:type="dxa"/>
            <w:tcBorders>
              <w:top w:val="nil"/>
              <w:bottom w:val="single" w:sz="12" w:space="0" w:color="000000"/>
            </w:tcBorders>
          </w:tcPr>
          <w:p w:rsidR="00F12713" w:rsidRPr="006E028D" w:rsidRDefault="00F12713" w:rsidP="00F12713">
            <w:pPr>
              <w:autoSpaceDE w:val="0"/>
              <w:autoSpaceDN w:val="0"/>
              <w:bidi w:val="0"/>
              <w:adjustRightInd w:val="0"/>
              <w:jc w:val="center"/>
              <w:rPr>
                <w:b/>
                <w:bCs/>
                <w:snapToGrid w:val="0"/>
                <w:sz w:val="20"/>
                <w:szCs w:val="20"/>
              </w:rPr>
            </w:pPr>
            <w:r>
              <w:rPr>
                <w:b/>
                <w:bCs/>
                <w:snapToGrid w:val="0"/>
                <w:sz w:val="20"/>
                <w:szCs w:val="20"/>
              </w:rPr>
              <w:t>Q3</w:t>
            </w:r>
          </w:p>
        </w:tc>
        <w:tc>
          <w:tcPr>
            <w:tcW w:w="709" w:type="dxa"/>
            <w:tcBorders>
              <w:top w:val="nil"/>
              <w:bottom w:val="single" w:sz="12" w:space="0" w:color="000000"/>
            </w:tcBorders>
          </w:tcPr>
          <w:p w:rsidR="00F12713" w:rsidRPr="006E028D" w:rsidRDefault="00F12713" w:rsidP="00F12713">
            <w:pPr>
              <w:autoSpaceDE w:val="0"/>
              <w:autoSpaceDN w:val="0"/>
              <w:bidi w:val="0"/>
              <w:adjustRightInd w:val="0"/>
              <w:jc w:val="center"/>
              <w:rPr>
                <w:b/>
                <w:bCs/>
                <w:snapToGrid w:val="0"/>
                <w:sz w:val="20"/>
                <w:szCs w:val="20"/>
              </w:rPr>
            </w:pPr>
            <w:r>
              <w:rPr>
                <w:b/>
                <w:bCs/>
                <w:snapToGrid w:val="0"/>
                <w:sz w:val="20"/>
                <w:szCs w:val="20"/>
              </w:rPr>
              <w:t>Q</w:t>
            </w:r>
            <w:r>
              <w:rPr>
                <w:rFonts w:hint="cs"/>
                <w:b/>
                <w:bCs/>
                <w:snapToGrid w:val="0"/>
                <w:sz w:val="20"/>
                <w:szCs w:val="20"/>
                <w:rtl/>
              </w:rPr>
              <w:t>4</w:t>
            </w:r>
          </w:p>
        </w:tc>
      </w:tr>
      <w:tr w:rsidR="00F12713" w:rsidRPr="006E028D" w:rsidTr="00F12713">
        <w:trPr>
          <w:trHeight w:val="466"/>
        </w:trPr>
        <w:tc>
          <w:tcPr>
            <w:tcW w:w="1376" w:type="dxa"/>
            <w:tcBorders>
              <w:top w:val="single" w:sz="12" w:space="0" w:color="000000"/>
            </w:tcBorders>
            <w:vAlign w:val="center"/>
          </w:tcPr>
          <w:p w:rsidR="00F12713" w:rsidRPr="006E028D" w:rsidRDefault="00F12713" w:rsidP="00F12713">
            <w:pPr>
              <w:bidi w:val="0"/>
              <w:ind w:right="-116"/>
              <w:rPr>
                <w:sz w:val="20"/>
                <w:szCs w:val="20"/>
              </w:rPr>
            </w:pPr>
            <w:r w:rsidRPr="006E028D">
              <w:rPr>
                <w:sz w:val="20"/>
                <w:szCs w:val="20"/>
              </w:rPr>
              <w:t>Agriculture</w:t>
            </w:r>
          </w:p>
        </w:tc>
        <w:tc>
          <w:tcPr>
            <w:tcW w:w="859" w:type="dxa"/>
            <w:tcBorders>
              <w:top w:val="single" w:sz="12" w:space="0" w:color="000000"/>
            </w:tcBorders>
            <w:vAlign w:val="center"/>
          </w:tcPr>
          <w:p w:rsidR="00F12713" w:rsidRPr="00560859" w:rsidRDefault="00F12713" w:rsidP="00F12713">
            <w:pPr>
              <w:autoSpaceDE w:val="0"/>
              <w:autoSpaceDN w:val="0"/>
              <w:bidi w:val="0"/>
              <w:adjustRightInd w:val="0"/>
              <w:ind w:left="-100"/>
              <w:jc w:val="right"/>
              <w:rPr>
                <w:snapToGrid w:val="0"/>
                <w:sz w:val="20"/>
                <w:szCs w:val="20"/>
              </w:rPr>
            </w:pPr>
            <w:r w:rsidRPr="00560859">
              <w:rPr>
                <w:snapToGrid w:val="0"/>
                <w:sz w:val="20"/>
                <w:szCs w:val="20"/>
              </w:rPr>
              <w:t>29.0</w:t>
            </w:r>
          </w:p>
        </w:tc>
        <w:tc>
          <w:tcPr>
            <w:tcW w:w="708" w:type="dxa"/>
            <w:tcBorders>
              <w:top w:val="single" w:sz="12" w:space="0" w:color="000000"/>
            </w:tcBorders>
            <w:vAlign w:val="center"/>
          </w:tcPr>
          <w:p w:rsidR="00F12713" w:rsidRPr="00560859" w:rsidRDefault="00F12713" w:rsidP="00F12713">
            <w:pPr>
              <w:autoSpaceDE w:val="0"/>
              <w:autoSpaceDN w:val="0"/>
              <w:bidi w:val="0"/>
              <w:adjustRightInd w:val="0"/>
              <w:jc w:val="center"/>
              <w:rPr>
                <w:snapToGrid w:val="0"/>
                <w:sz w:val="20"/>
                <w:szCs w:val="20"/>
              </w:rPr>
            </w:pPr>
            <w:r w:rsidRPr="00560859">
              <w:rPr>
                <w:snapToGrid w:val="0"/>
                <w:sz w:val="20"/>
                <w:szCs w:val="20"/>
              </w:rPr>
              <w:t>+</w:t>
            </w:r>
            <w:r>
              <w:rPr>
                <w:snapToGrid w:val="0"/>
                <w:sz w:val="20"/>
                <w:szCs w:val="20"/>
              </w:rPr>
              <w:t>0.99</w:t>
            </w:r>
          </w:p>
        </w:tc>
        <w:tc>
          <w:tcPr>
            <w:tcW w:w="709" w:type="dxa"/>
            <w:tcBorders>
              <w:top w:val="single" w:sz="12" w:space="0" w:color="000000"/>
            </w:tcBorders>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-4.25</w:t>
            </w:r>
          </w:p>
        </w:tc>
        <w:tc>
          <w:tcPr>
            <w:tcW w:w="709" w:type="dxa"/>
            <w:tcBorders>
              <w:top w:val="single" w:sz="12" w:space="0" w:color="000000"/>
            </w:tcBorders>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+2.19</w:t>
            </w:r>
          </w:p>
        </w:tc>
        <w:tc>
          <w:tcPr>
            <w:tcW w:w="709" w:type="dxa"/>
            <w:tcBorders>
              <w:top w:val="single" w:sz="12" w:space="0" w:color="000000"/>
            </w:tcBorders>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-6.04</w:t>
            </w:r>
          </w:p>
        </w:tc>
      </w:tr>
      <w:tr w:rsidR="00F12713" w:rsidRPr="006E028D" w:rsidTr="00F12713">
        <w:trPr>
          <w:trHeight w:val="601"/>
        </w:trPr>
        <w:tc>
          <w:tcPr>
            <w:tcW w:w="1376" w:type="dxa"/>
            <w:vAlign w:val="center"/>
          </w:tcPr>
          <w:p w:rsidR="00F12713" w:rsidRPr="006E028D" w:rsidRDefault="00F12713" w:rsidP="00F12713">
            <w:pPr>
              <w:bidi w:val="0"/>
              <w:ind w:right="-116"/>
              <w:rPr>
                <w:sz w:val="20"/>
                <w:szCs w:val="20"/>
              </w:rPr>
            </w:pPr>
            <w:r w:rsidRPr="006E028D">
              <w:rPr>
                <w:sz w:val="20"/>
                <w:szCs w:val="20"/>
              </w:rPr>
              <w:t>Fishing</w:t>
            </w:r>
          </w:p>
        </w:tc>
        <w:tc>
          <w:tcPr>
            <w:tcW w:w="859" w:type="dxa"/>
            <w:vAlign w:val="center"/>
          </w:tcPr>
          <w:p w:rsidR="00F12713" w:rsidRPr="00560859" w:rsidRDefault="00F12713" w:rsidP="00F12713">
            <w:pPr>
              <w:autoSpaceDE w:val="0"/>
              <w:autoSpaceDN w:val="0"/>
              <w:bidi w:val="0"/>
              <w:adjustRightInd w:val="0"/>
              <w:ind w:left="-100"/>
              <w:jc w:val="right"/>
              <w:rPr>
                <w:snapToGrid w:val="0"/>
                <w:sz w:val="20"/>
                <w:szCs w:val="20"/>
              </w:rPr>
            </w:pPr>
            <w:r w:rsidRPr="00560859">
              <w:rPr>
                <w:snapToGrid w:val="0"/>
                <w:sz w:val="20"/>
                <w:szCs w:val="20"/>
              </w:rPr>
              <w:t>0.10</w:t>
            </w:r>
          </w:p>
        </w:tc>
        <w:tc>
          <w:tcPr>
            <w:tcW w:w="708"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+5.10</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+5.05</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+3.55</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-1.99</w:t>
            </w:r>
          </w:p>
        </w:tc>
      </w:tr>
      <w:tr w:rsidR="00F12713" w:rsidRPr="006E028D" w:rsidTr="00F12713">
        <w:trPr>
          <w:trHeight w:val="570"/>
        </w:trPr>
        <w:tc>
          <w:tcPr>
            <w:tcW w:w="1376" w:type="dxa"/>
            <w:vAlign w:val="center"/>
          </w:tcPr>
          <w:p w:rsidR="00F12713" w:rsidRPr="006E028D" w:rsidRDefault="00F12713" w:rsidP="00F12713">
            <w:pPr>
              <w:bidi w:val="0"/>
              <w:ind w:right="-116"/>
              <w:rPr>
                <w:sz w:val="20"/>
                <w:szCs w:val="20"/>
              </w:rPr>
            </w:pPr>
            <w:r w:rsidRPr="006E028D">
              <w:rPr>
                <w:sz w:val="20"/>
                <w:szCs w:val="20"/>
              </w:rPr>
              <w:t>Mining and quarrying</w:t>
            </w:r>
          </w:p>
        </w:tc>
        <w:tc>
          <w:tcPr>
            <w:tcW w:w="859" w:type="dxa"/>
            <w:vAlign w:val="center"/>
          </w:tcPr>
          <w:p w:rsidR="00F12713" w:rsidRPr="00560859" w:rsidRDefault="00F12713" w:rsidP="00F12713">
            <w:pPr>
              <w:autoSpaceDE w:val="0"/>
              <w:autoSpaceDN w:val="0"/>
              <w:bidi w:val="0"/>
              <w:adjustRightInd w:val="0"/>
              <w:ind w:left="-100"/>
              <w:jc w:val="right"/>
              <w:rPr>
                <w:snapToGrid w:val="0"/>
                <w:sz w:val="20"/>
                <w:szCs w:val="20"/>
              </w:rPr>
            </w:pPr>
            <w:r w:rsidRPr="00560859">
              <w:rPr>
                <w:snapToGrid w:val="0"/>
                <w:sz w:val="20"/>
                <w:szCs w:val="20"/>
              </w:rPr>
              <w:t>0.90</w:t>
            </w:r>
          </w:p>
        </w:tc>
        <w:tc>
          <w:tcPr>
            <w:tcW w:w="708"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+1.09</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+0.88</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+1.47</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-2.91</w:t>
            </w:r>
          </w:p>
        </w:tc>
      </w:tr>
      <w:tr w:rsidR="00F12713" w:rsidRPr="006E028D" w:rsidTr="00F12713">
        <w:trPr>
          <w:trHeight w:val="578"/>
        </w:trPr>
        <w:tc>
          <w:tcPr>
            <w:tcW w:w="1376" w:type="dxa"/>
            <w:vAlign w:val="center"/>
          </w:tcPr>
          <w:p w:rsidR="00F12713" w:rsidRPr="006E028D" w:rsidRDefault="00F12713" w:rsidP="00F12713">
            <w:pPr>
              <w:bidi w:val="0"/>
              <w:ind w:right="-116"/>
              <w:rPr>
                <w:sz w:val="20"/>
                <w:szCs w:val="20"/>
              </w:rPr>
            </w:pPr>
            <w:r w:rsidRPr="006E028D">
              <w:rPr>
                <w:sz w:val="20"/>
                <w:szCs w:val="20"/>
              </w:rPr>
              <w:t>Manufacturing</w:t>
            </w:r>
          </w:p>
        </w:tc>
        <w:tc>
          <w:tcPr>
            <w:tcW w:w="859" w:type="dxa"/>
            <w:vAlign w:val="center"/>
          </w:tcPr>
          <w:p w:rsidR="00F12713" w:rsidRPr="00560859" w:rsidRDefault="00F12713" w:rsidP="00F12713">
            <w:pPr>
              <w:autoSpaceDE w:val="0"/>
              <w:autoSpaceDN w:val="0"/>
              <w:bidi w:val="0"/>
              <w:adjustRightInd w:val="0"/>
              <w:ind w:left="-100"/>
              <w:jc w:val="right"/>
              <w:rPr>
                <w:snapToGrid w:val="0"/>
                <w:sz w:val="20"/>
                <w:szCs w:val="20"/>
              </w:rPr>
            </w:pPr>
            <w:r w:rsidRPr="00560859">
              <w:rPr>
                <w:snapToGrid w:val="0"/>
                <w:sz w:val="20"/>
                <w:szCs w:val="20"/>
              </w:rPr>
              <w:t>70.0</w:t>
            </w:r>
          </w:p>
        </w:tc>
        <w:tc>
          <w:tcPr>
            <w:tcW w:w="708"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-0.42</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-0.30</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+0.33</w:t>
            </w:r>
          </w:p>
        </w:tc>
        <w:tc>
          <w:tcPr>
            <w:tcW w:w="709" w:type="dxa"/>
            <w:vAlign w:val="center"/>
          </w:tcPr>
          <w:p w:rsidR="00F12713" w:rsidRPr="00560859" w:rsidRDefault="00F12713" w:rsidP="00F12713">
            <w:pPr>
              <w:autoSpaceDE w:val="0"/>
              <w:autoSpaceDN w:val="0"/>
              <w:bidi w:val="0"/>
              <w:adjustRightInd w:val="0"/>
              <w:jc w:val="center"/>
              <w:rPr>
                <w:snapToGrid w:val="0"/>
                <w:sz w:val="20"/>
                <w:szCs w:val="20"/>
              </w:rPr>
            </w:pPr>
            <w:r>
              <w:rPr>
                <w:snapToGrid w:val="0"/>
                <w:sz w:val="20"/>
                <w:szCs w:val="20"/>
              </w:rPr>
              <w:t>+0.18</w:t>
            </w:r>
          </w:p>
        </w:tc>
      </w:tr>
      <w:tr w:rsidR="00F12713" w:rsidRPr="006E028D" w:rsidTr="00F12713">
        <w:trPr>
          <w:trHeight w:val="468"/>
        </w:trPr>
        <w:tc>
          <w:tcPr>
            <w:tcW w:w="1376" w:type="dxa"/>
            <w:vAlign w:val="center"/>
          </w:tcPr>
          <w:p w:rsidR="00F12713" w:rsidRPr="006E028D" w:rsidRDefault="00F12713" w:rsidP="00F12713">
            <w:pPr>
              <w:bidi w:val="0"/>
              <w:ind w:right="-116"/>
              <w:rPr>
                <w:b/>
                <w:bCs/>
                <w:sz w:val="20"/>
                <w:szCs w:val="20"/>
              </w:rPr>
            </w:pPr>
            <w:r w:rsidRPr="006E028D">
              <w:rPr>
                <w:b/>
                <w:bCs/>
                <w:sz w:val="20"/>
                <w:szCs w:val="20"/>
              </w:rPr>
              <w:t>All Items Price Index</w:t>
            </w:r>
          </w:p>
        </w:tc>
        <w:tc>
          <w:tcPr>
            <w:tcW w:w="859" w:type="dxa"/>
            <w:vAlign w:val="center"/>
          </w:tcPr>
          <w:p w:rsidR="00F12713" w:rsidRPr="00560859" w:rsidRDefault="00F12713" w:rsidP="00F12713">
            <w:pPr>
              <w:autoSpaceDE w:val="0"/>
              <w:autoSpaceDN w:val="0"/>
              <w:bidi w:val="0"/>
              <w:adjustRightInd w:val="0"/>
              <w:ind w:left="-100"/>
              <w:jc w:val="right"/>
              <w:rPr>
                <w:b/>
                <w:bCs/>
                <w:snapToGrid w:val="0"/>
                <w:sz w:val="20"/>
                <w:szCs w:val="20"/>
              </w:rPr>
            </w:pPr>
            <w:r w:rsidRPr="00560859">
              <w:rPr>
                <w:b/>
                <w:bCs/>
                <w:snapToGrid w:val="0"/>
                <w:sz w:val="20"/>
                <w:szCs w:val="20"/>
              </w:rPr>
              <w:t>100</w:t>
            </w:r>
          </w:p>
        </w:tc>
        <w:tc>
          <w:tcPr>
            <w:tcW w:w="708" w:type="dxa"/>
            <w:vAlign w:val="center"/>
          </w:tcPr>
          <w:p w:rsidR="00F12713" w:rsidRPr="00560859" w:rsidRDefault="00F12713" w:rsidP="00F12713">
            <w:pPr>
              <w:autoSpaceDE w:val="0"/>
              <w:autoSpaceDN w:val="0"/>
              <w:bidi w:val="0"/>
              <w:adjustRightInd w:val="0"/>
              <w:jc w:val="center"/>
              <w:rPr>
                <w:b/>
                <w:bCs/>
                <w:snapToGrid w:val="0"/>
                <w:sz w:val="20"/>
                <w:szCs w:val="20"/>
              </w:rPr>
            </w:pPr>
            <w:r w:rsidRPr="00560859">
              <w:rPr>
                <w:b/>
                <w:bCs/>
                <w:snapToGrid w:val="0"/>
                <w:sz w:val="20"/>
                <w:szCs w:val="20"/>
              </w:rPr>
              <w:t>+</w:t>
            </w:r>
            <w:r>
              <w:rPr>
                <w:b/>
                <w:bCs/>
                <w:snapToGrid w:val="0"/>
                <w:sz w:val="20"/>
                <w:szCs w:val="20"/>
              </w:rPr>
              <w:t>0.06</w:t>
            </w:r>
          </w:p>
        </w:tc>
        <w:tc>
          <w:tcPr>
            <w:tcW w:w="709" w:type="dxa"/>
            <w:vAlign w:val="center"/>
          </w:tcPr>
          <w:p w:rsidR="00F12713" w:rsidRPr="00560859" w:rsidRDefault="00F12713" w:rsidP="00F12713">
            <w:pPr>
              <w:autoSpaceDE w:val="0"/>
              <w:autoSpaceDN w:val="0"/>
              <w:bidi w:val="0"/>
              <w:adjustRightInd w:val="0"/>
              <w:jc w:val="center"/>
              <w:rPr>
                <w:b/>
                <w:bCs/>
                <w:snapToGrid w:val="0"/>
                <w:sz w:val="20"/>
                <w:szCs w:val="20"/>
              </w:rPr>
            </w:pPr>
            <w:r>
              <w:rPr>
                <w:b/>
                <w:bCs/>
                <w:snapToGrid w:val="0"/>
                <w:sz w:val="20"/>
                <w:szCs w:val="20"/>
              </w:rPr>
              <w:t>-1.58</w:t>
            </w:r>
          </w:p>
        </w:tc>
        <w:tc>
          <w:tcPr>
            <w:tcW w:w="709" w:type="dxa"/>
            <w:vAlign w:val="center"/>
          </w:tcPr>
          <w:p w:rsidR="00F12713" w:rsidRPr="00560859" w:rsidRDefault="00F12713" w:rsidP="00F12713">
            <w:pPr>
              <w:autoSpaceDE w:val="0"/>
              <w:autoSpaceDN w:val="0"/>
              <w:bidi w:val="0"/>
              <w:adjustRightInd w:val="0"/>
              <w:jc w:val="center"/>
              <w:rPr>
                <w:b/>
                <w:bCs/>
                <w:snapToGrid w:val="0"/>
                <w:sz w:val="20"/>
                <w:szCs w:val="20"/>
              </w:rPr>
            </w:pPr>
            <w:r>
              <w:rPr>
                <w:b/>
                <w:bCs/>
                <w:snapToGrid w:val="0"/>
                <w:sz w:val="20"/>
                <w:szCs w:val="20"/>
              </w:rPr>
              <w:t>+0.94</w:t>
            </w:r>
          </w:p>
        </w:tc>
        <w:tc>
          <w:tcPr>
            <w:tcW w:w="709" w:type="dxa"/>
            <w:vAlign w:val="center"/>
          </w:tcPr>
          <w:p w:rsidR="00F12713" w:rsidRPr="00560859" w:rsidRDefault="00F12713" w:rsidP="00F12713">
            <w:pPr>
              <w:autoSpaceDE w:val="0"/>
              <w:autoSpaceDN w:val="0"/>
              <w:bidi w:val="0"/>
              <w:adjustRightInd w:val="0"/>
              <w:jc w:val="center"/>
              <w:rPr>
                <w:b/>
                <w:bCs/>
                <w:snapToGrid w:val="0"/>
                <w:sz w:val="20"/>
                <w:szCs w:val="20"/>
              </w:rPr>
            </w:pPr>
            <w:r>
              <w:rPr>
                <w:b/>
                <w:bCs/>
                <w:snapToGrid w:val="0"/>
                <w:sz w:val="20"/>
                <w:szCs w:val="20"/>
              </w:rPr>
              <w:t>-1.86</w:t>
            </w:r>
          </w:p>
        </w:tc>
      </w:tr>
    </w:tbl>
    <w:p w:rsidR="00F12713" w:rsidRDefault="00F12713" w:rsidP="00F12713">
      <w:pPr>
        <w:autoSpaceDE w:val="0"/>
        <w:autoSpaceDN w:val="0"/>
        <w:bidi w:val="0"/>
        <w:adjustRightInd w:val="0"/>
        <w:jc w:val="both"/>
      </w:pPr>
    </w:p>
    <w:p w:rsidR="00647C1C" w:rsidRPr="00647C1C" w:rsidRDefault="00647C1C" w:rsidP="00647C1C">
      <w:pPr>
        <w:autoSpaceDE w:val="0"/>
        <w:autoSpaceDN w:val="0"/>
        <w:bidi w:val="0"/>
        <w:adjustRightInd w:val="0"/>
        <w:jc w:val="both"/>
        <w:rPr>
          <w:sz w:val="10"/>
          <w:szCs w:val="10"/>
        </w:rPr>
      </w:pPr>
    </w:p>
    <w:p w:rsidR="006177C1" w:rsidRDefault="006177C1" w:rsidP="00080A64">
      <w:pPr>
        <w:pStyle w:val="BodyText2"/>
        <w:bidi w:val="0"/>
        <w:spacing w:after="0" w:line="240" w:lineRule="auto"/>
        <w:outlineLvl w:val="0"/>
        <w:rPr>
          <w:rFonts w:cs="Simplified Arabic"/>
          <w:b/>
          <w:bCs/>
          <w:snapToGrid w:val="0"/>
          <w:color w:val="000000"/>
        </w:rPr>
      </w:pPr>
    </w:p>
    <w:p w:rsidR="00F12713" w:rsidRDefault="00F12713" w:rsidP="00080A64">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F12713" w:rsidRDefault="00F12713" w:rsidP="00F12713">
      <w:pPr>
        <w:pStyle w:val="BodyText2"/>
        <w:bidi w:val="0"/>
        <w:spacing w:after="0" w:line="240" w:lineRule="auto"/>
        <w:jc w:val="center"/>
        <w:outlineLvl w:val="0"/>
        <w:rPr>
          <w:rFonts w:cs="Simplified Arabic"/>
          <w:b/>
          <w:bCs/>
          <w:snapToGrid w:val="0"/>
          <w:color w:val="000000"/>
        </w:rPr>
      </w:pPr>
    </w:p>
    <w:p w:rsidR="0066695A" w:rsidRDefault="00F025C1" w:rsidP="00F12713">
      <w:pPr>
        <w:pStyle w:val="BodyText2"/>
        <w:bidi w:val="0"/>
        <w:spacing w:after="0" w:line="240" w:lineRule="auto"/>
        <w:jc w:val="center"/>
        <w:outlineLvl w:val="0"/>
        <w:rPr>
          <w:b/>
          <w:bCs/>
        </w:rPr>
      </w:pPr>
      <w:r w:rsidRPr="005334EF">
        <w:rPr>
          <w:rFonts w:cs="Simplified Arabic"/>
          <w:b/>
          <w:bCs/>
          <w:snapToGrid w:val="0"/>
          <w:color w:val="000000"/>
        </w:rPr>
        <w:t>The trend line of</w:t>
      </w:r>
      <w:r w:rsidRPr="00B31FE8">
        <w:rPr>
          <w:b/>
          <w:bCs/>
          <w:sz w:val="22"/>
          <w:szCs w:val="22"/>
        </w:rPr>
        <w:t xml:space="preserve"> </w:t>
      </w:r>
      <w:r w:rsidR="0066695A" w:rsidRPr="00B31FE8">
        <w:rPr>
          <w:b/>
          <w:bCs/>
          <w:sz w:val="22"/>
          <w:szCs w:val="22"/>
        </w:rPr>
        <w:t xml:space="preserve">Wholesale Price Index in Palestine for </w:t>
      </w:r>
      <w:r w:rsidR="0066695A">
        <w:rPr>
          <w:b/>
          <w:bCs/>
          <w:sz w:val="22"/>
          <w:szCs w:val="22"/>
        </w:rPr>
        <w:t>the</w:t>
      </w:r>
      <w:r w:rsidRPr="00F025C1">
        <w:rPr>
          <w:rFonts w:cs="Simplified Arabic"/>
          <w:b/>
          <w:bCs/>
          <w:snapToGrid w:val="0"/>
          <w:color w:val="000000"/>
        </w:rPr>
        <w:t xml:space="preserve"> </w:t>
      </w:r>
      <w:r>
        <w:rPr>
          <w:rFonts w:cs="Simplified Arabic"/>
          <w:b/>
          <w:bCs/>
          <w:snapToGrid w:val="0"/>
          <w:color w:val="000000"/>
        </w:rPr>
        <w:t>period:</w:t>
      </w:r>
      <w:r w:rsidR="0014223D">
        <w:rPr>
          <w:b/>
          <w:bCs/>
          <w:kern w:val="36"/>
          <w:sz w:val="22"/>
          <w:szCs w:val="22"/>
        </w:rPr>
        <w:t xml:space="preserve"> </w:t>
      </w:r>
      <w:r w:rsidR="000A3D33">
        <w:rPr>
          <w:b/>
          <w:bCs/>
          <w:kern w:val="36"/>
          <w:sz w:val="22"/>
          <w:szCs w:val="22"/>
        </w:rPr>
        <w:t xml:space="preserve">   </w:t>
      </w:r>
      <w:r w:rsidR="00080A64">
        <w:rPr>
          <w:b/>
          <w:bCs/>
          <w:kern w:val="36"/>
          <w:sz w:val="22"/>
          <w:szCs w:val="22"/>
        </w:rPr>
        <w:t>Fourth</w:t>
      </w:r>
      <w:r w:rsidR="00352CB9">
        <w:rPr>
          <w:b/>
          <w:bCs/>
          <w:kern w:val="36"/>
          <w:sz w:val="22"/>
          <w:szCs w:val="22"/>
        </w:rPr>
        <w:t xml:space="preserve"> </w:t>
      </w:r>
      <w:r w:rsidR="0066695A" w:rsidRPr="00B31FE8">
        <w:rPr>
          <w:b/>
          <w:bCs/>
          <w:sz w:val="22"/>
          <w:szCs w:val="22"/>
        </w:rPr>
        <w:t xml:space="preserve">quarter </w:t>
      </w:r>
      <w:r w:rsidR="000A3D33">
        <w:rPr>
          <w:b/>
          <w:bCs/>
          <w:sz w:val="22"/>
          <w:szCs w:val="22"/>
        </w:rPr>
        <w:t>2017</w:t>
      </w:r>
      <w:r w:rsidR="0066695A" w:rsidRPr="00B31FE8">
        <w:rPr>
          <w:b/>
          <w:bCs/>
          <w:sz w:val="22"/>
          <w:szCs w:val="22"/>
        </w:rPr>
        <w:t xml:space="preserve"> –</w:t>
      </w:r>
      <w:r w:rsidR="0066695A" w:rsidRPr="00B31FE8">
        <w:rPr>
          <w:b/>
          <w:bCs/>
          <w:color w:val="000000"/>
          <w:sz w:val="22"/>
          <w:szCs w:val="22"/>
        </w:rPr>
        <w:t xml:space="preserve"> </w:t>
      </w:r>
      <w:r w:rsidR="00080A64">
        <w:rPr>
          <w:b/>
          <w:bCs/>
          <w:kern w:val="36"/>
          <w:sz w:val="22"/>
          <w:szCs w:val="22"/>
        </w:rPr>
        <w:t>Fourth</w:t>
      </w:r>
      <w:r w:rsidR="0066695A" w:rsidRPr="00B31FE8">
        <w:rPr>
          <w:b/>
          <w:bCs/>
          <w:kern w:val="36"/>
          <w:sz w:val="22"/>
          <w:szCs w:val="22"/>
        </w:rPr>
        <w:t xml:space="preserve"> </w:t>
      </w:r>
      <w:r w:rsidR="0066695A" w:rsidRPr="00B31FE8">
        <w:rPr>
          <w:b/>
          <w:bCs/>
          <w:color w:val="000000"/>
          <w:sz w:val="22"/>
          <w:szCs w:val="22"/>
        </w:rPr>
        <w:t xml:space="preserve">quarter </w:t>
      </w:r>
      <w:r w:rsidR="002D75BC">
        <w:rPr>
          <w:b/>
          <w:bCs/>
          <w:color w:val="000000"/>
          <w:sz w:val="22"/>
          <w:szCs w:val="22"/>
        </w:rPr>
        <w:t>2019</w:t>
      </w:r>
      <w:r w:rsidR="00F12713">
        <w:rPr>
          <w:sz w:val="22"/>
          <w:szCs w:val="22"/>
        </w:rPr>
        <w:t xml:space="preserve"> </w:t>
      </w:r>
      <w:r w:rsidR="0066695A" w:rsidRPr="00FC160D">
        <w:rPr>
          <w:b/>
          <w:bCs/>
        </w:rPr>
        <w:t>(Base year 2007</w:t>
      </w:r>
      <w:r w:rsidR="00647C1C">
        <w:rPr>
          <w:b/>
          <w:bCs/>
        </w:rPr>
        <w:t xml:space="preserve"> </w:t>
      </w:r>
      <w:r w:rsidR="0066695A" w:rsidRPr="00FC160D">
        <w:rPr>
          <w:b/>
          <w:bCs/>
        </w:rPr>
        <w:t>=</w:t>
      </w:r>
      <w:r w:rsidR="00647C1C">
        <w:rPr>
          <w:b/>
          <w:bCs/>
        </w:rPr>
        <w:t xml:space="preserve"> </w:t>
      </w:r>
      <w:r w:rsidR="0066695A" w:rsidRPr="00FC160D">
        <w:rPr>
          <w:b/>
          <w:bCs/>
        </w:rPr>
        <w:t>100)</w:t>
      </w:r>
    </w:p>
    <w:p w:rsidR="0066695A" w:rsidRPr="006E028D" w:rsidRDefault="0066695A" w:rsidP="0066695A">
      <w:pPr>
        <w:bidi w:val="0"/>
        <w:jc w:val="center"/>
        <w:rPr>
          <w:b/>
          <w:bCs/>
          <w:sz w:val="10"/>
          <w:szCs w:val="10"/>
        </w:rPr>
      </w:pPr>
    </w:p>
    <w:tbl>
      <w:tblPr>
        <w:tblW w:w="0" w:type="auto"/>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7"/>
      </w:tblGrid>
      <w:tr w:rsidR="0066695A" w:rsidTr="0066695A">
        <w:trPr>
          <w:jc w:val="center"/>
        </w:trPr>
        <w:tc>
          <w:tcPr>
            <w:tcW w:w="4517" w:type="dxa"/>
          </w:tcPr>
          <w:p w:rsidR="0066695A" w:rsidRPr="0066695A" w:rsidRDefault="00A7058B" w:rsidP="0066695A">
            <w:pPr>
              <w:bidi w:val="0"/>
              <w:jc w:val="center"/>
              <w:rPr>
                <w:b/>
                <w:bCs/>
              </w:rPr>
            </w:pPr>
            <w:r>
              <w:rPr>
                <w:b/>
                <w:bCs/>
                <w:noProof/>
                <w:lang w:eastAsia="en-US"/>
              </w:rPr>
              <w:drawing>
                <wp:inline distT="0" distB="0" distL="0" distR="0">
                  <wp:extent cx="2686050" cy="23907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66695A" w:rsidRPr="00FC160D" w:rsidRDefault="0066695A" w:rsidP="0066695A">
      <w:pPr>
        <w:bidi w:val="0"/>
        <w:jc w:val="center"/>
        <w:rPr>
          <w:b/>
          <w:bCs/>
        </w:rPr>
      </w:pPr>
    </w:p>
    <w:p w:rsidR="00080A64" w:rsidRDefault="00080A64" w:rsidP="0066695A">
      <w:pPr>
        <w:bidi w:val="0"/>
        <w:jc w:val="both"/>
        <w:rPr>
          <w:b/>
          <w:bCs/>
          <w:sz w:val="20"/>
          <w:szCs w:val="20"/>
        </w:rPr>
      </w:pPr>
    </w:p>
    <w:p w:rsidR="00080A64" w:rsidRDefault="00080A64" w:rsidP="00080A64">
      <w:pPr>
        <w:bidi w:val="0"/>
        <w:jc w:val="both"/>
        <w:rPr>
          <w:b/>
          <w:bCs/>
          <w:sz w:val="20"/>
          <w:szCs w:val="20"/>
        </w:rPr>
      </w:pPr>
    </w:p>
    <w:p w:rsidR="00080A64" w:rsidRDefault="00080A64" w:rsidP="00080A64">
      <w:pPr>
        <w:bidi w:val="0"/>
        <w:jc w:val="both"/>
        <w:rPr>
          <w:b/>
          <w:bCs/>
          <w:sz w:val="20"/>
          <w:szCs w:val="20"/>
        </w:rPr>
      </w:pPr>
    </w:p>
    <w:p w:rsidR="00080A64" w:rsidRDefault="00080A64" w:rsidP="00080A64">
      <w:pPr>
        <w:bidi w:val="0"/>
        <w:jc w:val="both"/>
        <w:rPr>
          <w:b/>
          <w:bCs/>
          <w:sz w:val="20"/>
          <w:szCs w:val="20"/>
        </w:rPr>
      </w:pPr>
    </w:p>
    <w:sectPr w:rsidR="00080A64" w:rsidSect="00F93AA0">
      <w:footerReference w:type="even" r:id="rId10"/>
      <w:pgSz w:w="11907" w:h="16840" w:code="9"/>
      <w:pgMar w:top="1134" w:right="851" w:bottom="851" w:left="851"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A6D" w:rsidRDefault="00BA7A6D">
      <w:r>
        <w:separator/>
      </w:r>
    </w:p>
  </w:endnote>
  <w:endnote w:type="continuationSeparator" w:id="0">
    <w:p w:rsidR="00BA7A6D" w:rsidRDefault="00BA7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9C" w:rsidRDefault="009B3808">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A6D" w:rsidRDefault="00BA7A6D">
      <w:r>
        <w:separator/>
      </w:r>
    </w:p>
  </w:footnote>
  <w:footnote w:type="continuationSeparator" w:id="0">
    <w:p w:rsidR="00BA7A6D" w:rsidRDefault="00BA7A6D">
      <w:r>
        <w:continuationSeparator/>
      </w:r>
    </w:p>
  </w:footnote>
  <w:footnote w:id="1">
    <w:p w:rsidR="006B279C" w:rsidRDefault="006B279C" w:rsidP="006B279C">
      <w:pPr>
        <w:pStyle w:val="FootnoteText"/>
        <w:bidi w:val="0"/>
        <w:jc w:val="both"/>
        <w:rPr>
          <w:rtl/>
        </w:rPr>
      </w:pPr>
      <w:r>
        <w:rPr>
          <w:rStyle w:val="FootnoteReference"/>
        </w:rPr>
        <w:footnoteRef/>
      </w:r>
      <w:r>
        <w:rPr>
          <w:rtl/>
        </w:rPr>
        <w:t xml:space="preserve"> </w:t>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noPunctuationKerning/>
  <w:characterSpacingControl w:val="doNotCompress"/>
  <w:hdrShapeDefaults>
    <o:shapedefaults v:ext="edit" spidmax="37890"/>
  </w:hdrShapeDefaults>
  <w:footnotePr>
    <w:footnote w:id="-1"/>
    <w:footnote w:id="0"/>
  </w:footnotePr>
  <w:endnotePr>
    <w:endnote w:id="-1"/>
    <w:endnote w:id="0"/>
  </w:endnotePr>
  <w:compat/>
  <w:rsids>
    <w:rsidRoot w:val="00A02AF4"/>
    <w:rsid w:val="00001E72"/>
    <w:rsid w:val="00022588"/>
    <w:rsid w:val="00023129"/>
    <w:rsid w:val="000316D4"/>
    <w:rsid w:val="00044088"/>
    <w:rsid w:val="000441A2"/>
    <w:rsid w:val="000532E1"/>
    <w:rsid w:val="000552B4"/>
    <w:rsid w:val="000558DB"/>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67F1"/>
    <w:rsid w:val="001F59E1"/>
    <w:rsid w:val="001F5CA4"/>
    <w:rsid w:val="00234FC5"/>
    <w:rsid w:val="00246756"/>
    <w:rsid w:val="002475A7"/>
    <w:rsid w:val="002475D5"/>
    <w:rsid w:val="00273F97"/>
    <w:rsid w:val="00280B2F"/>
    <w:rsid w:val="002A65DC"/>
    <w:rsid w:val="002A76E9"/>
    <w:rsid w:val="002B3917"/>
    <w:rsid w:val="002B6CC4"/>
    <w:rsid w:val="002B7A6D"/>
    <w:rsid w:val="002C1E7D"/>
    <w:rsid w:val="002C3FFF"/>
    <w:rsid w:val="002D247B"/>
    <w:rsid w:val="002D75BC"/>
    <w:rsid w:val="002D7C8B"/>
    <w:rsid w:val="002E62E8"/>
    <w:rsid w:val="002F099B"/>
    <w:rsid w:val="002F458F"/>
    <w:rsid w:val="002F652D"/>
    <w:rsid w:val="002F7973"/>
    <w:rsid w:val="00311BBA"/>
    <w:rsid w:val="00313E31"/>
    <w:rsid w:val="00333192"/>
    <w:rsid w:val="0033494D"/>
    <w:rsid w:val="00352CB9"/>
    <w:rsid w:val="0035475C"/>
    <w:rsid w:val="00357C0F"/>
    <w:rsid w:val="00362C56"/>
    <w:rsid w:val="0036330D"/>
    <w:rsid w:val="00373227"/>
    <w:rsid w:val="00373482"/>
    <w:rsid w:val="0038789F"/>
    <w:rsid w:val="003D1122"/>
    <w:rsid w:val="003D6B61"/>
    <w:rsid w:val="003F6769"/>
    <w:rsid w:val="003F72A5"/>
    <w:rsid w:val="003F79E1"/>
    <w:rsid w:val="004011F9"/>
    <w:rsid w:val="00404AE1"/>
    <w:rsid w:val="00407964"/>
    <w:rsid w:val="00442803"/>
    <w:rsid w:val="004563AC"/>
    <w:rsid w:val="00470F79"/>
    <w:rsid w:val="004736AF"/>
    <w:rsid w:val="004814A7"/>
    <w:rsid w:val="004B0471"/>
    <w:rsid w:val="004B49B8"/>
    <w:rsid w:val="004C0ABD"/>
    <w:rsid w:val="004D3224"/>
    <w:rsid w:val="004D7E42"/>
    <w:rsid w:val="004E07C4"/>
    <w:rsid w:val="004E3DE8"/>
    <w:rsid w:val="004F25F7"/>
    <w:rsid w:val="004F37AD"/>
    <w:rsid w:val="004F6095"/>
    <w:rsid w:val="00512ADF"/>
    <w:rsid w:val="005222C8"/>
    <w:rsid w:val="005300FD"/>
    <w:rsid w:val="0054079E"/>
    <w:rsid w:val="00546DEB"/>
    <w:rsid w:val="00550823"/>
    <w:rsid w:val="00560859"/>
    <w:rsid w:val="00560D95"/>
    <w:rsid w:val="00566005"/>
    <w:rsid w:val="005843A5"/>
    <w:rsid w:val="0059251C"/>
    <w:rsid w:val="00592F97"/>
    <w:rsid w:val="005A114A"/>
    <w:rsid w:val="005A5C14"/>
    <w:rsid w:val="005B0328"/>
    <w:rsid w:val="005B5BA2"/>
    <w:rsid w:val="005C2E3B"/>
    <w:rsid w:val="005C4EA7"/>
    <w:rsid w:val="005D0603"/>
    <w:rsid w:val="005D4495"/>
    <w:rsid w:val="005E333C"/>
    <w:rsid w:val="005F3E9F"/>
    <w:rsid w:val="0061046E"/>
    <w:rsid w:val="006123B9"/>
    <w:rsid w:val="006177C1"/>
    <w:rsid w:val="00635C53"/>
    <w:rsid w:val="00640614"/>
    <w:rsid w:val="00647C1C"/>
    <w:rsid w:val="006507EC"/>
    <w:rsid w:val="0066695A"/>
    <w:rsid w:val="00674358"/>
    <w:rsid w:val="00677C79"/>
    <w:rsid w:val="0068763B"/>
    <w:rsid w:val="006A06A0"/>
    <w:rsid w:val="006B020E"/>
    <w:rsid w:val="006B279C"/>
    <w:rsid w:val="006B68B2"/>
    <w:rsid w:val="006C41F9"/>
    <w:rsid w:val="006E16EE"/>
    <w:rsid w:val="006E2866"/>
    <w:rsid w:val="006E3F38"/>
    <w:rsid w:val="006E5FF4"/>
    <w:rsid w:val="007119C4"/>
    <w:rsid w:val="0071595E"/>
    <w:rsid w:val="00715D0B"/>
    <w:rsid w:val="00716266"/>
    <w:rsid w:val="00745238"/>
    <w:rsid w:val="00745348"/>
    <w:rsid w:val="00765914"/>
    <w:rsid w:val="00772474"/>
    <w:rsid w:val="007731A1"/>
    <w:rsid w:val="007777B6"/>
    <w:rsid w:val="0078417A"/>
    <w:rsid w:val="007A3645"/>
    <w:rsid w:val="007A755D"/>
    <w:rsid w:val="007B0572"/>
    <w:rsid w:val="007B172F"/>
    <w:rsid w:val="007B1FA4"/>
    <w:rsid w:val="007B263A"/>
    <w:rsid w:val="007B4844"/>
    <w:rsid w:val="007C086F"/>
    <w:rsid w:val="007C4F6A"/>
    <w:rsid w:val="007D4D26"/>
    <w:rsid w:val="007E0B36"/>
    <w:rsid w:val="007E27D1"/>
    <w:rsid w:val="007F16E0"/>
    <w:rsid w:val="00810B7C"/>
    <w:rsid w:val="0081177A"/>
    <w:rsid w:val="00821889"/>
    <w:rsid w:val="00826129"/>
    <w:rsid w:val="00832305"/>
    <w:rsid w:val="0084434B"/>
    <w:rsid w:val="008525E4"/>
    <w:rsid w:val="00872DE9"/>
    <w:rsid w:val="00874B95"/>
    <w:rsid w:val="00883471"/>
    <w:rsid w:val="0088607C"/>
    <w:rsid w:val="00886755"/>
    <w:rsid w:val="008910DB"/>
    <w:rsid w:val="00893BE2"/>
    <w:rsid w:val="008977EC"/>
    <w:rsid w:val="008A3271"/>
    <w:rsid w:val="008A39D5"/>
    <w:rsid w:val="008C0D06"/>
    <w:rsid w:val="008D65BD"/>
    <w:rsid w:val="008E7801"/>
    <w:rsid w:val="008F0503"/>
    <w:rsid w:val="008F4D65"/>
    <w:rsid w:val="008F5B10"/>
    <w:rsid w:val="009100FC"/>
    <w:rsid w:val="0091203F"/>
    <w:rsid w:val="00916C4F"/>
    <w:rsid w:val="00922430"/>
    <w:rsid w:val="0092572E"/>
    <w:rsid w:val="00936FAF"/>
    <w:rsid w:val="009542BB"/>
    <w:rsid w:val="009577D1"/>
    <w:rsid w:val="0097781A"/>
    <w:rsid w:val="009856DC"/>
    <w:rsid w:val="009863E0"/>
    <w:rsid w:val="009923B4"/>
    <w:rsid w:val="00994EFC"/>
    <w:rsid w:val="009A333D"/>
    <w:rsid w:val="009B3808"/>
    <w:rsid w:val="009B4D64"/>
    <w:rsid w:val="009B6ECF"/>
    <w:rsid w:val="009C2C1A"/>
    <w:rsid w:val="009D415E"/>
    <w:rsid w:val="009E6723"/>
    <w:rsid w:val="00A012EE"/>
    <w:rsid w:val="00A02AF4"/>
    <w:rsid w:val="00A16347"/>
    <w:rsid w:val="00A25696"/>
    <w:rsid w:val="00A4532A"/>
    <w:rsid w:val="00A474FA"/>
    <w:rsid w:val="00A53F74"/>
    <w:rsid w:val="00A56B0C"/>
    <w:rsid w:val="00A57B14"/>
    <w:rsid w:val="00A62B39"/>
    <w:rsid w:val="00A673F4"/>
    <w:rsid w:val="00A7058B"/>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350A"/>
    <w:rsid w:val="00B42AE4"/>
    <w:rsid w:val="00B431EF"/>
    <w:rsid w:val="00B47964"/>
    <w:rsid w:val="00B53AC0"/>
    <w:rsid w:val="00B54B84"/>
    <w:rsid w:val="00B62228"/>
    <w:rsid w:val="00B655D0"/>
    <w:rsid w:val="00B72010"/>
    <w:rsid w:val="00B85188"/>
    <w:rsid w:val="00B95019"/>
    <w:rsid w:val="00BA1B13"/>
    <w:rsid w:val="00BA7A6D"/>
    <w:rsid w:val="00BA7D9E"/>
    <w:rsid w:val="00BC4555"/>
    <w:rsid w:val="00C14DB2"/>
    <w:rsid w:val="00C270A0"/>
    <w:rsid w:val="00C614BD"/>
    <w:rsid w:val="00C61DC3"/>
    <w:rsid w:val="00C64AD5"/>
    <w:rsid w:val="00C772F0"/>
    <w:rsid w:val="00C867F9"/>
    <w:rsid w:val="00C927C2"/>
    <w:rsid w:val="00CA4E4B"/>
    <w:rsid w:val="00CB5EB3"/>
    <w:rsid w:val="00CB6736"/>
    <w:rsid w:val="00CC14ED"/>
    <w:rsid w:val="00CC5158"/>
    <w:rsid w:val="00CE3A28"/>
    <w:rsid w:val="00CF1492"/>
    <w:rsid w:val="00D01A77"/>
    <w:rsid w:val="00D0313C"/>
    <w:rsid w:val="00D105A2"/>
    <w:rsid w:val="00D30D24"/>
    <w:rsid w:val="00D46644"/>
    <w:rsid w:val="00D475D8"/>
    <w:rsid w:val="00D61698"/>
    <w:rsid w:val="00D61D77"/>
    <w:rsid w:val="00D740E4"/>
    <w:rsid w:val="00D74755"/>
    <w:rsid w:val="00D91609"/>
    <w:rsid w:val="00D96C82"/>
    <w:rsid w:val="00DA3836"/>
    <w:rsid w:val="00DA68E3"/>
    <w:rsid w:val="00DB0789"/>
    <w:rsid w:val="00DB58BB"/>
    <w:rsid w:val="00DB7419"/>
    <w:rsid w:val="00DC1260"/>
    <w:rsid w:val="00DC141E"/>
    <w:rsid w:val="00DD3467"/>
    <w:rsid w:val="00DD39CD"/>
    <w:rsid w:val="00DD7595"/>
    <w:rsid w:val="00DE2FE2"/>
    <w:rsid w:val="00DF74E6"/>
    <w:rsid w:val="00E073D7"/>
    <w:rsid w:val="00E24833"/>
    <w:rsid w:val="00E6048C"/>
    <w:rsid w:val="00E64FD0"/>
    <w:rsid w:val="00E66062"/>
    <w:rsid w:val="00E75999"/>
    <w:rsid w:val="00E80E52"/>
    <w:rsid w:val="00E8416D"/>
    <w:rsid w:val="00E84557"/>
    <w:rsid w:val="00E9284F"/>
    <w:rsid w:val="00EA09BA"/>
    <w:rsid w:val="00EB67CF"/>
    <w:rsid w:val="00EB7DA6"/>
    <w:rsid w:val="00EC36EB"/>
    <w:rsid w:val="00EC3EC4"/>
    <w:rsid w:val="00EC5A53"/>
    <w:rsid w:val="00ED16E5"/>
    <w:rsid w:val="00EE0DE6"/>
    <w:rsid w:val="00EE6469"/>
    <w:rsid w:val="00EF39ED"/>
    <w:rsid w:val="00F025C1"/>
    <w:rsid w:val="00F10899"/>
    <w:rsid w:val="00F108B4"/>
    <w:rsid w:val="00F12713"/>
    <w:rsid w:val="00F14895"/>
    <w:rsid w:val="00F46874"/>
    <w:rsid w:val="00F53CA2"/>
    <w:rsid w:val="00F56B9E"/>
    <w:rsid w:val="00F61BC3"/>
    <w:rsid w:val="00F679D7"/>
    <w:rsid w:val="00F7525D"/>
    <w:rsid w:val="00F75BB5"/>
    <w:rsid w:val="00F77596"/>
    <w:rsid w:val="00F83D05"/>
    <w:rsid w:val="00F84185"/>
    <w:rsid w:val="00F93AA0"/>
    <w:rsid w:val="00FB2238"/>
    <w:rsid w:val="00FC48A3"/>
    <w:rsid w:val="00FF4B57"/>
    <w:rsid w:val="00FF61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4040102761006471"/>
          <c:y val="8.0645161290322939E-2"/>
          <c:w val="0.64454151711601493"/>
          <c:h val="0.76161705959775561"/>
        </c:manualLayout>
      </c:layout>
      <c:lineChart>
        <c:grouping val="standard"/>
        <c:ser>
          <c:idx val="0"/>
          <c:order val="0"/>
          <c:tx>
            <c:strRef>
              <c:f>Sheet1!$A$2</c:f>
              <c:strCache>
                <c:ptCount val="1"/>
                <c:pt idx="0">
                  <c:v>inflation rate</c:v>
                </c:pt>
              </c:strCache>
            </c:strRef>
          </c:tx>
          <c:dLbls>
            <c:dLbl>
              <c:idx val="0"/>
              <c:layout>
                <c:manualLayout>
                  <c:x val="-3.30237358101136E-2"/>
                  <c:y val="5.0420168067226885E-2"/>
                </c:manualLayout>
              </c:layout>
              <c:showVal val="1"/>
            </c:dLbl>
            <c:dLbl>
              <c:idx val="1"/>
              <c:layout>
                <c:manualLayout>
                  <c:x val="-4.9535603715170323E-2"/>
                  <c:y val="-6.1624649859944043E-2"/>
                </c:manualLayout>
              </c:layout>
              <c:showVal val="1"/>
            </c:dLbl>
            <c:dLbl>
              <c:idx val="2"/>
              <c:layout>
                <c:manualLayout>
                  <c:x val="-7.4074074074074084E-2"/>
                  <c:y val="3.9215686274509935E-2"/>
                </c:manualLayout>
              </c:layout>
              <c:showVal val="1"/>
            </c:dLbl>
            <c:dLbl>
              <c:idx val="3"/>
              <c:layout>
                <c:manualLayout>
                  <c:x val="-8.6687306501548045E-2"/>
                  <c:y val="-7.8431372549019704E-2"/>
                </c:manualLayout>
              </c:layout>
              <c:showVal val="1"/>
            </c:dLbl>
            <c:dLbl>
              <c:idx val="5"/>
              <c:layout>
                <c:manualLayout>
                  <c:x val="-4.5407636738906257E-2"/>
                  <c:y val="-8.9635854341736973E-2"/>
                </c:manualLayout>
              </c:layout>
              <c:showVal val="1"/>
            </c:dLbl>
            <c:dLbl>
              <c:idx val="9"/>
              <c:layout>
                <c:manualLayout>
                  <c:x val="-8.5569407990667951E-2"/>
                  <c:y val="-6.7226890756302532E-2"/>
                </c:manualLayout>
              </c:layout>
              <c:showVal val="1"/>
            </c:dLbl>
            <c:dLbl>
              <c:idx val="10"/>
              <c:layout>
                <c:manualLayout>
                  <c:x val="-2.0639834881321019E-2"/>
                  <c:y val="1.6806722689075671E-2"/>
                </c:manualLayout>
              </c:layout>
              <c:showVal val="1"/>
            </c:dLbl>
            <c:dLbl>
              <c:idx val="11"/>
              <c:layout>
                <c:manualLayout>
                  <c:x val="-5.4185987168270659E-2"/>
                  <c:y val="-6.1624649859944015E-2"/>
                </c:manualLayout>
              </c:layout>
              <c:showVal val="1"/>
            </c:dLbl>
            <c:dLbl>
              <c:idx val="12"/>
              <c:layout>
                <c:manualLayout>
                  <c:x val="0"/>
                  <c:y val="-3.361344537815128E-2"/>
                </c:manualLayout>
              </c:layout>
              <c:showVal val="1"/>
            </c:dLbl>
            <c:delete val="1"/>
            <c:txPr>
              <a:bodyPr/>
              <a:lstStyle/>
              <a:p>
                <a:pPr>
                  <a:defRPr b="1"/>
                </a:pPr>
                <a:endParaRPr lang="ar-SA"/>
              </a:p>
            </c:txPr>
          </c:dLbls>
          <c:cat>
            <c:numRef>
              <c:f>Sheet1!$B$1:$N$1</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Sheet1!$B$3:$N$3</c:f>
              <c:numCache>
                <c:formatCode>0.00%</c:formatCode>
                <c:ptCount val="13"/>
                <c:pt idx="0">
                  <c:v>3.0843279339540865E-2</c:v>
                </c:pt>
                <c:pt idx="1">
                  <c:v>0.10708656857849649</c:v>
                </c:pt>
                <c:pt idx="2">
                  <c:v>-6.692354814467478E-3</c:v>
                </c:pt>
                <c:pt idx="3">
                  <c:v>3.701979388384135E-2</c:v>
                </c:pt>
                <c:pt idx="4">
                  <c:v>3.7602409325464554E-2</c:v>
                </c:pt>
                <c:pt idx="5">
                  <c:v>9.2865108482622968E-3</c:v>
                </c:pt>
                <c:pt idx="6">
                  <c:v>7.8084822892499524E-3</c:v>
                </c:pt>
                <c:pt idx="7">
                  <c:v>1.4843629228618222E-2</c:v>
                </c:pt>
                <c:pt idx="8">
                  <c:v>1.2122729362056515E-2</c:v>
                </c:pt>
                <c:pt idx="9">
                  <c:v>1.6208822194510208E-2</c:v>
                </c:pt>
                <c:pt idx="10">
                  <c:v>-1.1702741605752199E-2</c:v>
                </c:pt>
                <c:pt idx="11">
                  <c:v>1.0523461850728361E-2</c:v>
                </c:pt>
                <c:pt idx="12">
                  <c:v>1.1123799878835442E-3</c:v>
                </c:pt>
              </c:numCache>
            </c:numRef>
          </c:val>
        </c:ser>
        <c:marker val="1"/>
        <c:axId val="79771904"/>
        <c:axId val="79778560"/>
      </c:lineChart>
      <c:catAx>
        <c:axId val="79771904"/>
        <c:scaling>
          <c:orientation val="minMax"/>
        </c:scaling>
        <c:axPos val="b"/>
        <c:numFmt formatCode="General" sourceLinked="1"/>
        <c:tickLblPos val="nextTo"/>
        <c:txPr>
          <a:bodyPr rot="-2700000" vert="horz"/>
          <a:lstStyle/>
          <a:p>
            <a:pPr>
              <a:defRPr lang="ar-SA" sz="799" b="0" i="0" u="none" strike="noStrike" baseline="0">
                <a:solidFill>
                  <a:srgbClr val="000000"/>
                </a:solidFill>
                <a:latin typeface="Arial"/>
                <a:ea typeface="Arial"/>
                <a:cs typeface="Arial"/>
              </a:defRPr>
            </a:pPr>
            <a:endParaRPr lang="ar-SA"/>
          </a:p>
        </c:txPr>
        <c:crossAx val="79778560"/>
        <c:crosses val="autoZero"/>
        <c:auto val="1"/>
        <c:lblAlgn val="ctr"/>
        <c:lblOffset val="700"/>
        <c:tickLblSkip val="1"/>
      </c:catAx>
      <c:valAx>
        <c:axId val="79778560"/>
        <c:scaling>
          <c:orientation val="minMax"/>
          <c:max val="0.13"/>
          <c:min val="-2.0000000000000042E-2"/>
        </c:scaling>
        <c:axPos val="l"/>
        <c:title>
          <c:tx>
            <c:rich>
              <a:bodyPr/>
              <a:lstStyle/>
              <a:p>
                <a:pPr>
                  <a:defRPr lang="ar-SA" sz="799" b="0" i="0" u="none" strike="noStrike" baseline="0">
                    <a:solidFill>
                      <a:srgbClr val="000000"/>
                    </a:solidFill>
                    <a:latin typeface="Arial"/>
                    <a:ea typeface="Arial"/>
                    <a:cs typeface="Arial"/>
                  </a:defRPr>
                </a:pPr>
                <a:r>
                  <a:rPr lang="en-US"/>
                  <a:t>Yearly WPI Percent</a:t>
                </a:r>
                <a:r>
                  <a:rPr lang="en-US" baseline="0"/>
                  <a:t> Change</a:t>
                </a:r>
                <a:endParaRPr lang="en-US"/>
              </a:p>
            </c:rich>
          </c:tx>
          <c:layout>
            <c:manualLayout>
              <c:xMode val="edge"/>
              <c:yMode val="edge"/>
              <c:x val="4.7690192572082358E-3"/>
              <c:y val="0.1068612011733828"/>
            </c:manualLayout>
          </c:layout>
        </c:title>
        <c:numFmt formatCode="0.0%" sourceLinked="0"/>
        <c:tickLblPos val="nextTo"/>
        <c:txPr>
          <a:bodyPr rot="0" vert="horz"/>
          <a:lstStyle/>
          <a:p>
            <a:pPr>
              <a:defRPr lang="ar-SA" sz="799" b="0" i="0" u="none" strike="noStrike" baseline="0">
                <a:solidFill>
                  <a:srgbClr val="000000"/>
                </a:solidFill>
                <a:latin typeface="Arial"/>
                <a:ea typeface="Arial"/>
                <a:cs typeface="Arial"/>
              </a:defRPr>
            </a:pPr>
            <a:endParaRPr lang="ar-SA"/>
          </a:p>
        </c:txPr>
        <c:crossAx val="79771904"/>
        <c:crosses val="autoZero"/>
        <c:crossBetween val="midCat"/>
        <c:majorUnit val="2.0000000000000042E-2"/>
        <c:minorUnit val="8.0000000000000227E-3"/>
      </c:valAx>
    </c:plotArea>
    <c:plotVisOnly val="1"/>
    <c:dispBlanksAs val="gap"/>
  </c:chart>
  <c:spPr>
    <a:ln>
      <a:noFill/>
    </a:ln>
  </c:spPr>
  <c:txPr>
    <a:bodyPr/>
    <a:lstStyle/>
    <a:p>
      <a:pPr>
        <a:defRPr sz="799" b="0" i="0" u="none" strike="noStrike" baseline="0">
          <a:solidFill>
            <a:srgbClr val="000000"/>
          </a:solidFill>
          <a:latin typeface="Arial"/>
          <a:ea typeface="Arial"/>
          <a:cs typeface="Arial"/>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321229630468872"/>
          <c:y val="5.5000000000000132E-2"/>
          <c:w val="0.71791461319133665"/>
          <c:h val="0.61634623010253264"/>
        </c:manualLayout>
      </c:layout>
      <c:lineChart>
        <c:grouping val="standard"/>
        <c:ser>
          <c:idx val="0"/>
          <c:order val="0"/>
          <c:tx>
            <c:strRef>
              <c:f>Sheet1!$A$2</c:f>
              <c:strCache>
                <c:ptCount val="1"/>
                <c:pt idx="0">
                  <c:v>Price Index</c:v>
                </c:pt>
              </c:strCache>
            </c:strRef>
          </c:tx>
          <c:spPr>
            <a:ln w="10736">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9061633253290229E-2"/>
                  <c:y val="-6.0720895943783923E-2"/>
                </c:manualLayout>
              </c:layout>
              <c:spPr/>
              <c:txPr>
                <a:bodyPr/>
                <a:lstStyle/>
                <a:p>
                  <a:pPr>
                    <a:defRPr sz="761" b="1" i="0" u="none" strike="noStrike" baseline="0">
                      <a:solidFill>
                        <a:srgbClr val="000000"/>
                      </a:solidFill>
                      <a:latin typeface="Arial"/>
                      <a:ea typeface="Arial"/>
                      <a:cs typeface="Arial"/>
                    </a:defRPr>
                  </a:pPr>
                  <a:endParaRPr lang="ar-SA"/>
                </a:p>
              </c:txPr>
              <c:dLblPos val="r"/>
              <c:showVal val="1"/>
            </c:dLbl>
            <c:dLbl>
              <c:idx val="8"/>
              <c:layout>
                <c:manualLayout>
                  <c:x val="-1.9173135272984522E-4"/>
                  <c:y val="5.2127866486808679E-2"/>
                </c:manualLayout>
              </c:layout>
              <c:spPr/>
              <c:txPr>
                <a:bodyPr/>
                <a:lstStyle/>
                <a:p>
                  <a:pPr>
                    <a:defRPr sz="761" b="1" i="0" u="none" strike="noStrike" baseline="0">
                      <a:solidFill>
                        <a:srgbClr val="000000"/>
                      </a:solidFill>
                      <a:latin typeface="Arial"/>
                      <a:ea typeface="Arial"/>
                      <a:cs typeface="Arial"/>
                    </a:defRPr>
                  </a:pPr>
                  <a:endParaRPr lang="ar-SA"/>
                </a:p>
              </c:txPr>
              <c:dLblPos val="r"/>
              <c:showVal val="1"/>
            </c:dLbl>
            <c:delete val="1"/>
          </c:dLbls>
          <c:cat>
            <c:strRef>
              <c:f>Sheet1!$B$1:$J$1</c:f>
              <c:strCache>
                <c:ptCount val="9"/>
                <c:pt idx="0">
                  <c:v>Q4.2017</c:v>
                </c:pt>
                <c:pt idx="1">
                  <c:v>Q1.2018</c:v>
                </c:pt>
                <c:pt idx="2">
                  <c:v>Q2.2018</c:v>
                </c:pt>
                <c:pt idx="3">
                  <c:v>Q3.2018</c:v>
                </c:pt>
                <c:pt idx="4">
                  <c:v>Q4.2018</c:v>
                </c:pt>
                <c:pt idx="5">
                  <c:v>Q1.2019</c:v>
                </c:pt>
                <c:pt idx="6">
                  <c:v>Q2.2019</c:v>
                </c:pt>
                <c:pt idx="7">
                  <c:v>Q3.2019</c:v>
                </c:pt>
                <c:pt idx="8">
                  <c:v>Q4.2019</c:v>
                </c:pt>
              </c:strCache>
            </c:strRef>
          </c:cat>
          <c:val>
            <c:numRef>
              <c:f>Sheet1!$B$2:$J$2</c:f>
              <c:numCache>
                <c:formatCode>0.00</c:formatCode>
                <c:ptCount val="9"/>
                <c:pt idx="0">
                  <c:v>124.30406209233908</c:v>
                </c:pt>
                <c:pt idx="1">
                  <c:v>122.51830702660247</c:v>
                </c:pt>
                <c:pt idx="2">
                  <c:v>125.86999999999999</c:v>
                </c:pt>
                <c:pt idx="3">
                  <c:v>126.43032668512195</c:v>
                </c:pt>
                <c:pt idx="4">
                  <c:v>127.04685107499441</c:v>
                </c:pt>
                <c:pt idx="5">
                  <c:v>127.11767151856864</c:v>
                </c:pt>
                <c:pt idx="6">
                  <c:v>125.10448386049551</c:v>
                </c:pt>
                <c:pt idx="7">
                  <c:v>126.2760428679358</c:v>
                </c:pt>
                <c:pt idx="8">
                  <c:v>123.92298204938898</c:v>
                </c:pt>
              </c:numCache>
            </c:numRef>
          </c:val>
        </c:ser>
        <c:marker val="1"/>
        <c:axId val="123286272"/>
        <c:axId val="78766080"/>
      </c:lineChart>
      <c:catAx>
        <c:axId val="123286272"/>
        <c:scaling>
          <c:orientation val="minMax"/>
        </c:scaling>
        <c:axPos val="b"/>
        <c:numFmt formatCode="General" sourceLinked="1"/>
        <c:minorTickMark val="out"/>
        <c:tickLblPos val="nextTo"/>
        <c:spPr>
          <a:ln w="2684">
            <a:solidFill>
              <a:srgbClr val="000000"/>
            </a:solidFill>
            <a:prstDash val="solid"/>
          </a:ln>
        </c:spPr>
        <c:txPr>
          <a:bodyPr rot="3900000" vert="horz"/>
          <a:lstStyle/>
          <a:p>
            <a:pPr>
              <a:defRPr sz="761" b="0" i="0" u="none" strike="noStrike" baseline="0">
                <a:solidFill>
                  <a:srgbClr val="000000"/>
                </a:solidFill>
                <a:latin typeface="Arial"/>
                <a:ea typeface="Arial"/>
                <a:cs typeface="Arial"/>
              </a:defRPr>
            </a:pPr>
            <a:endParaRPr lang="ar-SA"/>
          </a:p>
        </c:txPr>
        <c:crossAx val="78766080"/>
        <c:crosses val="autoZero"/>
        <c:auto val="1"/>
        <c:lblAlgn val="ctr"/>
        <c:lblOffset val="100"/>
        <c:tickLblSkip val="1"/>
        <c:tickMarkSkip val="2"/>
      </c:catAx>
      <c:valAx>
        <c:axId val="78766080"/>
        <c:scaling>
          <c:orientation val="minMax"/>
          <c:max val="130"/>
          <c:min val="120"/>
        </c:scaling>
        <c:axPos val="l"/>
        <c:title>
          <c:tx>
            <c:rich>
              <a:bodyPr/>
              <a:lstStyle/>
              <a:p>
                <a:pPr>
                  <a:defRPr sz="761" b="0" i="0" u="none" strike="noStrike" baseline="0">
                    <a:solidFill>
                      <a:srgbClr val="000000"/>
                    </a:solidFill>
                    <a:latin typeface="Arial"/>
                    <a:ea typeface="Arial"/>
                    <a:cs typeface="Arial"/>
                  </a:defRPr>
                </a:pPr>
                <a:r>
                  <a:rPr lang="en-US"/>
                  <a:t>Wholesale Price Index (WPI)</a:t>
                </a:r>
              </a:p>
            </c:rich>
          </c:tx>
          <c:layout>
            <c:manualLayout>
              <c:xMode val="edge"/>
              <c:yMode val="edge"/>
              <c:x val="4.1828166313158987E-3"/>
              <c:y val="9.0714324609838706E-2"/>
            </c:manualLayout>
          </c:layout>
          <c:spPr>
            <a:noFill/>
            <a:ln w="21474">
              <a:noFill/>
            </a:ln>
          </c:spPr>
        </c:title>
        <c:numFmt formatCode="0" sourceLinked="0"/>
        <c:tickLblPos val="nextTo"/>
        <c:spPr>
          <a:ln w="2684">
            <a:solidFill>
              <a:srgbClr val="000000"/>
            </a:solidFill>
            <a:prstDash val="solid"/>
          </a:ln>
        </c:spPr>
        <c:txPr>
          <a:bodyPr rot="0" vert="horz"/>
          <a:lstStyle/>
          <a:p>
            <a:pPr>
              <a:defRPr sz="761" b="0" i="0" u="none" strike="noStrike" baseline="0">
                <a:solidFill>
                  <a:srgbClr val="000000"/>
                </a:solidFill>
                <a:latin typeface="Arial"/>
                <a:ea typeface="Arial"/>
                <a:cs typeface="Arial"/>
              </a:defRPr>
            </a:pPr>
            <a:endParaRPr lang="ar-SA"/>
          </a:p>
        </c:txPr>
        <c:crossAx val="123286272"/>
        <c:crosses val="autoZero"/>
        <c:crossBetween val="between"/>
        <c:majorUnit val="2"/>
      </c:valAx>
      <c:spPr>
        <a:noFill/>
        <a:ln w="21475">
          <a:noFill/>
        </a:ln>
      </c:spPr>
    </c:plotArea>
    <c:plotVisOnly val="1"/>
    <c:dispBlanksAs val="gap"/>
  </c:chart>
  <c:spPr>
    <a:noFill/>
    <a:ln>
      <a:noFill/>
    </a:ln>
  </c:spPr>
  <c:txPr>
    <a:bodyPr/>
    <a:lstStyle/>
    <a:p>
      <a:pPr>
        <a:defRPr sz="761"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2982B-4D6D-414C-98DE-33A41F56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2016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loays</cp:lastModifiedBy>
  <cp:revision>41</cp:revision>
  <cp:lastPrinted>2020-01-15T08:37:00Z</cp:lastPrinted>
  <dcterms:created xsi:type="dcterms:W3CDTF">2019-01-14T16:11:00Z</dcterms:created>
  <dcterms:modified xsi:type="dcterms:W3CDTF">2020-01-16T07:43:00Z</dcterms:modified>
</cp:coreProperties>
</file>