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A07" w:rsidRDefault="00615A07" w:rsidP="00615A07">
      <w:pPr>
        <w:pStyle w:val="Heading1"/>
        <w:jc w:val="center"/>
        <w:rPr>
          <w:rFonts w:hint="cs"/>
          <w:color w:val="000000"/>
          <w:sz w:val="28"/>
          <w:szCs w:val="28"/>
        </w:rPr>
      </w:pPr>
    </w:p>
    <w:p w:rsidR="00615A07" w:rsidRDefault="00615A07" w:rsidP="00615A07">
      <w:pPr>
        <w:pStyle w:val="Heading1"/>
        <w:jc w:val="center"/>
        <w:rPr>
          <w:color w:val="000000"/>
          <w:sz w:val="28"/>
          <w:szCs w:val="28"/>
        </w:rPr>
      </w:pPr>
    </w:p>
    <w:p w:rsidR="00615A07" w:rsidRDefault="00615A07" w:rsidP="00615A07">
      <w:pPr>
        <w:pStyle w:val="Heading1"/>
        <w:jc w:val="center"/>
        <w:rPr>
          <w:color w:val="000000"/>
          <w:sz w:val="28"/>
          <w:szCs w:val="28"/>
        </w:rPr>
      </w:pPr>
    </w:p>
    <w:p w:rsidR="00615A07" w:rsidRDefault="00615A07" w:rsidP="00615A07">
      <w:pPr>
        <w:rPr>
          <w:rFonts w:ascii="Times New Roman" w:eastAsia="Times New Roman" w:hAnsi="Times New Roman" w:cs="Times New Roman"/>
          <w:b/>
          <w:bCs/>
          <w:kern w:val="36"/>
          <w:sz w:val="16"/>
          <w:szCs w:val="16"/>
          <w:lang w:eastAsia="en-US"/>
        </w:rPr>
      </w:pPr>
    </w:p>
    <w:p w:rsidR="00615A07" w:rsidRPr="00615A07" w:rsidRDefault="00615A07" w:rsidP="00615A07">
      <w:pPr>
        <w:jc w:val="center"/>
        <w:rPr>
          <w:sz w:val="16"/>
          <w:szCs w:val="16"/>
          <w:lang w:eastAsia="en-US"/>
        </w:rPr>
      </w:pPr>
    </w:p>
    <w:p w:rsidR="00615A07" w:rsidRDefault="00615A07" w:rsidP="00615A07">
      <w:pPr>
        <w:pStyle w:val="Heading1"/>
        <w:jc w:val="center"/>
        <w:rPr>
          <w:color w:val="000000"/>
          <w:sz w:val="28"/>
          <w:szCs w:val="28"/>
        </w:rPr>
      </w:pPr>
    </w:p>
    <w:p w:rsidR="00615A07" w:rsidRPr="00615A07" w:rsidRDefault="00615A07" w:rsidP="00615A07">
      <w:pPr>
        <w:pStyle w:val="Heading1"/>
        <w:bidi w:val="0"/>
        <w:jc w:val="center"/>
        <w:rPr>
          <w:color w:val="000000"/>
          <w:sz w:val="32"/>
          <w:szCs w:val="32"/>
        </w:rPr>
      </w:pPr>
      <w:r w:rsidRPr="00615A07">
        <w:rPr>
          <w:color w:val="000000"/>
          <w:sz w:val="32"/>
          <w:szCs w:val="32"/>
        </w:rPr>
        <w:t>Palestinian Central Bureau of Statistics (PCBS)</w:t>
      </w:r>
    </w:p>
    <w:p w:rsidR="00615A07" w:rsidRDefault="00615A07" w:rsidP="00615A07">
      <w:pPr>
        <w:bidi/>
        <w:spacing w:line="240" w:lineRule="auto"/>
        <w:jc w:val="center"/>
        <w:rPr>
          <w:rFonts w:asciiTheme="majorBidi" w:eastAsiaTheme="minorHAnsi" w:hAnsiTheme="majorBidi" w:cstheme="majorBidi"/>
          <w:sz w:val="16"/>
          <w:szCs w:val="16"/>
        </w:rPr>
      </w:pPr>
    </w:p>
    <w:p w:rsidR="00615A07" w:rsidRPr="00CD6162" w:rsidRDefault="00615A07" w:rsidP="00615A07">
      <w:pPr>
        <w:spacing w:line="240" w:lineRule="auto"/>
        <w:jc w:val="center"/>
        <w:rPr>
          <w:sz w:val="28"/>
          <w:szCs w:val="28"/>
          <w:rtl/>
        </w:rPr>
      </w:pPr>
      <w:r w:rsidRPr="00CD6162">
        <w:rPr>
          <w:rFonts w:ascii="Times New Roman" w:hAnsi="Times New Roman"/>
          <w:b/>
          <w:bCs/>
          <w:sz w:val="28"/>
          <w:szCs w:val="28"/>
        </w:rPr>
        <w:t>Increase in the Wholesale Price</w:t>
      </w:r>
      <w:r w:rsidRPr="00CD6162">
        <w:rPr>
          <w:rFonts w:ascii="Times New Roman" w:hAnsi="Times New Roman"/>
          <w:sz w:val="28"/>
          <w:szCs w:val="28"/>
          <w:vertAlign w:val="superscript"/>
        </w:rPr>
        <w:t>1</w:t>
      </w:r>
      <w:r w:rsidRPr="00CD6162">
        <w:rPr>
          <w:rFonts w:ascii="Times New Roman" w:hAnsi="Times New Roman"/>
          <w:b/>
          <w:bCs/>
          <w:sz w:val="28"/>
          <w:szCs w:val="28"/>
        </w:rPr>
        <w:t xml:space="preserve"> Index during the Third </w:t>
      </w:r>
      <w:r w:rsidR="00CD6162" w:rsidRPr="00CD6162">
        <w:rPr>
          <w:rFonts w:ascii="Times New Roman" w:hAnsi="Times New Roman" w:cs="Times New Roman"/>
          <w:b/>
          <w:bCs/>
          <w:kern w:val="36"/>
          <w:sz w:val="28"/>
          <w:szCs w:val="28"/>
        </w:rPr>
        <w:t xml:space="preserve">Quarter </w:t>
      </w:r>
      <w:r w:rsidRPr="00CD6162">
        <w:rPr>
          <w:rFonts w:ascii="Times New Roman" w:hAnsi="Times New Roman"/>
          <w:b/>
          <w:bCs/>
          <w:sz w:val="28"/>
          <w:szCs w:val="28"/>
        </w:rPr>
        <w:t>of 2017</w:t>
      </w:r>
    </w:p>
    <w:p w:rsidR="00FC160D" w:rsidRPr="00FC160D" w:rsidRDefault="00FC160D" w:rsidP="00FC160D">
      <w:pPr>
        <w:spacing w:line="240" w:lineRule="auto"/>
        <w:outlineLvl w:val="0"/>
        <w:rPr>
          <w:rFonts w:ascii="Times New Roman" w:hAnsi="Times New Roman" w:cs="Times New Roman"/>
          <w:b/>
          <w:bCs/>
          <w:sz w:val="24"/>
          <w:szCs w:val="24"/>
        </w:rPr>
      </w:pPr>
    </w:p>
    <w:p w:rsidR="00FC160D" w:rsidRPr="00FC160D" w:rsidRDefault="00FC160D" w:rsidP="00FC160D">
      <w:pPr>
        <w:spacing w:line="240" w:lineRule="auto"/>
        <w:jc w:val="both"/>
        <w:outlineLvl w:val="0"/>
        <w:rPr>
          <w:rFonts w:ascii="Times New Roman" w:hAnsi="Times New Roman" w:cs="Times New Roman"/>
          <w:sz w:val="24"/>
          <w:szCs w:val="24"/>
        </w:rPr>
      </w:pPr>
      <w:r w:rsidRPr="00FC160D">
        <w:rPr>
          <w:rFonts w:ascii="Times New Roman" w:hAnsi="Times New Roman" w:cs="Times New Roman"/>
          <w:sz w:val="24"/>
          <w:szCs w:val="24"/>
        </w:rPr>
        <w:t xml:space="preserve">The overall WPI in Palestine with its base year (2007=100) reached </w:t>
      </w:r>
      <w:r>
        <w:rPr>
          <w:rFonts w:ascii="Times New Roman" w:hAnsi="Times New Roman" w:cs="Times New Roman"/>
          <w:sz w:val="24"/>
          <w:szCs w:val="24"/>
        </w:rPr>
        <w:t>124.51</w:t>
      </w:r>
      <w:r w:rsidRPr="00FC160D">
        <w:rPr>
          <w:rFonts w:ascii="Times New Roman" w:hAnsi="Times New Roman" w:cs="Times New Roman"/>
          <w:sz w:val="24"/>
          <w:szCs w:val="24"/>
        </w:rPr>
        <w:t xml:space="preserve"> in the </w:t>
      </w:r>
      <w:r>
        <w:rPr>
          <w:rFonts w:ascii="Times New Roman" w:hAnsi="Times New Roman" w:cs="Times New Roman"/>
          <w:sz w:val="24"/>
          <w:szCs w:val="24"/>
        </w:rPr>
        <w:t>Third</w:t>
      </w:r>
      <w:r w:rsidRPr="00FC160D">
        <w:rPr>
          <w:rFonts w:ascii="Times New Roman" w:hAnsi="Times New Roman" w:cs="Times New Roman"/>
          <w:sz w:val="24"/>
          <w:szCs w:val="24"/>
        </w:rPr>
        <w:t xml:space="preserve"> quarter 2017, which indicates a</w:t>
      </w:r>
      <w:r>
        <w:rPr>
          <w:rFonts w:ascii="Times New Roman" w:hAnsi="Times New Roman" w:cs="Times New Roman"/>
          <w:sz w:val="24"/>
          <w:szCs w:val="24"/>
        </w:rPr>
        <w:t>n</w:t>
      </w:r>
      <w:r w:rsidRPr="00FC160D">
        <w:rPr>
          <w:rFonts w:ascii="Times New Roman" w:hAnsi="Times New Roman" w:cs="Times New Roman"/>
          <w:sz w:val="24"/>
          <w:szCs w:val="24"/>
        </w:rPr>
        <w:t xml:space="preserve"> </w:t>
      </w:r>
      <w:r>
        <w:rPr>
          <w:rFonts w:ascii="Times New Roman" w:hAnsi="Times New Roman" w:cs="Times New Roman"/>
          <w:sz w:val="24"/>
          <w:szCs w:val="24"/>
        </w:rPr>
        <w:t>in</w:t>
      </w:r>
      <w:r w:rsidRPr="00FC160D">
        <w:rPr>
          <w:rFonts w:ascii="Times New Roman" w:hAnsi="Times New Roman" w:cs="Times New Roman"/>
          <w:sz w:val="24"/>
          <w:szCs w:val="24"/>
        </w:rPr>
        <w:t xml:space="preserve">crease by </w:t>
      </w:r>
      <w:r>
        <w:rPr>
          <w:rFonts w:ascii="Times New Roman" w:hAnsi="Times New Roman" w:cs="Times New Roman"/>
          <w:sz w:val="24"/>
          <w:szCs w:val="24"/>
        </w:rPr>
        <w:t>2.06</w:t>
      </w:r>
      <w:r w:rsidRPr="00FC160D">
        <w:rPr>
          <w:rFonts w:ascii="Times New Roman" w:hAnsi="Times New Roman" w:cs="Times New Roman"/>
          <w:sz w:val="24"/>
          <w:szCs w:val="24"/>
        </w:rPr>
        <w:t xml:space="preserve">% compared with the </w:t>
      </w:r>
      <w:r>
        <w:rPr>
          <w:rFonts w:ascii="Times New Roman" w:hAnsi="Times New Roman" w:cs="Times New Roman"/>
          <w:sz w:val="24"/>
          <w:szCs w:val="24"/>
        </w:rPr>
        <w:t>Second</w:t>
      </w:r>
      <w:r w:rsidRPr="00FC160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C160D">
        <w:rPr>
          <w:rFonts w:ascii="Times New Roman" w:hAnsi="Times New Roman" w:cs="Times New Roman"/>
          <w:sz w:val="24"/>
          <w:szCs w:val="24"/>
        </w:rPr>
        <w:t>quarter 2017.</w:t>
      </w:r>
    </w:p>
    <w:p w:rsidR="00FC160D" w:rsidRPr="00615A07" w:rsidRDefault="00FC160D" w:rsidP="00FC160D">
      <w:pPr>
        <w:spacing w:line="240" w:lineRule="auto"/>
        <w:jc w:val="both"/>
        <w:outlineLvl w:val="0"/>
        <w:rPr>
          <w:rFonts w:ascii="Times New Roman" w:hAnsi="Times New Roman" w:cs="Times New Roman"/>
          <w:sz w:val="16"/>
          <w:szCs w:val="16"/>
        </w:rPr>
      </w:pPr>
    </w:p>
    <w:p w:rsidR="00FC160D" w:rsidRPr="00FC160D" w:rsidRDefault="00FC160D" w:rsidP="00FC160D">
      <w:pPr>
        <w:pStyle w:val="BodyText2"/>
        <w:bidi w:val="0"/>
        <w:spacing w:after="0" w:line="240" w:lineRule="auto"/>
        <w:jc w:val="both"/>
        <w:outlineLvl w:val="0"/>
      </w:pPr>
      <w:r w:rsidRPr="00FC160D">
        <w:t xml:space="preserve">WPI for local products (2007=100) reached </w:t>
      </w:r>
      <w:r>
        <w:t>127.32</w:t>
      </w:r>
      <w:r w:rsidRPr="00FC160D">
        <w:t xml:space="preserve"> in the </w:t>
      </w:r>
      <w:r>
        <w:t>Third</w:t>
      </w:r>
      <w:r w:rsidRPr="00FC160D">
        <w:t xml:space="preserve"> quarter 2017, which indicates a</w:t>
      </w:r>
      <w:r>
        <w:t>n</w:t>
      </w:r>
      <w:r w:rsidRPr="00FC160D">
        <w:t xml:space="preserve"> </w:t>
      </w:r>
      <w:r>
        <w:t>in</w:t>
      </w:r>
      <w:r w:rsidRPr="00FC160D">
        <w:t xml:space="preserve">crease by </w:t>
      </w:r>
      <w:r>
        <w:t>3.22</w:t>
      </w:r>
      <w:r w:rsidRPr="00FC160D">
        <w:t xml:space="preserve">% compared with the </w:t>
      </w:r>
      <w:r>
        <w:t>Second</w:t>
      </w:r>
      <w:r w:rsidRPr="00FC160D">
        <w:t xml:space="preserve"> quarter 2017. </w:t>
      </w:r>
    </w:p>
    <w:p w:rsidR="00FC160D" w:rsidRPr="00615A07" w:rsidRDefault="00FC160D" w:rsidP="00FC160D">
      <w:pPr>
        <w:spacing w:line="240" w:lineRule="auto"/>
        <w:jc w:val="both"/>
        <w:outlineLvl w:val="0"/>
        <w:rPr>
          <w:rFonts w:ascii="Times New Roman" w:hAnsi="Times New Roman" w:cs="Times New Roman"/>
          <w:sz w:val="16"/>
          <w:szCs w:val="16"/>
        </w:rPr>
      </w:pPr>
    </w:p>
    <w:p w:rsidR="00FC160D" w:rsidRPr="00FC160D" w:rsidRDefault="00FC160D" w:rsidP="00FC160D">
      <w:pPr>
        <w:pStyle w:val="BodyText2"/>
        <w:bidi w:val="0"/>
        <w:spacing w:after="0" w:line="240" w:lineRule="auto"/>
        <w:jc w:val="both"/>
        <w:outlineLvl w:val="0"/>
      </w:pPr>
      <w:r w:rsidRPr="00FC160D">
        <w:t xml:space="preserve">WPI for imported products (2007=100) reached </w:t>
      </w:r>
      <w:r>
        <w:t>122.01</w:t>
      </w:r>
      <w:r w:rsidRPr="00FC160D">
        <w:t xml:space="preserve"> in the </w:t>
      </w:r>
      <w:r>
        <w:t>Third</w:t>
      </w:r>
      <w:r w:rsidRPr="00FC160D">
        <w:t xml:space="preserve"> quarter 2017, which indicates a</w:t>
      </w:r>
      <w:r>
        <w:t xml:space="preserve"> slight</w:t>
      </w:r>
      <w:r w:rsidRPr="00FC160D">
        <w:t xml:space="preserve"> </w:t>
      </w:r>
      <w:r>
        <w:t>in</w:t>
      </w:r>
      <w:r w:rsidRPr="00FC160D">
        <w:t xml:space="preserve">crease by </w:t>
      </w:r>
      <w:r>
        <w:t>0.08</w:t>
      </w:r>
      <w:r w:rsidRPr="00FC160D">
        <w:t xml:space="preserve">% compared with the </w:t>
      </w:r>
      <w:r>
        <w:t>Second</w:t>
      </w:r>
      <w:r w:rsidRPr="00FC160D">
        <w:t xml:space="preserve"> quarter 2017.</w:t>
      </w:r>
    </w:p>
    <w:p w:rsidR="00FC160D" w:rsidRPr="00615A07" w:rsidRDefault="00FC160D" w:rsidP="00FC160D">
      <w:pPr>
        <w:pStyle w:val="BodyText2"/>
        <w:bidi w:val="0"/>
        <w:spacing w:after="0" w:line="240" w:lineRule="auto"/>
        <w:jc w:val="both"/>
        <w:outlineLvl w:val="0"/>
        <w:rPr>
          <w:sz w:val="16"/>
          <w:szCs w:val="16"/>
        </w:rPr>
      </w:pPr>
    </w:p>
    <w:p w:rsidR="00FC160D" w:rsidRPr="00615A07" w:rsidRDefault="00FC160D" w:rsidP="00FC160D">
      <w:pPr>
        <w:autoSpaceDE w:val="0"/>
        <w:autoSpaceDN w:val="0"/>
        <w:adjustRightInd w:val="0"/>
        <w:spacing w:line="240" w:lineRule="auto"/>
        <w:jc w:val="both"/>
        <w:rPr>
          <w:rFonts w:ascii="Times New Roman" w:hAnsi="Times New Roman" w:cs="Times New Roman"/>
          <w:sz w:val="25"/>
          <w:szCs w:val="25"/>
        </w:rPr>
      </w:pPr>
      <w:r w:rsidRPr="00615A07">
        <w:rPr>
          <w:rFonts w:ascii="Times New Roman" w:hAnsi="Times New Roman" w:cs="Times New Roman"/>
          <w:snapToGrid w:val="0"/>
          <w:sz w:val="25"/>
          <w:szCs w:val="25"/>
        </w:rPr>
        <w:t>The table shows the relative share and the quarterly percent changes in WPI by major activities in Palestine for First quarter – Third quarter 2017:</w:t>
      </w:r>
      <w:r w:rsidRPr="00615A07">
        <w:rPr>
          <w:rFonts w:ascii="Times New Roman" w:hAnsi="Times New Roman" w:cs="Times New Roman"/>
          <w:sz w:val="25"/>
          <w:szCs w:val="25"/>
        </w:rPr>
        <w:t xml:space="preserve"> </w:t>
      </w:r>
    </w:p>
    <w:tbl>
      <w:tblPr>
        <w:tblpPr w:leftFromText="180" w:rightFromText="180" w:vertAnchor="text" w:horzAnchor="margin" w:tblpXSpec="center" w:tblpY="124"/>
        <w:tblW w:w="648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tblPr>
      <w:tblGrid>
        <w:gridCol w:w="2546"/>
        <w:gridCol w:w="1242"/>
        <w:gridCol w:w="850"/>
        <w:gridCol w:w="992"/>
        <w:gridCol w:w="851"/>
      </w:tblGrid>
      <w:tr w:rsidR="00FC160D" w:rsidRPr="00615A07" w:rsidTr="00615A07">
        <w:tc>
          <w:tcPr>
            <w:tcW w:w="2546" w:type="dxa"/>
            <w:vMerge w:val="restart"/>
            <w:vAlign w:val="center"/>
          </w:tcPr>
          <w:p w:rsidR="00FC160D" w:rsidRPr="00615A07" w:rsidRDefault="00FC160D" w:rsidP="006E028D">
            <w:pPr>
              <w:autoSpaceDE w:val="0"/>
              <w:autoSpaceDN w:val="0"/>
              <w:adjustRightInd w:val="0"/>
              <w:spacing w:line="240" w:lineRule="auto"/>
              <w:jc w:val="center"/>
              <w:rPr>
                <w:rFonts w:ascii="Times New Roman" w:hAnsi="Times New Roman" w:cs="Times New Roman"/>
                <w:b/>
                <w:bCs/>
                <w:snapToGrid w:val="0"/>
                <w:sz w:val="24"/>
                <w:szCs w:val="24"/>
              </w:rPr>
            </w:pPr>
            <w:r w:rsidRPr="00615A07">
              <w:rPr>
                <w:rFonts w:ascii="Times New Roman" w:hAnsi="Times New Roman" w:cs="Times New Roman"/>
                <w:b/>
                <w:bCs/>
                <w:snapToGrid w:val="0"/>
                <w:sz w:val="24"/>
                <w:szCs w:val="24"/>
              </w:rPr>
              <w:t>Major Activities</w:t>
            </w:r>
          </w:p>
        </w:tc>
        <w:tc>
          <w:tcPr>
            <w:tcW w:w="1242" w:type="dxa"/>
            <w:vMerge w:val="restart"/>
            <w:vAlign w:val="center"/>
          </w:tcPr>
          <w:p w:rsidR="00FC160D" w:rsidRPr="00615A07" w:rsidRDefault="00FC160D" w:rsidP="006E028D">
            <w:pPr>
              <w:autoSpaceDE w:val="0"/>
              <w:autoSpaceDN w:val="0"/>
              <w:adjustRightInd w:val="0"/>
              <w:spacing w:line="240" w:lineRule="auto"/>
              <w:jc w:val="center"/>
              <w:rPr>
                <w:rFonts w:ascii="Times New Roman" w:hAnsi="Times New Roman" w:cs="Times New Roman"/>
                <w:b/>
                <w:bCs/>
                <w:snapToGrid w:val="0"/>
                <w:sz w:val="24"/>
                <w:szCs w:val="24"/>
              </w:rPr>
            </w:pPr>
            <w:r w:rsidRPr="00615A07">
              <w:rPr>
                <w:rFonts w:ascii="Times New Roman" w:hAnsi="Times New Roman" w:cs="Times New Roman"/>
                <w:b/>
                <w:bCs/>
                <w:snapToGrid w:val="0"/>
                <w:sz w:val="24"/>
                <w:szCs w:val="24"/>
              </w:rPr>
              <w:t>Relative Share</w:t>
            </w:r>
          </w:p>
        </w:tc>
        <w:tc>
          <w:tcPr>
            <w:tcW w:w="2693" w:type="dxa"/>
            <w:gridSpan w:val="3"/>
            <w:vAlign w:val="center"/>
          </w:tcPr>
          <w:p w:rsidR="00FC160D" w:rsidRPr="00615A07" w:rsidRDefault="00FC160D" w:rsidP="006E028D">
            <w:pPr>
              <w:autoSpaceDE w:val="0"/>
              <w:autoSpaceDN w:val="0"/>
              <w:adjustRightInd w:val="0"/>
              <w:spacing w:line="240" w:lineRule="auto"/>
              <w:jc w:val="center"/>
              <w:rPr>
                <w:rFonts w:ascii="Times New Roman" w:hAnsi="Times New Roman" w:cs="Times New Roman"/>
                <w:b/>
                <w:bCs/>
                <w:snapToGrid w:val="0"/>
                <w:sz w:val="24"/>
                <w:szCs w:val="24"/>
              </w:rPr>
            </w:pPr>
            <w:r w:rsidRPr="00615A07">
              <w:rPr>
                <w:rFonts w:ascii="Times New Roman" w:hAnsi="Times New Roman" w:cs="Times New Roman"/>
                <w:b/>
                <w:bCs/>
                <w:snapToGrid w:val="0"/>
                <w:sz w:val="24"/>
                <w:szCs w:val="24"/>
              </w:rPr>
              <w:t>Quarterly Percent Change</w:t>
            </w:r>
          </w:p>
        </w:tc>
      </w:tr>
      <w:tr w:rsidR="00FC160D" w:rsidRPr="00615A07" w:rsidTr="00615A07">
        <w:tc>
          <w:tcPr>
            <w:tcW w:w="2546" w:type="dxa"/>
            <w:vMerge/>
            <w:vAlign w:val="center"/>
          </w:tcPr>
          <w:p w:rsidR="00FC160D" w:rsidRPr="00615A07" w:rsidRDefault="00FC160D" w:rsidP="006E028D">
            <w:pPr>
              <w:spacing w:line="240" w:lineRule="auto"/>
              <w:jc w:val="center"/>
              <w:rPr>
                <w:rFonts w:ascii="Times New Roman" w:hAnsi="Times New Roman" w:cs="Times New Roman"/>
                <w:b/>
                <w:bCs/>
                <w:sz w:val="24"/>
                <w:szCs w:val="24"/>
              </w:rPr>
            </w:pPr>
          </w:p>
        </w:tc>
        <w:tc>
          <w:tcPr>
            <w:tcW w:w="1242" w:type="dxa"/>
            <w:vMerge/>
            <w:vAlign w:val="center"/>
          </w:tcPr>
          <w:p w:rsidR="00FC160D" w:rsidRPr="00615A07" w:rsidRDefault="00FC160D" w:rsidP="006E028D">
            <w:pPr>
              <w:autoSpaceDE w:val="0"/>
              <w:autoSpaceDN w:val="0"/>
              <w:adjustRightInd w:val="0"/>
              <w:spacing w:line="240" w:lineRule="auto"/>
              <w:jc w:val="center"/>
              <w:rPr>
                <w:rFonts w:ascii="Times New Roman" w:hAnsi="Times New Roman" w:cs="Times New Roman"/>
                <w:b/>
                <w:bCs/>
                <w:snapToGrid w:val="0"/>
                <w:sz w:val="24"/>
                <w:szCs w:val="24"/>
              </w:rPr>
            </w:pPr>
          </w:p>
        </w:tc>
        <w:tc>
          <w:tcPr>
            <w:tcW w:w="2693" w:type="dxa"/>
            <w:gridSpan w:val="3"/>
            <w:vAlign w:val="center"/>
          </w:tcPr>
          <w:p w:rsidR="00FC160D" w:rsidRPr="00615A07" w:rsidRDefault="00FC160D" w:rsidP="006E028D">
            <w:pPr>
              <w:autoSpaceDE w:val="0"/>
              <w:autoSpaceDN w:val="0"/>
              <w:adjustRightInd w:val="0"/>
              <w:spacing w:line="240" w:lineRule="auto"/>
              <w:jc w:val="center"/>
              <w:rPr>
                <w:rFonts w:ascii="Times New Roman" w:hAnsi="Times New Roman" w:cs="Times New Roman"/>
                <w:b/>
                <w:bCs/>
                <w:snapToGrid w:val="0"/>
                <w:sz w:val="24"/>
                <w:szCs w:val="24"/>
              </w:rPr>
            </w:pPr>
            <w:r w:rsidRPr="00615A07">
              <w:rPr>
                <w:rFonts w:ascii="Times New Roman" w:hAnsi="Times New Roman" w:cs="Times New Roman"/>
                <w:b/>
                <w:bCs/>
                <w:snapToGrid w:val="0"/>
                <w:sz w:val="24"/>
                <w:szCs w:val="24"/>
              </w:rPr>
              <w:t>2017</w:t>
            </w:r>
          </w:p>
        </w:tc>
      </w:tr>
      <w:tr w:rsidR="006E028D" w:rsidRPr="00615A07" w:rsidTr="00615A07">
        <w:trPr>
          <w:trHeight w:val="81"/>
        </w:trPr>
        <w:tc>
          <w:tcPr>
            <w:tcW w:w="2546" w:type="dxa"/>
            <w:vMerge/>
            <w:vAlign w:val="center"/>
          </w:tcPr>
          <w:p w:rsidR="00FC160D" w:rsidRPr="00615A07" w:rsidRDefault="00FC160D" w:rsidP="006E028D">
            <w:pPr>
              <w:spacing w:line="240" w:lineRule="auto"/>
              <w:jc w:val="center"/>
              <w:rPr>
                <w:rFonts w:ascii="Times New Roman" w:hAnsi="Times New Roman" w:cs="Times New Roman"/>
                <w:b/>
                <w:bCs/>
                <w:sz w:val="24"/>
                <w:szCs w:val="24"/>
              </w:rPr>
            </w:pPr>
          </w:p>
        </w:tc>
        <w:tc>
          <w:tcPr>
            <w:tcW w:w="1242" w:type="dxa"/>
            <w:vMerge/>
            <w:vAlign w:val="center"/>
          </w:tcPr>
          <w:p w:rsidR="00FC160D" w:rsidRPr="00615A07" w:rsidRDefault="00FC160D" w:rsidP="006E028D">
            <w:pPr>
              <w:autoSpaceDE w:val="0"/>
              <w:autoSpaceDN w:val="0"/>
              <w:adjustRightInd w:val="0"/>
              <w:spacing w:line="240" w:lineRule="auto"/>
              <w:jc w:val="center"/>
              <w:rPr>
                <w:rFonts w:ascii="Times New Roman" w:hAnsi="Times New Roman" w:cs="Times New Roman"/>
                <w:b/>
                <w:bCs/>
                <w:snapToGrid w:val="0"/>
                <w:sz w:val="24"/>
                <w:szCs w:val="24"/>
              </w:rPr>
            </w:pPr>
          </w:p>
        </w:tc>
        <w:tc>
          <w:tcPr>
            <w:tcW w:w="850" w:type="dxa"/>
            <w:vAlign w:val="center"/>
          </w:tcPr>
          <w:p w:rsidR="00FC160D" w:rsidRPr="00615A07" w:rsidRDefault="00FC160D" w:rsidP="006E028D">
            <w:pPr>
              <w:autoSpaceDE w:val="0"/>
              <w:autoSpaceDN w:val="0"/>
              <w:adjustRightInd w:val="0"/>
              <w:spacing w:line="240" w:lineRule="auto"/>
              <w:jc w:val="center"/>
              <w:rPr>
                <w:rFonts w:ascii="Times New Roman" w:hAnsi="Times New Roman" w:cs="Times New Roman"/>
                <w:b/>
                <w:bCs/>
                <w:snapToGrid w:val="0"/>
                <w:sz w:val="24"/>
                <w:szCs w:val="24"/>
              </w:rPr>
            </w:pPr>
            <w:r w:rsidRPr="00615A07">
              <w:rPr>
                <w:rFonts w:ascii="Times New Roman" w:hAnsi="Times New Roman" w:cs="Times New Roman"/>
                <w:b/>
                <w:bCs/>
                <w:snapToGrid w:val="0"/>
                <w:sz w:val="24"/>
                <w:szCs w:val="24"/>
              </w:rPr>
              <w:t>Q1</w:t>
            </w:r>
          </w:p>
        </w:tc>
        <w:tc>
          <w:tcPr>
            <w:tcW w:w="992" w:type="dxa"/>
            <w:vAlign w:val="center"/>
          </w:tcPr>
          <w:p w:rsidR="00FC160D" w:rsidRPr="00615A07" w:rsidRDefault="00FC160D" w:rsidP="006E028D">
            <w:pPr>
              <w:autoSpaceDE w:val="0"/>
              <w:autoSpaceDN w:val="0"/>
              <w:adjustRightInd w:val="0"/>
              <w:spacing w:line="240" w:lineRule="auto"/>
              <w:jc w:val="center"/>
              <w:rPr>
                <w:rFonts w:ascii="Times New Roman" w:hAnsi="Times New Roman" w:cs="Times New Roman"/>
                <w:b/>
                <w:bCs/>
                <w:snapToGrid w:val="0"/>
                <w:sz w:val="24"/>
                <w:szCs w:val="24"/>
              </w:rPr>
            </w:pPr>
            <w:r w:rsidRPr="00615A07">
              <w:rPr>
                <w:rFonts w:ascii="Times New Roman" w:hAnsi="Times New Roman" w:cs="Times New Roman"/>
                <w:b/>
                <w:bCs/>
                <w:snapToGrid w:val="0"/>
                <w:sz w:val="24"/>
                <w:szCs w:val="24"/>
              </w:rPr>
              <w:t>Q2</w:t>
            </w:r>
          </w:p>
        </w:tc>
        <w:tc>
          <w:tcPr>
            <w:tcW w:w="851" w:type="dxa"/>
            <w:vAlign w:val="center"/>
          </w:tcPr>
          <w:p w:rsidR="00FC160D" w:rsidRPr="00615A07" w:rsidRDefault="00FC160D" w:rsidP="006E028D">
            <w:pPr>
              <w:autoSpaceDE w:val="0"/>
              <w:autoSpaceDN w:val="0"/>
              <w:adjustRightInd w:val="0"/>
              <w:spacing w:line="240" w:lineRule="auto"/>
              <w:jc w:val="center"/>
              <w:rPr>
                <w:rFonts w:ascii="Times New Roman" w:hAnsi="Times New Roman" w:cs="Times New Roman"/>
                <w:b/>
                <w:bCs/>
                <w:snapToGrid w:val="0"/>
                <w:sz w:val="24"/>
                <w:szCs w:val="24"/>
              </w:rPr>
            </w:pPr>
            <w:r w:rsidRPr="00615A07">
              <w:rPr>
                <w:rFonts w:ascii="Times New Roman" w:hAnsi="Times New Roman" w:cs="Times New Roman"/>
                <w:b/>
                <w:bCs/>
                <w:snapToGrid w:val="0"/>
                <w:sz w:val="24"/>
                <w:szCs w:val="24"/>
              </w:rPr>
              <w:t>Q3</w:t>
            </w:r>
          </w:p>
        </w:tc>
      </w:tr>
      <w:tr w:rsidR="006E028D" w:rsidRPr="00615A07" w:rsidTr="00615A07">
        <w:trPr>
          <w:trHeight w:val="327"/>
        </w:trPr>
        <w:tc>
          <w:tcPr>
            <w:tcW w:w="2546" w:type="dxa"/>
            <w:vAlign w:val="center"/>
          </w:tcPr>
          <w:p w:rsidR="00FC160D" w:rsidRPr="00615A07" w:rsidRDefault="00FC160D" w:rsidP="00FC160D">
            <w:pPr>
              <w:spacing w:line="240" w:lineRule="auto"/>
              <w:rPr>
                <w:rFonts w:ascii="Times New Roman" w:hAnsi="Times New Roman" w:cs="Times New Roman"/>
                <w:sz w:val="24"/>
                <w:szCs w:val="24"/>
              </w:rPr>
            </w:pPr>
            <w:r w:rsidRPr="00615A07">
              <w:rPr>
                <w:rFonts w:ascii="Times New Roman" w:hAnsi="Times New Roman" w:cs="Times New Roman"/>
                <w:sz w:val="24"/>
                <w:szCs w:val="24"/>
              </w:rPr>
              <w:t>Agriculture</w:t>
            </w:r>
          </w:p>
        </w:tc>
        <w:tc>
          <w:tcPr>
            <w:tcW w:w="1242" w:type="dxa"/>
            <w:vAlign w:val="center"/>
          </w:tcPr>
          <w:p w:rsidR="00FC160D" w:rsidRPr="00615A07" w:rsidRDefault="00FC160D" w:rsidP="00FC160D">
            <w:pPr>
              <w:autoSpaceDE w:val="0"/>
              <w:autoSpaceDN w:val="0"/>
              <w:adjustRightInd w:val="0"/>
              <w:spacing w:line="240" w:lineRule="auto"/>
              <w:rPr>
                <w:rFonts w:ascii="Times New Roman" w:hAnsi="Times New Roman" w:cs="Times New Roman"/>
                <w:snapToGrid w:val="0"/>
                <w:sz w:val="24"/>
                <w:szCs w:val="24"/>
              </w:rPr>
            </w:pPr>
            <w:r w:rsidRPr="00615A07">
              <w:rPr>
                <w:rFonts w:ascii="Times New Roman" w:hAnsi="Times New Roman" w:cs="Times New Roman"/>
                <w:snapToGrid w:val="0"/>
                <w:sz w:val="24"/>
                <w:szCs w:val="24"/>
              </w:rPr>
              <w:t>29%</w:t>
            </w:r>
          </w:p>
        </w:tc>
        <w:tc>
          <w:tcPr>
            <w:tcW w:w="850" w:type="dxa"/>
            <w:vAlign w:val="center"/>
          </w:tcPr>
          <w:p w:rsidR="00FC160D" w:rsidRPr="00615A07" w:rsidRDefault="00FC160D" w:rsidP="00FC160D">
            <w:pPr>
              <w:autoSpaceDE w:val="0"/>
              <w:autoSpaceDN w:val="0"/>
              <w:adjustRightInd w:val="0"/>
              <w:spacing w:line="240" w:lineRule="auto"/>
              <w:rPr>
                <w:rFonts w:ascii="Times New Roman" w:hAnsi="Times New Roman" w:cs="Times New Roman"/>
                <w:snapToGrid w:val="0"/>
                <w:sz w:val="24"/>
                <w:szCs w:val="24"/>
              </w:rPr>
            </w:pPr>
            <w:r w:rsidRPr="00615A07">
              <w:rPr>
                <w:rFonts w:ascii="Times New Roman" w:hAnsi="Times New Roman" w:cs="Times New Roman"/>
                <w:snapToGrid w:val="0"/>
                <w:sz w:val="24"/>
                <w:szCs w:val="24"/>
              </w:rPr>
              <w:t>+2.58</w:t>
            </w:r>
          </w:p>
        </w:tc>
        <w:tc>
          <w:tcPr>
            <w:tcW w:w="992" w:type="dxa"/>
            <w:vAlign w:val="center"/>
          </w:tcPr>
          <w:p w:rsidR="00FC160D" w:rsidRPr="00615A07" w:rsidRDefault="00FC160D" w:rsidP="00FC160D">
            <w:pPr>
              <w:autoSpaceDE w:val="0"/>
              <w:autoSpaceDN w:val="0"/>
              <w:adjustRightInd w:val="0"/>
              <w:spacing w:line="240" w:lineRule="auto"/>
              <w:rPr>
                <w:rFonts w:ascii="Times New Roman" w:hAnsi="Times New Roman" w:cs="Times New Roman"/>
                <w:snapToGrid w:val="0"/>
                <w:sz w:val="24"/>
                <w:szCs w:val="24"/>
              </w:rPr>
            </w:pPr>
            <w:r w:rsidRPr="00615A07">
              <w:rPr>
                <w:rFonts w:ascii="Times New Roman" w:hAnsi="Times New Roman" w:cs="Times New Roman"/>
                <w:snapToGrid w:val="0"/>
                <w:sz w:val="24"/>
                <w:szCs w:val="24"/>
              </w:rPr>
              <w:t>-8.12</w:t>
            </w:r>
          </w:p>
        </w:tc>
        <w:tc>
          <w:tcPr>
            <w:tcW w:w="851" w:type="dxa"/>
            <w:vAlign w:val="center"/>
          </w:tcPr>
          <w:p w:rsidR="00FC160D" w:rsidRPr="00615A07" w:rsidRDefault="006E028D" w:rsidP="00FC160D">
            <w:pPr>
              <w:autoSpaceDE w:val="0"/>
              <w:autoSpaceDN w:val="0"/>
              <w:adjustRightInd w:val="0"/>
              <w:spacing w:line="240" w:lineRule="auto"/>
              <w:rPr>
                <w:rFonts w:ascii="Times New Roman" w:hAnsi="Times New Roman" w:cs="Times New Roman"/>
                <w:snapToGrid w:val="0"/>
                <w:sz w:val="24"/>
                <w:szCs w:val="24"/>
              </w:rPr>
            </w:pPr>
            <w:r w:rsidRPr="00615A07">
              <w:rPr>
                <w:rFonts w:ascii="Times New Roman" w:hAnsi="Times New Roman" w:cs="Times New Roman"/>
                <w:snapToGrid w:val="0"/>
                <w:sz w:val="24"/>
                <w:szCs w:val="24"/>
              </w:rPr>
              <w:t>+6.26</w:t>
            </w:r>
          </w:p>
        </w:tc>
      </w:tr>
      <w:tr w:rsidR="006E028D" w:rsidRPr="00615A07" w:rsidTr="00615A07">
        <w:trPr>
          <w:trHeight w:val="275"/>
        </w:trPr>
        <w:tc>
          <w:tcPr>
            <w:tcW w:w="2546" w:type="dxa"/>
            <w:vAlign w:val="center"/>
          </w:tcPr>
          <w:p w:rsidR="00FC160D" w:rsidRPr="00615A07" w:rsidRDefault="00FC160D" w:rsidP="00FC160D">
            <w:pPr>
              <w:spacing w:line="240" w:lineRule="auto"/>
              <w:rPr>
                <w:rFonts w:ascii="Times New Roman" w:hAnsi="Times New Roman" w:cs="Times New Roman"/>
                <w:sz w:val="24"/>
                <w:szCs w:val="24"/>
              </w:rPr>
            </w:pPr>
            <w:r w:rsidRPr="00615A07">
              <w:rPr>
                <w:rFonts w:ascii="Times New Roman" w:hAnsi="Times New Roman" w:cs="Times New Roman"/>
                <w:sz w:val="24"/>
                <w:szCs w:val="24"/>
              </w:rPr>
              <w:t>Fishing</w:t>
            </w:r>
          </w:p>
        </w:tc>
        <w:tc>
          <w:tcPr>
            <w:tcW w:w="1242" w:type="dxa"/>
            <w:vAlign w:val="center"/>
          </w:tcPr>
          <w:p w:rsidR="00FC160D" w:rsidRPr="00615A07" w:rsidRDefault="00FC160D" w:rsidP="00FC160D">
            <w:pPr>
              <w:autoSpaceDE w:val="0"/>
              <w:autoSpaceDN w:val="0"/>
              <w:adjustRightInd w:val="0"/>
              <w:spacing w:line="240" w:lineRule="auto"/>
              <w:rPr>
                <w:rFonts w:ascii="Times New Roman" w:hAnsi="Times New Roman" w:cs="Times New Roman"/>
                <w:snapToGrid w:val="0"/>
                <w:sz w:val="24"/>
                <w:szCs w:val="24"/>
              </w:rPr>
            </w:pPr>
            <w:r w:rsidRPr="00615A07">
              <w:rPr>
                <w:rFonts w:ascii="Times New Roman" w:hAnsi="Times New Roman" w:cs="Times New Roman"/>
                <w:snapToGrid w:val="0"/>
                <w:sz w:val="24"/>
                <w:szCs w:val="24"/>
              </w:rPr>
              <w:t>0.10%</w:t>
            </w:r>
          </w:p>
        </w:tc>
        <w:tc>
          <w:tcPr>
            <w:tcW w:w="850" w:type="dxa"/>
            <w:vAlign w:val="center"/>
          </w:tcPr>
          <w:p w:rsidR="00FC160D" w:rsidRPr="00615A07" w:rsidRDefault="00FC160D" w:rsidP="00FC160D">
            <w:pPr>
              <w:autoSpaceDE w:val="0"/>
              <w:autoSpaceDN w:val="0"/>
              <w:adjustRightInd w:val="0"/>
              <w:spacing w:line="240" w:lineRule="auto"/>
              <w:rPr>
                <w:rFonts w:ascii="Times New Roman" w:hAnsi="Times New Roman" w:cs="Times New Roman"/>
                <w:snapToGrid w:val="0"/>
                <w:sz w:val="24"/>
                <w:szCs w:val="24"/>
              </w:rPr>
            </w:pPr>
            <w:r w:rsidRPr="00615A07">
              <w:rPr>
                <w:rFonts w:ascii="Times New Roman" w:hAnsi="Times New Roman" w:cs="Times New Roman"/>
                <w:snapToGrid w:val="0"/>
                <w:sz w:val="24"/>
                <w:szCs w:val="24"/>
              </w:rPr>
              <w:t>-24.05</w:t>
            </w:r>
          </w:p>
        </w:tc>
        <w:tc>
          <w:tcPr>
            <w:tcW w:w="992" w:type="dxa"/>
            <w:vAlign w:val="center"/>
          </w:tcPr>
          <w:p w:rsidR="00FC160D" w:rsidRPr="00615A07" w:rsidRDefault="00FC160D" w:rsidP="00FC160D">
            <w:pPr>
              <w:autoSpaceDE w:val="0"/>
              <w:autoSpaceDN w:val="0"/>
              <w:adjustRightInd w:val="0"/>
              <w:spacing w:line="240" w:lineRule="auto"/>
              <w:rPr>
                <w:rFonts w:ascii="Times New Roman" w:hAnsi="Times New Roman" w:cs="Times New Roman"/>
                <w:snapToGrid w:val="0"/>
                <w:sz w:val="24"/>
                <w:szCs w:val="24"/>
              </w:rPr>
            </w:pPr>
            <w:r w:rsidRPr="00615A07">
              <w:rPr>
                <w:rFonts w:ascii="Times New Roman" w:hAnsi="Times New Roman" w:cs="Times New Roman"/>
                <w:snapToGrid w:val="0"/>
                <w:sz w:val="24"/>
                <w:szCs w:val="24"/>
              </w:rPr>
              <w:t>+9.66</w:t>
            </w:r>
          </w:p>
        </w:tc>
        <w:tc>
          <w:tcPr>
            <w:tcW w:w="851" w:type="dxa"/>
            <w:vAlign w:val="center"/>
          </w:tcPr>
          <w:p w:rsidR="00FC160D" w:rsidRPr="00615A07" w:rsidRDefault="006E028D" w:rsidP="00FC160D">
            <w:pPr>
              <w:autoSpaceDE w:val="0"/>
              <w:autoSpaceDN w:val="0"/>
              <w:adjustRightInd w:val="0"/>
              <w:spacing w:line="240" w:lineRule="auto"/>
              <w:rPr>
                <w:rFonts w:ascii="Times New Roman" w:hAnsi="Times New Roman" w:cs="Times New Roman"/>
                <w:snapToGrid w:val="0"/>
                <w:sz w:val="24"/>
                <w:szCs w:val="24"/>
              </w:rPr>
            </w:pPr>
            <w:r w:rsidRPr="00615A07">
              <w:rPr>
                <w:rFonts w:ascii="Times New Roman" w:hAnsi="Times New Roman" w:cs="Times New Roman"/>
                <w:snapToGrid w:val="0"/>
                <w:sz w:val="24"/>
                <w:szCs w:val="24"/>
              </w:rPr>
              <w:t>-5.96</w:t>
            </w:r>
          </w:p>
        </w:tc>
      </w:tr>
      <w:tr w:rsidR="006E028D" w:rsidRPr="00615A07" w:rsidTr="00615A07">
        <w:trPr>
          <w:trHeight w:val="378"/>
        </w:trPr>
        <w:tc>
          <w:tcPr>
            <w:tcW w:w="2546" w:type="dxa"/>
            <w:vAlign w:val="center"/>
          </w:tcPr>
          <w:p w:rsidR="00FC160D" w:rsidRPr="00615A07" w:rsidRDefault="00FC160D" w:rsidP="00FC160D">
            <w:pPr>
              <w:spacing w:line="240" w:lineRule="auto"/>
              <w:rPr>
                <w:rFonts w:ascii="Times New Roman" w:hAnsi="Times New Roman" w:cs="Times New Roman"/>
                <w:sz w:val="24"/>
                <w:szCs w:val="24"/>
              </w:rPr>
            </w:pPr>
            <w:r w:rsidRPr="00615A07">
              <w:rPr>
                <w:rFonts w:ascii="Times New Roman" w:hAnsi="Times New Roman" w:cs="Times New Roman"/>
                <w:sz w:val="24"/>
                <w:szCs w:val="24"/>
              </w:rPr>
              <w:t>Mining and quarrying</w:t>
            </w:r>
          </w:p>
        </w:tc>
        <w:tc>
          <w:tcPr>
            <w:tcW w:w="1242" w:type="dxa"/>
            <w:vAlign w:val="center"/>
          </w:tcPr>
          <w:p w:rsidR="00FC160D" w:rsidRPr="00615A07" w:rsidRDefault="00FC160D" w:rsidP="00FC160D">
            <w:pPr>
              <w:autoSpaceDE w:val="0"/>
              <w:autoSpaceDN w:val="0"/>
              <w:adjustRightInd w:val="0"/>
              <w:spacing w:line="240" w:lineRule="auto"/>
              <w:rPr>
                <w:rFonts w:ascii="Times New Roman" w:hAnsi="Times New Roman" w:cs="Times New Roman"/>
                <w:snapToGrid w:val="0"/>
                <w:sz w:val="24"/>
                <w:szCs w:val="24"/>
              </w:rPr>
            </w:pPr>
            <w:r w:rsidRPr="00615A07">
              <w:rPr>
                <w:rFonts w:ascii="Times New Roman" w:hAnsi="Times New Roman" w:cs="Times New Roman"/>
                <w:snapToGrid w:val="0"/>
                <w:sz w:val="24"/>
                <w:szCs w:val="24"/>
              </w:rPr>
              <w:t>0.90%</w:t>
            </w:r>
          </w:p>
        </w:tc>
        <w:tc>
          <w:tcPr>
            <w:tcW w:w="850" w:type="dxa"/>
            <w:vAlign w:val="center"/>
          </w:tcPr>
          <w:p w:rsidR="00FC160D" w:rsidRPr="00615A07" w:rsidRDefault="00FC160D" w:rsidP="00FC160D">
            <w:pPr>
              <w:autoSpaceDE w:val="0"/>
              <w:autoSpaceDN w:val="0"/>
              <w:adjustRightInd w:val="0"/>
              <w:spacing w:line="240" w:lineRule="auto"/>
              <w:rPr>
                <w:rFonts w:ascii="Times New Roman" w:hAnsi="Times New Roman" w:cs="Times New Roman"/>
                <w:snapToGrid w:val="0"/>
                <w:sz w:val="24"/>
                <w:szCs w:val="24"/>
              </w:rPr>
            </w:pPr>
            <w:r w:rsidRPr="00615A07">
              <w:rPr>
                <w:rFonts w:ascii="Times New Roman" w:hAnsi="Times New Roman" w:cs="Times New Roman"/>
                <w:snapToGrid w:val="0"/>
                <w:sz w:val="24"/>
                <w:szCs w:val="24"/>
              </w:rPr>
              <w:t>+4.23</w:t>
            </w:r>
          </w:p>
        </w:tc>
        <w:tc>
          <w:tcPr>
            <w:tcW w:w="992" w:type="dxa"/>
            <w:vAlign w:val="center"/>
          </w:tcPr>
          <w:p w:rsidR="00FC160D" w:rsidRPr="00615A07" w:rsidRDefault="00FC160D" w:rsidP="00FC160D">
            <w:pPr>
              <w:autoSpaceDE w:val="0"/>
              <w:autoSpaceDN w:val="0"/>
              <w:adjustRightInd w:val="0"/>
              <w:spacing w:line="240" w:lineRule="auto"/>
              <w:rPr>
                <w:rFonts w:ascii="Times New Roman" w:hAnsi="Times New Roman" w:cs="Times New Roman"/>
                <w:snapToGrid w:val="0"/>
                <w:sz w:val="24"/>
                <w:szCs w:val="24"/>
              </w:rPr>
            </w:pPr>
            <w:r w:rsidRPr="00615A07">
              <w:rPr>
                <w:rFonts w:ascii="Times New Roman" w:hAnsi="Times New Roman" w:cs="Times New Roman"/>
                <w:snapToGrid w:val="0"/>
                <w:sz w:val="24"/>
                <w:szCs w:val="24"/>
              </w:rPr>
              <w:t>+1.78</w:t>
            </w:r>
          </w:p>
        </w:tc>
        <w:tc>
          <w:tcPr>
            <w:tcW w:w="851" w:type="dxa"/>
            <w:vAlign w:val="center"/>
          </w:tcPr>
          <w:p w:rsidR="00FC160D" w:rsidRPr="00615A07" w:rsidRDefault="006E028D" w:rsidP="00FC160D">
            <w:pPr>
              <w:autoSpaceDE w:val="0"/>
              <w:autoSpaceDN w:val="0"/>
              <w:adjustRightInd w:val="0"/>
              <w:spacing w:line="240" w:lineRule="auto"/>
              <w:rPr>
                <w:rFonts w:ascii="Times New Roman" w:hAnsi="Times New Roman" w:cs="Times New Roman"/>
                <w:snapToGrid w:val="0"/>
                <w:sz w:val="24"/>
                <w:szCs w:val="24"/>
              </w:rPr>
            </w:pPr>
            <w:r w:rsidRPr="00615A07">
              <w:rPr>
                <w:rFonts w:ascii="Times New Roman" w:hAnsi="Times New Roman" w:cs="Times New Roman"/>
                <w:snapToGrid w:val="0"/>
                <w:sz w:val="24"/>
                <w:szCs w:val="24"/>
              </w:rPr>
              <w:t>-0.78</w:t>
            </w:r>
          </w:p>
        </w:tc>
      </w:tr>
      <w:tr w:rsidR="006E028D" w:rsidRPr="00615A07" w:rsidTr="00615A07">
        <w:trPr>
          <w:trHeight w:val="257"/>
        </w:trPr>
        <w:tc>
          <w:tcPr>
            <w:tcW w:w="2546" w:type="dxa"/>
            <w:vAlign w:val="center"/>
          </w:tcPr>
          <w:p w:rsidR="00FC160D" w:rsidRPr="00615A07" w:rsidRDefault="00FC160D" w:rsidP="00FC160D">
            <w:pPr>
              <w:spacing w:line="240" w:lineRule="auto"/>
              <w:rPr>
                <w:rFonts w:ascii="Times New Roman" w:hAnsi="Times New Roman" w:cs="Times New Roman"/>
                <w:sz w:val="24"/>
                <w:szCs w:val="24"/>
              </w:rPr>
            </w:pPr>
            <w:r w:rsidRPr="00615A07">
              <w:rPr>
                <w:rFonts w:ascii="Times New Roman" w:hAnsi="Times New Roman" w:cs="Times New Roman"/>
                <w:sz w:val="24"/>
                <w:szCs w:val="24"/>
              </w:rPr>
              <w:t>Manufacturing</w:t>
            </w:r>
          </w:p>
        </w:tc>
        <w:tc>
          <w:tcPr>
            <w:tcW w:w="1242" w:type="dxa"/>
            <w:vAlign w:val="center"/>
          </w:tcPr>
          <w:p w:rsidR="00FC160D" w:rsidRPr="00615A07" w:rsidRDefault="00FC160D" w:rsidP="00FC160D">
            <w:pPr>
              <w:autoSpaceDE w:val="0"/>
              <w:autoSpaceDN w:val="0"/>
              <w:adjustRightInd w:val="0"/>
              <w:spacing w:line="240" w:lineRule="auto"/>
              <w:rPr>
                <w:rFonts w:ascii="Times New Roman" w:hAnsi="Times New Roman" w:cs="Times New Roman"/>
                <w:snapToGrid w:val="0"/>
                <w:sz w:val="24"/>
                <w:szCs w:val="24"/>
              </w:rPr>
            </w:pPr>
            <w:r w:rsidRPr="00615A07">
              <w:rPr>
                <w:rFonts w:ascii="Times New Roman" w:hAnsi="Times New Roman" w:cs="Times New Roman"/>
                <w:snapToGrid w:val="0"/>
                <w:sz w:val="24"/>
                <w:szCs w:val="24"/>
              </w:rPr>
              <w:t>70%</w:t>
            </w:r>
          </w:p>
        </w:tc>
        <w:tc>
          <w:tcPr>
            <w:tcW w:w="850" w:type="dxa"/>
            <w:vAlign w:val="center"/>
          </w:tcPr>
          <w:p w:rsidR="00FC160D" w:rsidRPr="00615A07" w:rsidRDefault="00FC160D" w:rsidP="00FC160D">
            <w:pPr>
              <w:autoSpaceDE w:val="0"/>
              <w:autoSpaceDN w:val="0"/>
              <w:adjustRightInd w:val="0"/>
              <w:spacing w:line="240" w:lineRule="auto"/>
              <w:rPr>
                <w:rFonts w:ascii="Times New Roman" w:hAnsi="Times New Roman" w:cs="Times New Roman"/>
                <w:snapToGrid w:val="0"/>
                <w:sz w:val="24"/>
                <w:szCs w:val="24"/>
              </w:rPr>
            </w:pPr>
            <w:r w:rsidRPr="00615A07">
              <w:rPr>
                <w:rFonts w:ascii="Times New Roman" w:hAnsi="Times New Roman" w:cs="Times New Roman"/>
                <w:snapToGrid w:val="0"/>
                <w:sz w:val="24"/>
                <w:szCs w:val="24"/>
              </w:rPr>
              <w:t>-0.58</w:t>
            </w:r>
          </w:p>
        </w:tc>
        <w:tc>
          <w:tcPr>
            <w:tcW w:w="992" w:type="dxa"/>
            <w:vAlign w:val="center"/>
          </w:tcPr>
          <w:p w:rsidR="00FC160D" w:rsidRPr="00615A07" w:rsidRDefault="00FC160D" w:rsidP="00FC160D">
            <w:pPr>
              <w:autoSpaceDE w:val="0"/>
              <w:autoSpaceDN w:val="0"/>
              <w:adjustRightInd w:val="0"/>
              <w:spacing w:line="240" w:lineRule="auto"/>
              <w:rPr>
                <w:rFonts w:ascii="Times New Roman" w:hAnsi="Times New Roman" w:cs="Times New Roman"/>
                <w:snapToGrid w:val="0"/>
                <w:sz w:val="24"/>
                <w:szCs w:val="24"/>
              </w:rPr>
            </w:pPr>
            <w:r w:rsidRPr="00615A07">
              <w:rPr>
                <w:rFonts w:ascii="Times New Roman" w:hAnsi="Times New Roman" w:cs="Times New Roman"/>
                <w:snapToGrid w:val="0"/>
                <w:sz w:val="24"/>
                <w:szCs w:val="24"/>
              </w:rPr>
              <w:t>-0.77</w:t>
            </w:r>
          </w:p>
        </w:tc>
        <w:tc>
          <w:tcPr>
            <w:tcW w:w="851" w:type="dxa"/>
            <w:vAlign w:val="center"/>
          </w:tcPr>
          <w:p w:rsidR="00FC160D" w:rsidRPr="00615A07" w:rsidRDefault="006E028D" w:rsidP="00FC160D">
            <w:pPr>
              <w:autoSpaceDE w:val="0"/>
              <w:autoSpaceDN w:val="0"/>
              <w:adjustRightInd w:val="0"/>
              <w:spacing w:line="240" w:lineRule="auto"/>
              <w:rPr>
                <w:rFonts w:ascii="Times New Roman" w:hAnsi="Times New Roman" w:cs="Times New Roman"/>
                <w:snapToGrid w:val="0"/>
                <w:sz w:val="24"/>
                <w:szCs w:val="24"/>
              </w:rPr>
            </w:pPr>
            <w:r w:rsidRPr="00615A07">
              <w:rPr>
                <w:rFonts w:ascii="Times New Roman" w:hAnsi="Times New Roman" w:cs="Times New Roman"/>
                <w:snapToGrid w:val="0"/>
                <w:sz w:val="24"/>
                <w:szCs w:val="24"/>
              </w:rPr>
              <w:t>+0.31</w:t>
            </w:r>
          </w:p>
        </w:tc>
      </w:tr>
      <w:tr w:rsidR="006E028D" w:rsidRPr="00615A07" w:rsidTr="00615A07">
        <w:tc>
          <w:tcPr>
            <w:tcW w:w="2546" w:type="dxa"/>
            <w:vAlign w:val="center"/>
          </w:tcPr>
          <w:p w:rsidR="00FC160D" w:rsidRPr="00615A07" w:rsidRDefault="00FC160D" w:rsidP="00FC160D">
            <w:pPr>
              <w:spacing w:line="240" w:lineRule="auto"/>
              <w:rPr>
                <w:rFonts w:ascii="Times New Roman" w:hAnsi="Times New Roman" w:cs="Times New Roman"/>
                <w:b/>
                <w:bCs/>
                <w:sz w:val="24"/>
                <w:szCs w:val="24"/>
              </w:rPr>
            </w:pPr>
            <w:r w:rsidRPr="00615A07">
              <w:rPr>
                <w:rFonts w:ascii="Times New Roman" w:hAnsi="Times New Roman" w:cs="Times New Roman"/>
                <w:b/>
                <w:bCs/>
                <w:sz w:val="24"/>
                <w:szCs w:val="24"/>
              </w:rPr>
              <w:t>All Items Price Index</w:t>
            </w:r>
          </w:p>
        </w:tc>
        <w:tc>
          <w:tcPr>
            <w:tcW w:w="1242" w:type="dxa"/>
            <w:vAlign w:val="center"/>
          </w:tcPr>
          <w:p w:rsidR="00FC160D" w:rsidRPr="00615A07" w:rsidRDefault="00FC160D" w:rsidP="00FC160D">
            <w:pPr>
              <w:autoSpaceDE w:val="0"/>
              <w:autoSpaceDN w:val="0"/>
              <w:adjustRightInd w:val="0"/>
              <w:spacing w:line="240" w:lineRule="auto"/>
              <w:rPr>
                <w:rFonts w:ascii="Times New Roman" w:hAnsi="Times New Roman" w:cs="Times New Roman"/>
                <w:b/>
                <w:bCs/>
                <w:snapToGrid w:val="0"/>
                <w:sz w:val="24"/>
                <w:szCs w:val="24"/>
              </w:rPr>
            </w:pPr>
            <w:r w:rsidRPr="00615A07">
              <w:rPr>
                <w:rFonts w:ascii="Times New Roman" w:hAnsi="Times New Roman" w:cs="Times New Roman"/>
                <w:b/>
                <w:bCs/>
                <w:snapToGrid w:val="0"/>
                <w:sz w:val="24"/>
                <w:szCs w:val="24"/>
              </w:rPr>
              <w:t>100%</w:t>
            </w:r>
          </w:p>
        </w:tc>
        <w:tc>
          <w:tcPr>
            <w:tcW w:w="850" w:type="dxa"/>
            <w:vAlign w:val="center"/>
          </w:tcPr>
          <w:p w:rsidR="00FC160D" w:rsidRPr="00615A07" w:rsidRDefault="00FC160D" w:rsidP="00FC160D">
            <w:pPr>
              <w:autoSpaceDE w:val="0"/>
              <w:autoSpaceDN w:val="0"/>
              <w:adjustRightInd w:val="0"/>
              <w:spacing w:line="240" w:lineRule="auto"/>
              <w:rPr>
                <w:rFonts w:ascii="Times New Roman" w:hAnsi="Times New Roman" w:cs="Times New Roman"/>
                <w:b/>
                <w:bCs/>
                <w:snapToGrid w:val="0"/>
                <w:sz w:val="24"/>
                <w:szCs w:val="24"/>
              </w:rPr>
            </w:pPr>
            <w:r w:rsidRPr="00615A07">
              <w:rPr>
                <w:rFonts w:ascii="Times New Roman" w:hAnsi="Times New Roman" w:cs="Times New Roman"/>
                <w:b/>
                <w:bCs/>
                <w:snapToGrid w:val="0"/>
                <w:sz w:val="24"/>
                <w:szCs w:val="24"/>
              </w:rPr>
              <w:t>+0.39</w:t>
            </w:r>
          </w:p>
        </w:tc>
        <w:tc>
          <w:tcPr>
            <w:tcW w:w="992" w:type="dxa"/>
            <w:vAlign w:val="center"/>
          </w:tcPr>
          <w:p w:rsidR="00FC160D" w:rsidRPr="00615A07" w:rsidRDefault="00FC160D" w:rsidP="00FC160D">
            <w:pPr>
              <w:autoSpaceDE w:val="0"/>
              <w:autoSpaceDN w:val="0"/>
              <w:adjustRightInd w:val="0"/>
              <w:spacing w:line="240" w:lineRule="auto"/>
              <w:rPr>
                <w:rFonts w:ascii="Times New Roman" w:hAnsi="Times New Roman" w:cs="Times New Roman"/>
                <w:b/>
                <w:bCs/>
                <w:snapToGrid w:val="0"/>
                <w:sz w:val="24"/>
                <w:szCs w:val="24"/>
              </w:rPr>
            </w:pPr>
            <w:r w:rsidRPr="00615A07">
              <w:rPr>
                <w:rFonts w:ascii="Times New Roman" w:hAnsi="Times New Roman" w:cs="Times New Roman"/>
                <w:b/>
                <w:bCs/>
                <w:snapToGrid w:val="0"/>
                <w:sz w:val="24"/>
                <w:szCs w:val="24"/>
              </w:rPr>
              <w:t>-3.04</w:t>
            </w:r>
          </w:p>
        </w:tc>
        <w:tc>
          <w:tcPr>
            <w:tcW w:w="851" w:type="dxa"/>
            <w:vAlign w:val="center"/>
          </w:tcPr>
          <w:p w:rsidR="00FC160D" w:rsidRPr="00615A07" w:rsidRDefault="006E028D" w:rsidP="00FC160D">
            <w:pPr>
              <w:autoSpaceDE w:val="0"/>
              <w:autoSpaceDN w:val="0"/>
              <w:adjustRightInd w:val="0"/>
              <w:spacing w:line="240" w:lineRule="auto"/>
              <w:rPr>
                <w:rFonts w:ascii="Times New Roman" w:hAnsi="Times New Roman" w:cs="Times New Roman"/>
                <w:b/>
                <w:bCs/>
                <w:snapToGrid w:val="0"/>
                <w:sz w:val="24"/>
                <w:szCs w:val="24"/>
              </w:rPr>
            </w:pPr>
            <w:r w:rsidRPr="00615A07">
              <w:rPr>
                <w:rFonts w:ascii="Times New Roman" w:hAnsi="Times New Roman" w:cs="Times New Roman"/>
                <w:b/>
                <w:bCs/>
                <w:snapToGrid w:val="0"/>
                <w:sz w:val="24"/>
                <w:szCs w:val="24"/>
              </w:rPr>
              <w:t>+2.06</w:t>
            </w:r>
          </w:p>
        </w:tc>
      </w:tr>
    </w:tbl>
    <w:p w:rsidR="00FC160D" w:rsidRDefault="00FC160D" w:rsidP="006E028D">
      <w:pPr>
        <w:autoSpaceDE w:val="0"/>
        <w:autoSpaceDN w:val="0"/>
        <w:adjustRightInd w:val="0"/>
        <w:spacing w:line="240" w:lineRule="auto"/>
        <w:jc w:val="both"/>
        <w:rPr>
          <w:rFonts w:ascii="Times New Roman" w:hAnsi="Times New Roman" w:cs="Times New Roman"/>
          <w:sz w:val="24"/>
          <w:szCs w:val="24"/>
        </w:rPr>
      </w:pPr>
    </w:p>
    <w:p w:rsidR="00051D73" w:rsidRDefault="00051D73" w:rsidP="006E028D">
      <w:pPr>
        <w:autoSpaceDE w:val="0"/>
        <w:autoSpaceDN w:val="0"/>
        <w:adjustRightInd w:val="0"/>
        <w:spacing w:line="240" w:lineRule="auto"/>
        <w:jc w:val="both"/>
        <w:rPr>
          <w:rFonts w:ascii="Times New Roman" w:hAnsi="Times New Roman" w:cs="Times New Roman"/>
          <w:sz w:val="24"/>
          <w:szCs w:val="24"/>
        </w:rPr>
      </w:pPr>
    </w:p>
    <w:p w:rsidR="00051D73" w:rsidRDefault="00051D73" w:rsidP="006E028D">
      <w:pPr>
        <w:autoSpaceDE w:val="0"/>
        <w:autoSpaceDN w:val="0"/>
        <w:adjustRightInd w:val="0"/>
        <w:spacing w:line="240" w:lineRule="auto"/>
        <w:jc w:val="both"/>
        <w:rPr>
          <w:rFonts w:ascii="Times New Roman" w:hAnsi="Times New Roman" w:cs="Times New Roman"/>
          <w:sz w:val="24"/>
          <w:szCs w:val="24"/>
        </w:rPr>
      </w:pPr>
    </w:p>
    <w:p w:rsidR="00051D73" w:rsidRDefault="00051D73" w:rsidP="006E028D">
      <w:pPr>
        <w:autoSpaceDE w:val="0"/>
        <w:autoSpaceDN w:val="0"/>
        <w:adjustRightInd w:val="0"/>
        <w:spacing w:line="240" w:lineRule="auto"/>
        <w:jc w:val="both"/>
        <w:rPr>
          <w:rFonts w:ascii="Times New Roman" w:hAnsi="Times New Roman" w:cs="Times New Roman"/>
          <w:sz w:val="24"/>
          <w:szCs w:val="24"/>
        </w:rPr>
      </w:pPr>
    </w:p>
    <w:p w:rsidR="00051D73" w:rsidRDefault="00051D73" w:rsidP="006E028D">
      <w:pPr>
        <w:autoSpaceDE w:val="0"/>
        <w:autoSpaceDN w:val="0"/>
        <w:adjustRightInd w:val="0"/>
        <w:spacing w:line="240" w:lineRule="auto"/>
        <w:jc w:val="both"/>
        <w:rPr>
          <w:rFonts w:ascii="Times New Roman" w:hAnsi="Times New Roman" w:cs="Times New Roman"/>
          <w:sz w:val="24"/>
          <w:szCs w:val="24"/>
        </w:rPr>
      </w:pPr>
    </w:p>
    <w:p w:rsidR="00051D73" w:rsidRDefault="00051D73" w:rsidP="006E028D">
      <w:pPr>
        <w:autoSpaceDE w:val="0"/>
        <w:autoSpaceDN w:val="0"/>
        <w:adjustRightInd w:val="0"/>
        <w:spacing w:line="240" w:lineRule="auto"/>
        <w:jc w:val="both"/>
        <w:rPr>
          <w:rFonts w:ascii="Times New Roman" w:hAnsi="Times New Roman" w:cs="Times New Roman"/>
          <w:sz w:val="24"/>
          <w:szCs w:val="24"/>
        </w:rPr>
      </w:pPr>
    </w:p>
    <w:p w:rsidR="00051D73" w:rsidRDefault="00051D73" w:rsidP="006E028D">
      <w:pPr>
        <w:autoSpaceDE w:val="0"/>
        <w:autoSpaceDN w:val="0"/>
        <w:adjustRightInd w:val="0"/>
        <w:spacing w:line="240" w:lineRule="auto"/>
        <w:jc w:val="both"/>
        <w:rPr>
          <w:rFonts w:ascii="Times New Roman" w:hAnsi="Times New Roman" w:cs="Times New Roman"/>
          <w:sz w:val="24"/>
          <w:szCs w:val="24"/>
        </w:rPr>
      </w:pPr>
    </w:p>
    <w:p w:rsidR="00051D73" w:rsidRDefault="00051D73" w:rsidP="006E028D">
      <w:pPr>
        <w:autoSpaceDE w:val="0"/>
        <w:autoSpaceDN w:val="0"/>
        <w:adjustRightInd w:val="0"/>
        <w:spacing w:line="240" w:lineRule="auto"/>
        <w:jc w:val="both"/>
        <w:rPr>
          <w:rFonts w:ascii="Times New Roman" w:hAnsi="Times New Roman" w:cs="Times New Roman"/>
          <w:sz w:val="24"/>
          <w:szCs w:val="24"/>
        </w:rPr>
      </w:pPr>
    </w:p>
    <w:p w:rsidR="00051D73" w:rsidRDefault="00051D73" w:rsidP="006E028D">
      <w:pPr>
        <w:autoSpaceDE w:val="0"/>
        <w:autoSpaceDN w:val="0"/>
        <w:adjustRightInd w:val="0"/>
        <w:spacing w:line="240" w:lineRule="auto"/>
        <w:jc w:val="both"/>
        <w:rPr>
          <w:rFonts w:ascii="Times New Roman" w:hAnsi="Times New Roman" w:cs="Times New Roman"/>
          <w:sz w:val="24"/>
          <w:szCs w:val="24"/>
        </w:rPr>
      </w:pPr>
    </w:p>
    <w:p w:rsidR="00051D73" w:rsidRDefault="00051D73" w:rsidP="006E028D">
      <w:pPr>
        <w:autoSpaceDE w:val="0"/>
        <w:autoSpaceDN w:val="0"/>
        <w:adjustRightInd w:val="0"/>
        <w:spacing w:line="240" w:lineRule="auto"/>
        <w:jc w:val="both"/>
        <w:rPr>
          <w:rFonts w:ascii="Times New Roman" w:hAnsi="Times New Roman" w:cs="Times New Roman"/>
          <w:sz w:val="24"/>
          <w:szCs w:val="24"/>
        </w:rPr>
      </w:pPr>
    </w:p>
    <w:p w:rsidR="00051D73" w:rsidRDefault="00051D73" w:rsidP="006E028D">
      <w:pPr>
        <w:autoSpaceDE w:val="0"/>
        <w:autoSpaceDN w:val="0"/>
        <w:adjustRightInd w:val="0"/>
        <w:spacing w:line="240" w:lineRule="auto"/>
        <w:jc w:val="both"/>
        <w:rPr>
          <w:rFonts w:ascii="Times New Roman" w:hAnsi="Times New Roman" w:cs="Times New Roman"/>
          <w:sz w:val="24"/>
          <w:szCs w:val="24"/>
        </w:rPr>
      </w:pPr>
    </w:p>
    <w:p w:rsidR="00051D73" w:rsidRPr="00615A07" w:rsidRDefault="00051D73" w:rsidP="006E028D">
      <w:pPr>
        <w:autoSpaceDE w:val="0"/>
        <w:autoSpaceDN w:val="0"/>
        <w:adjustRightInd w:val="0"/>
        <w:spacing w:line="240" w:lineRule="auto"/>
        <w:jc w:val="both"/>
        <w:rPr>
          <w:rFonts w:ascii="Times New Roman" w:hAnsi="Times New Roman" w:cs="Times New Roman"/>
          <w:sz w:val="16"/>
          <w:szCs w:val="16"/>
        </w:rPr>
      </w:pPr>
    </w:p>
    <w:p w:rsidR="00FC160D" w:rsidRPr="00FC160D" w:rsidRDefault="00FC160D" w:rsidP="00FC160D">
      <w:pPr>
        <w:pStyle w:val="BodyText2"/>
        <w:bidi w:val="0"/>
        <w:spacing w:after="0" w:line="240" w:lineRule="auto"/>
        <w:jc w:val="both"/>
        <w:outlineLvl w:val="0"/>
      </w:pPr>
      <w:r w:rsidRPr="00FC160D">
        <w:rPr>
          <w:vertAlign w:val="superscript"/>
        </w:rPr>
        <w:t>1</w:t>
      </w:r>
      <w:r w:rsidRPr="00FC160D">
        <w:t xml:space="preserve"> </w:t>
      </w:r>
      <w:r w:rsidRPr="00FC160D">
        <w:rPr>
          <w:sz w:val="20"/>
          <w:szCs w:val="20"/>
        </w:rPr>
        <w:t>The resale (sale without transformation) of new and used goods to retailers, industrial, commercial, institutional or professional users, to other wholesalers, or to those acting as agents or brokers in buying merchandise for, or selling merchandise to such persons or companies.  The wholesale price includes VAT and any transport charges.</w:t>
      </w:r>
      <w:r w:rsidRPr="00FC160D">
        <w:t xml:space="preserve"> </w:t>
      </w:r>
    </w:p>
    <w:p w:rsidR="006E028D" w:rsidRPr="00615A07" w:rsidRDefault="006E028D" w:rsidP="00D3221B">
      <w:pPr>
        <w:pStyle w:val="BodyText2"/>
        <w:bidi w:val="0"/>
        <w:spacing w:after="0" w:line="240" w:lineRule="auto"/>
        <w:outlineLvl w:val="0"/>
        <w:rPr>
          <w:b/>
          <w:bCs/>
          <w:sz w:val="16"/>
          <w:szCs w:val="16"/>
        </w:rPr>
      </w:pPr>
    </w:p>
    <w:p w:rsidR="00FC160D" w:rsidRPr="00615A07" w:rsidRDefault="00FC160D" w:rsidP="006E028D">
      <w:pPr>
        <w:pStyle w:val="BodyText2"/>
        <w:bidi w:val="0"/>
        <w:spacing w:after="0" w:line="240" w:lineRule="auto"/>
        <w:jc w:val="center"/>
        <w:outlineLvl w:val="0"/>
        <w:rPr>
          <w:sz w:val="25"/>
          <w:szCs w:val="25"/>
        </w:rPr>
      </w:pPr>
      <w:r w:rsidRPr="00615A07">
        <w:rPr>
          <w:b/>
          <w:bCs/>
          <w:sz w:val="25"/>
          <w:szCs w:val="25"/>
        </w:rPr>
        <w:t xml:space="preserve">The Wholesale Price Index in Palestine for </w:t>
      </w:r>
      <w:r w:rsidR="006E028D" w:rsidRPr="00615A07">
        <w:rPr>
          <w:b/>
          <w:bCs/>
          <w:kern w:val="36"/>
          <w:sz w:val="25"/>
          <w:szCs w:val="25"/>
        </w:rPr>
        <w:t>Third</w:t>
      </w:r>
      <w:r w:rsidRPr="00615A07">
        <w:rPr>
          <w:b/>
          <w:bCs/>
          <w:kern w:val="36"/>
          <w:sz w:val="25"/>
          <w:szCs w:val="25"/>
        </w:rPr>
        <w:t xml:space="preserve"> </w:t>
      </w:r>
      <w:r w:rsidRPr="00615A07">
        <w:rPr>
          <w:b/>
          <w:bCs/>
          <w:sz w:val="25"/>
          <w:szCs w:val="25"/>
        </w:rPr>
        <w:t>quarter 2015 –</w:t>
      </w:r>
      <w:r w:rsidRPr="00615A07">
        <w:rPr>
          <w:b/>
          <w:bCs/>
          <w:color w:val="000000"/>
          <w:sz w:val="25"/>
          <w:szCs w:val="25"/>
        </w:rPr>
        <w:t xml:space="preserve"> </w:t>
      </w:r>
      <w:r w:rsidR="006E028D" w:rsidRPr="00615A07">
        <w:rPr>
          <w:b/>
          <w:bCs/>
          <w:kern w:val="36"/>
          <w:sz w:val="25"/>
          <w:szCs w:val="25"/>
        </w:rPr>
        <w:t>Third</w:t>
      </w:r>
      <w:r w:rsidRPr="00615A07">
        <w:rPr>
          <w:b/>
          <w:bCs/>
          <w:kern w:val="36"/>
          <w:sz w:val="25"/>
          <w:szCs w:val="25"/>
        </w:rPr>
        <w:t xml:space="preserve"> </w:t>
      </w:r>
      <w:r w:rsidRPr="00615A07">
        <w:rPr>
          <w:b/>
          <w:bCs/>
          <w:color w:val="000000"/>
          <w:sz w:val="25"/>
          <w:szCs w:val="25"/>
        </w:rPr>
        <w:t>quarter 2017</w:t>
      </w:r>
    </w:p>
    <w:p w:rsidR="00FC160D" w:rsidRPr="00615A07" w:rsidRDefault="00FC160D" w:rsidP="006E028D">
      <w:pPr>
        <w:spacing w:line="240" w:lineRule="auto"/>
        <w:jc w:val="center"/>
        <w:rPr>
          <w:rFonts w:ascii="Times New Roman" w:hAnsi="Times New Roman" w:cs="Times New Roman"/>
          <w:b/>
          <w:bCs/>
          <w:sz w:val="25"/>
          <w:szCs w:val="25"/>
        </w:rPr>
      </w:pPr>
      <w:r w:rsidRPr="00615A07">
        <w:rPr>
          <w:rFonts w:ascii="Times New Roman" w:hAnsi="Times New Roman" w:cs="Times New Roman"/>
          <w:b/>
          <w:bCs/>
          <w:sz w:val="25"/>
          <w:szCs w:val="25"/>
        </w:rPr>
        <w:t>(Base year 2007=100)</w:t>
      </w:r>
    </w:p>
    <w:p w:rsidR="006E028D" w:rsidRPr="006E028D" w:rsidRDefault="006E028D" w:rsidP="00615A07">
      <w:pPr>
        <w:spacing w:line="240" w:lineRule="auto"/>
        <w:rPr>
          <w:rFonts w:ascii="Times New Roman" w:hAnsi="Times New Roman" w:cs="Times New Roman"/>
          <w:b/>
          <w:bCs/>
          <w:sz w:val="10"/>
          <w:szCs w:val="10"/>
        </w:rPr>
      </w:pPr>
    </w:p>
    <w:tbl>
      <w:tblPr>
        <w:tblStyle w:val="TableGrid"/>
        <w:tblpPr w:leftFromText="180" w:rightFromText="180" w:vertAnchor="text" w:tblpXSpec="center" w:tblpY="1"/>
        <w:tblOverlap w:val="never"/>
        <w:tblW w:w="0" w:type="auto"/>
        <w:tblLook w:val="04A0"/>
      </w:tblPr>
      <w:tblGrid>
        <w:gridCol w:w="5076"/>
      </w:tblGrid>
      <w:tr w:rsidR="006E028D" w:rsidTr="00CD6162">
        <w:tc>
          <w:tcPr>
            <w:tcW w:w="4968" w:type="dxa"/>
          </w:tcPr>
          <w:p w:rsidR="006E028D" w:rsidRDefault="006E028D" w:rsidP="00615A07">
            <w:pPr>
              <w:pBdr>
                <w:top w:val="none" w:sz="0" w:space="0" w:color="auto"/>
                <w:left w:val="none" w:sz="0" w:space="0" w:color="auto"/>
                <w:bottom w:val="none" w:sz="0" w:space="0" w:color="auto"/>
                <w:right w:val="none" w:sz="0" w:space="0" w:color="auto"/>
                <w:between w:val="none" w:sz="0" w:space="0" w:color="auto"/>
              </w:pBdr>
              <w:spacing w:line="240" w:lineRule="auto"/>
              <w:jc w:val="center"/>
              <w:rPr>
                <w:rFonts w:ascii="Times New Roman" w:hAnsi="Times New Roman" w:cs="Times New Roman"/>
                <w:b/>
                <w:bCs/>
                <w:sz w:val="24"/>
                <w:szCs w:val="24"/>
              </w:rPr>
            </w:pPr>
            <w:r w:rsidRPr="006E028D">
              <w:rPr>
                <w:rFonts w:ascii="Times New Roman" w:hAnsi="Times New Roman" w:cs="Times New Roman"/>
                <w:b/>
                <w:bCs/>
                <w:noProof/>
                <w:sz w:val="24"/>
                <w:szCs w:val="24"/>
                <w:lang w:eastAsia="en-US"/>
              </w:rPr>
              <w:drawing>
                <wp:inline distT="0" distB="0" distL="0" distR="0">
                  <wp:extent cx="3086100" cy="2190750"/>
                  <wp:effectExtent l="0" t="0" r="0" b="0"/>
                  <wp:docPr id="4"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rsidR="00B872E5" w:rsidRPr="00946AF7" w:rsidRDefault="00615A07" w:rsidP="00FC160D">
      <w:pPr>
        <w:spacing w:line="240" w:lineRule="auto"/>
        <w:rPr>
          <w:rFonts w:asciiTheme="majorBidi" w:hAnsiTheme="majorBidi" w:cstheme="majorBidi"/>
          <w:szCs w:val="24"/>
        </w:rPr>
      </w:pPr>
      <w:r>
        <w:rPr>
          <w:rFonts w:asciiTheme="majorBidi" w:hAnsiTheme="majorBidi" w:cstheme="majorBidi"/>
          <w:szCs w:val="24"/>
        </w:rPr>
        <w:br w:type="textWrapping" w:clear="all"/>
      </w:r>
    </w:p>
    <w:sectPr w:rsidR="00B872E5" w:rsidRPr="00946AF7" w:rsidSect="00615A07">
      <w:headerReference w:type="default" r:id="rId9"/>
      <w:footerReference w:type="even" r:id="rId10"/>
      <w:footerReference w:type="default" r:id="rId11"/>
      <w:pgSz w:w="11900" w:h="16840" w:code="9"/>
      <w:pgMar w:top="720" w:right="720" w:bottom="720" w:left="720" w:header="709" w:footer="737" w:gutter="0"/>
      <w:cols w:space="79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651" w:rsidRDefault="00B86651" w:rsidP="0089530C">
      <w:r>
        <w:separator/>
      </w:r>
    </w:p>
  </w:endnote>
  <w:endnote w:type="continuationSeparator" w:id="0">
    <w:p w:rsidR="00B86651" w:rsidRDefault="00B86651" w:rsidP="008953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dobeArabic-Regular">
    <w:charset w:val="00"/>
    <w:family w:val="auto"/>
    <w:pitch w:val="variable"/>
    <w:sig w:usb0="8000202F" w:usb1="8000A04A"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9CE" w:rsidRDefault="00783CFA" w:rsidP="00B872E5">
    <w:pPr>
      <w:pStyle w:val="Footer"/>
      <w:framePr w:wrap="none" w:vAnchor="text" w:hAnchor="margin" w:xAlign="center" w:y="1"/>
      <w:rPr>
        <w:rStyle w:val="PageNumber"/>
      </w:rPr>
    </w:pPr>
    <w:r>
      <w:rPr>
        <w:rStyle w:val="PageNumber"/>
      </w:rPr>
      <w:fldChar w:fldCharType="begin"/>
    </w:r>
    <w:r w:rsidR="009779CE">
      <w:rPr>
        <w:rStyle w:val="PageNumber"/>
      </w:rPr>
      <w:instrText xml:space="preserve">PAGE  </w:instrText>
    </w:r>
    <w:r>
      <w:rPr>
        <w:rStyle w:val="PageNumber"/>
      </w:rPr>
      <w:fldChar w:fldCharType="end"/>
    </w:r>
  </w:p>
  <w:p w:rsidR="009779CE" w:rsidRDefault="00783CFA" w:rsidP="00B872E5">
    <w:pPr>
      <w:pStyle w:val="Footer"/>
      <w:framePr w:wrap="none" w:vAnchor="text" w:hAnchor="margin" w:y="1"/>
      <w:rPr>
        <w:rStyle w:val="PageNumber"/>
      </w:rPr>
    </w:pPr>
    <w:r>
      <w:rPr>
        <w:rStyle w:val="PageNumber"/>
      </w:rPr>
      <w:fldChar w:fldCharType="begin"/>
    </w:r>
    <w:r w:rsidR="009779CE">
      <w:rPr>
        <w:rStyle w:val="PageNumber"/>
      </w:rPr>
      <w:instrText xml:space="preserve">PAGE  </w:instrText>
    </w:r>
    <w:r>
      <w:rPr>
        <w:rStyle w:val="PageNumber"/>
      </w:rPr>
      <w:fldChar w:fldCharType="end"/>
    </w:r>
  </w:p>
  <w:p w:rsidR="009779CE" w:rsidRDefault="009779CE" w:rsidP="0020755C">
    <w:pPr>
      <w:pStyle w:val="Footer"/>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9CE" w:rsidRDefault="00783CFA" w:rsidP="0020755C">
    <w:pPr>
      <w:pStyle w:val="Footer"/>
      <w:framePr w:wrap="none" w:vAnchor="text" w:hAnchor="page" w:x="5902" w:y="391"/>
      <w:rPr>
        <w:rStyle w:val="PageNumber"/>
      </w:rPr>
    </w:pPr>
    <w:r>
      <w:rPr>
        <w:rStyle w:val="PageNumber"/>
      </w:rPr>
      <w:fldChar w:fldCharType="begin"/>
    </w:r>
    <w:r w:rsidR="009779CE">
      <w:rPr>
        <w:rStyle w:val="PageNumber"/>
      </w:rPr>
      <w:instrText xml:space="preserve">PAGE  </w:instrText>
    </w:r>
    <w:r>
      <w:rPr>
        <w:rStyle w:val="PageNumber"/>
      </w:rPr>
      <w:fldChar w:fldCharType="separate"/>
    </w:r>
    <w:r w:rsidR="00CD6162">
      <w:rPr>
        <w:rStyle w:val="PageNumber"/>
        <w:noProof/>
      </w:rPr>
      <w:t>1</w:t>
    </w:r>
    <w:r>
      <w:rPr>
        <w:rStyle w:val="PageNumber"/>
      </w:rPr>
      <w:fldChar w:fldCharType="end"/>
    </w:r>
  </w:p>
  <w:p w:rsidR="009779CE" w:rsidRDefault="00615A07" w:rsidP="0020755C">
    <w:pPr>
      <w:pStyle w:val="Footer"/>
      <w:ind w:firstLine="360"/>
    </w:pPr>
    <w:r>
      <w:rPr>
        <w:noProof/>
      </w:rPr>
      <w:drawing>
        <wp:anchor distT="0" distB="0" distL="114300" distR="114300" simplePos="0" relativeHeight="251664384" behindDoc="1" locked="0" layoutInCell="1" allowOverlap="1">
          <wp:simplePos x="0" y="0"/>
          <wp:positionH relativeFrom="column">
            <wp:posOffset>-733425</wp:posOffset>
          </wp:positionH>
          <wp:positionV relativeFrom="paragraph">
            <wp:posOffset>-371474</wp:posOffset>
          </wp:positionV>
          <wp:extent cx="7839075" cy="876300"/>
          <wp:effectExtent l="1905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 footer.pdf"/>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xmlns:arto="http://schemas.microsoft.com/office/word/2006/arto" val="0"/>
                      </a:ext>
                    </a:extLst>
                  </a:blip>
                  <a:stretch>
                    <a:fillRect/>
                  </a:stretch>
                </pic:blipFill>
                <pic:spPr>
                  <a:xfrm>
                    <a:off x="0" y="0"/>
                    <a:ext cx="7839075" cy="876300"/>
                  </a:xfrm>
                  <a:prstGeom prst="rect">
                    <a:avLst/>
                  </a:prstGeom>
                </pic:spPr>
              </pic:pic>
            </a:graphicData>
          </a:graphic>
        </wp:anchor>
      </w:drawing>
    </w:r>
    <w:r w:rsidR="00783CFA">
      <w:rPr>
        <w:noProof/>
      </w:rPr>
      <w:pict>
        <v:shapetype id="_x0000_t202" coordsize="21600,21600" o:spt="202" path="m,l,21600r21600,l21600,xe">
          <v:stroke joinstyle="miter"/>
          <v:path gradientshapeok="t" o:connecttype="rect"/>
        </v:shapetype>
        <v:shape id="Text Box 5" o:spid="_x0000_s4097" type="#_x0000_t202" style="position:absolute;left:0;text-align:left;margin-left:426pt;margin-top:-28.05pt;width:106.8pt;height:22.05pt;z-index:251662336;visibility:visible;mso-position-horizontal-relative:text;mso-position-vertical-relative:tex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" filled="f" stroked="f">
          <v:textbox>
            <w:txbxContent>
              <w:p w:rsidR="009779CE" w:rsidRDefault="009779CE" w:rsidP="009120E4">
                <w:r>
                  <w:t xml:space="preserve">Date: </w:t>
                </w:r>
                <w:r w:rsidR="009120E4">
                  <w:t>19</w:t>
                </w:r>
                <w:r>
                  <w:t>/</w:t>
                </w:r>
                <w:r w:rsidR="002969D1">
                  <w:t>10</w:t>
                </w:r>
                <w:r>
                  <w:t>/2017</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651" w:rsidRDefault="00B86651" w:rsidP="0089530C">
      <w:r>
        <w:separator/>
      </w:r>
    </w:p>
  </w:footnote>
  <w:footnote w:type="continuationSeparator" w:id="0">
    <w:p w:rsidR="00B86651" w:rsidRDefault="00B86651" w:rsidP="008953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9CE" w:rsidRDefault="009779CE" w:rsidP="00C14BC7">
    <w:pPr>
      <w:pStyle w:val="Header"/>
      <w:tabs>
        <w:tab w:val="clear" w:pos="4680"/>
        <w:tab w:val="clear" w:pos="9360"/>
        <w:tab w:val="left" w:pos="6074"/>
      </w:tabs>
    </w:pPr>
    <w:r>
      <w:rPr>
        <w:noProof/>
      </w:rPr>
      <w:drawing>
        <wp:anchor distT="0" distB="0" distL="114300" distR="114300" simplePos="0" relativeHeight="251665408" behindDoc="1" locked="0" layoutInCell="1" allowOverlap="1">
          <wp:simplePos x="0" y="0"/>
          <wp:positionH relativeFrom="column">
            <wp:posOffset>-542925</wp:posOffset>
          </wp:positionH>
          <wp:positionV relativeFrom="paragraph">
            <wp:posOffset>-335915</wp:posOffset>
          </wp:positionV>
          <wp:extent cx="7648575" cy="1238250"/>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CBS+Census Header Eng.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xmlns:arto="http://schemas.microsoft.com/office/word/2006/arto" val="0"/>
                      </a:ext>
                    </a:extLst>
                  </a:blip>
                  <a:stretch>
                    <a:fillRect/>
                  </a:stretch>
                </pic:blipFill>
                <pic:spPr>
                  <a:xfrm>
                    <a:off x="0" y="0"/>
                    <a:ext cx="7648575" cy="1238250"/>
                  </a:xfrm>
                  <a:prstGeom prst="rect">
                    <a:avLst/>
                  </a:prstGeom>
                </pic:spPr>
              </pic:pic>
            </a:graphicData>
          </a:graphic>
        </wp:anchor>
      </w:drawing>
    </w:r>
    <w:r w:rsidR="00783CFA">
      <w:rPr>
        <w:noProof/>
      </w:rPr>
      <w:pict>
        <v:rect id="Rectangle 1" o:spid="_x0000_s4098" style="position:absolute;margin-left:398pt;margin-top:-26.25pt;width:83.35pt;height:116.75pt;z-index:251660288;visibility:visible;mso-position-horizontal-relative:text;mso-position-vertical-relative:text;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" filled="f" stroked="f" strokeweight="1pt">
          <w10:wrap type="square"/>
        </v:rect>
      </w:pic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91CE9"/>
    <w:multiLevelType w:val="hybridMultilevel"/>
    <w:tmpl w:val="47BE9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0058E"/>
    <w:multiLevelType w:val="hybridMultilevel"/>
    <w:tmpl w:val="E5CA1D00"/>
    <w:lvl w:ilvl="0" w:tplc="0409000F">
      <w:start w:val="1"/>
      <w:numFmt w:val="decimal"/>
      <w:lvlText w:val="%1."/>
      <w:lvlJc w:val="left"/>
      <w:pPr>
        <w:tabs>
          <w:tab w:val="num" w:pos="360"/>
        </w:tabs>
        <w:ind w:left="360" w:righ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2D32B9F"/>
    <w:multiLevelType w:val="hybridMultilevel"/>
    <w:tmpl w:val="B024D0F4"/>
    <w:lvl w:ilvl="0" w:tplc="62AA81A8">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8194"/>
    <o:shapelayout v:ext="edit">
      <o:idmap v:ext="edit" data="4"/>
    </o:shapelayout>
  </w:hdrShapeDefaults>
  <w:footnotePr>
    <w:footnote w:id="-1"/>
    <w:footnote w:id="0"/>
  </w:footnotePr>
  <w:endnotePr>
    <w:endnote w:id="-1"/>
    <w:endnote w:id="0"/>
  </w:endnotePr>
  <w:compat/>
  <w:rsids>
    <w:rsidRoot w:val="0089530C"/>
    <w:rsid w:val="00034B7B"/>
    <w:rsid w:val="00051D73"/>
    <w:rsid w:val="00056B6B"/>
    <w:rsid w:val="00067389"/>
    <w:rsid w:val="00072B81"/>
    <w:rsid w:val="00093963"/>
    <w:rsid w:val="000E4622"/>
    <w:rsid w:val="000F2B27"/>
    <w:rsid w:val="0011601B"/>
    <w:rsid w:val="001420EB"/>
    <w:rsid w:val="0014537B"/>
    <w:rsid w:val="0015057C"/>
    <w:rsid w:val="0018441C"/>
    <w:rsid w:val="001856B3"/>
    <w:rsid w:val="00195F2D"/>
    <w:rsid w:val="00196F45"/>
    <w:rsid w:val="001A0E1C"/>
    <w:rsid w:val="001B292F"/>
    <w:rsid w:val="001D36DE"/>
    <w:rsid w:val="0020755C"/>
    <w:rsid w:val="00220D12"/>
    <w:rsid w:val="00240A97"/>
    <w:rsid w:val="00254168"/>
    <w:rsid w:val="00261F3C"/>
    <w:rsid w:val="00275645"/>
    <w:rsid w:val="002969D1"/>
    <w:rsid w:val="002B502D"/>
    <w:rsid w:val="002C2E7D"/>
    <w:rsid w:val="002C6488"/>
    <w:rsid w:val="002D5C92"/>
    <w:rsid w:val="003169B5"/>
    <w:rsid w:val="00316DE5"/>
    <w:rsid w:val="003261C5"/>
    <w:rsid w:val="0036755C"/>
    <w:rsid w:val="00383F0B"/>
    <w:rsid w:val="00384BEE"/>
    <w:rsid w:val="003A0C36"/>
    <w:rsid w:val="003C749E"/>
    <w:rsid w:val="00445E01"/>
    <w:rsid w:val="004B6A6D"/>
    <w:rsid w:val="00516C24"/>
    <w:rsid w:val="005822C1"/>
    <w:rsid w:val="005843C1"/>
    <w:rsid w:val="005903C1"/>
    <w:rsid w:val="005D6762"/>
    <w:rsid w:val="005F5A03"/>
    <w:rsid w:val="00615A07"/>
    <w:rsid w:val="006447DC"/>
    <w:rsid w:val="00666F5E"/>
    <w:rsid w:val="00690EAD"/>
    <w:rsid w:val="006957CF"/>
    <w:rsid w:val="006A6F27"/>
    <w:rsid w:val="006A7E51"/>
    <w:rsid w:val="006D5356"/>
    <w:rsid w:val="006E028D"/>
    <w:rsid w:val="00716385"/>
    <w:rsid w:val="00723FD2"/>
    <w:rsid w:val="00745A8C"/>
    <w:rsid w:val="007534F9"/>
    <w:rsid w:val="00772BD7"/>
    <w:rsid w:val="00783AF7"/>
    <w:rsid w:val="00783CFA"/>
    <w:rsid w:val="007D73EA"/>
    <w:rsid w:val="00816FF4"/>
    <w:rsid w:val="00820746"/>
    <w:rsid w:val="0089530C"/>
    <w:rsid w:val="008D44F5"/>
    <w:rsid w:val="009120E4"/>
    <w:rsid w:val="00946AF7"/>
    <w:rsid w:val="009779CE"/>
    <w:rsid w:val="00990374"/>
    <w:rsid w:val="00993606"/>
    <w:rsid w:val="009B2B6C"/>
    <w:rsid w:val="009B7263"/>
    <w:rsid w:val="009C3123"/>
    <w:rsid w:val="009F090A"/>
    <w:rsid w:val="009F2E29"/>
    <w:rsid w:val="00A02D70"/>
    <w:rsid w:val="00A25C9B"/>
    <w:rsid w:val="00A50554"/>
    <w:rsid w:val="00A7242A"/>
    <w:rsid w:val="00A76524"/>
    <w:rsid w:val="00A826A1"/>
    <w:rsid w:val="00AC1324"/>
    <w:rsid w:val="00AC23A7"/>
    <w:rsid w:val="00AC54F7"/>
    <w:rsid w:val="00AC7248"/>
    <w:rsid w:val="00AE3A1E"/>
    <w:rsid w:val="00AE67D3"/>
    <w:rsid w:val="00AF28BB"/>
    <w:rsid w:val="00AF4FBE"/>
    <w:rsid w:val="00AF60D4"/>
    <w:rsid w:val="00B2076E"/>
    <w:rsid w:val="00B25F02"/>
    <w:rsid w:val="00B67E38"/>
    <w:rsid w:val="00B84F06"/>
    <w:rsid w:val="00B86651"/>
    <w:rsid w:val="00B872E5"/>
    <w:rsid w:val="00B9244C"/>
    <w:rsid w:val="00BA46E1"/>
    <w:rsid w:val="00BD1EE7"/>
    <w:rsid w:val="00BE3E35"/>
    <w:rsid w:val="00C07884"/>
    <w:rsid w:val="00C14BC7"/>
    <w:rsid w:val="00C50E44"/>
    <w:rsid w:val="00C918EA"/>
    <w:rsid w:val="00CA0566"/>
    <w:rsid w:val="00CC79C0"/>
    <w:rsid w:val="00CD6162"/>
    <w:rsid w:val="00CF24E8"/>
    <w:rsid w:val="00CF3357"/>
    <w:rsid w:val="00CF67B2"/>
    <w:rsid w:val="00D1484C"/>
    <w:rsid w:val="00D209ED"/>
    <w:rsid w:val="00D3221B"/>
    <w:rsid w:val="00D83B3A"/>
    <w:rsid w:val="00DF27B1"/>
    <w:rsid w:val="00DF7513"/>
    <w:rsid w:val="00E13FE4"/>
    <w:rsid w:val="00E167FF"/>
    <w:rsid w:val="00E26037"/>
    <w:rsid w:val="00E316C4"/>
    <w:rsid w:val="00E60B42"/>
    <w:rsid w:val="00E76D45"/>
    <w:rsid w:val="00E9198C"/>
    <w:rsid w:val="00E94B00"/>
    <w:rsid w:val="00ED08BB"/>
    <w:rsid w:val="00F32AFB"/>
    <w:rsid w:val="00F83E8F"/>
    <w:rsid w:val="00F84AD7"/>
    <w:rsid w:val="00FA1DB6"/>
    <w:rsid w:val="00FA2CE0"/>
    <w:rsid w:val="00FC160D"/>
    <w:rsid w:val="00FC33A0"/>
    <w:rsid w:val="00FD3517"/>
    <w:rsid w:val="00FF1D96"/>
    <w:rsid w:val="00FF2F57"/>
    <w:rsid w:val="00FF51E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B2B6C"/>
    <w:pPr>
      <w:pBdr>
        <w:top w:val="nil"/>
        <w:left w:val="nil"/>
        <w:bottom w:val="nil"/>
        <w:right w:val="nil"/>
        <w:between w:val="nil"/>
      </w:pBdr>
      <w:spacing w:line="276" w:lineRule="auto"/>
    </w:pPr>
    <w:rPr>
      <w:rFonts w:ascii="Arial" w:eastAsia="Arial" w:hAnsi="Arial" w:cs="Arial"/>
      <w:color w:val="000000"/>
      <w:sz w:val="22"/>
      <w:szCs w:val="22"/>
      <w:lang w:eastAsia="it-IT"/>
    </w:rPr>
  </w:style>
  <w:style w:type="paragraph" w:styleId="Heading1">
    <w:name w:val="heading 1"/>
    <w:basedOn w:val="Normal"/>
    <w:link w:val="Heading1Char"/>
    <w:uiPriority w:val="9"/>
    <w:qFormat/>
    <w:rsid w:val="00615A07"/>
    <w:pPr>
      <w:keepNext/>
      <w:pBdr>
        <w:top w:val="none" w:sz="0" w:space="0" w:color="auto"/>
        <w:left w:val="none" w:sz="0" w:space="0" w:color="auto"/>
        <w:bottom w:val="none" w:sz="0" w:space="0" w:color="auto"/>
        <w:right w:val="none" w:sz="0" w:space="0" w:color="auto"/>
        <w:between w:val="none" w:sz="0" w:space="0" w:color="auto"/>
      </w:pBdr>
      <w:bidi/>
      <w:spacing w:line="240" w:lineRule="auto"/>
      <w:jc w:val="both"/>
      <w:outlineLvl w:val="0"/>
    </w:pPr>
    <w:rPr>
      <w:rFonts w:ascii="Times New Roman" w:eastAsia="Times New Roman" w:hAnsi="Times New Roman" w:cs="Times New Roman"/>
      <w:b/>
      <w:bCs/>
      <w:color w:val="auto"/>
      <w:kern w:val="36"/>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9530C"/>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line="240" w:lineRule="auto"/>
    </w:pPr>
    <w:rPr>
      <w:rFonts w:asciiTheme="minorHAnsi" w:eastAsiaTheme="minorHAnsi" w:hAnsiTheme="minorHAnsi" w:cstheme="minorBidi"/>
      <w:color w:val="auto"/>
      <w:sz w:val="24"/>
      <w:szCs w:val="24"/>
      <w:lang w:eastAsia="en-US"/>
    </w:rPr>
  </w:style>
  <w:style w:type="character" w:customStyle="1" w:styleId="HeaderChar">
    <w:name w:val="Header Char"/>
    <w:basedOn w:val="DefaultParagraphFont"/>
    <w:link w:val="Header"/>
    <w:uiPriority w:val="99"/>
    <w:rsid w:val="0089530C"/>
  </w:style>
  <w:style w:type="paragraph" w:styleId="Footer">
    <w:name w:val="footer"/>
    <w:basedOn w:val="Normal"/>
    <w:link w:val="FooterChar"/>
    <w:uiPriority w:val="99"/>
    <w:unhideWhenUsed/>
    <w:rsid w:val="0089530C"/>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spacing w:line="240" w:lineRule="auto"/>
    </w:pPr>
    <w:rPr>
      <w:rFonts w:asciiTheme="minorHAnsi" w:eastAsiaTheme="minorHAnsi" w:hAnsiTheme="minorHAnsi" w:cstheme="minorBidi"/>
      <w:color w:val="auto"/>
      <w:sz w:val="24"/>
      <w:szCs w:val="24"/>
      <w:lang w:eastAsia="en-US"/>
    </w:rPr>
  </w:style>
  <w:style w:type="character" w:customStyle="1" w:styleId="FooterChar">
    <w:name w:val="Footer Char"/>
    <w:basedOn w:val="DefaultParagraphFont"/>
    <w:link w:val="Footer"/>
    <w:uiPriority w:val="99"/>
    <w:rsid w:val="0089530C"/>
  </w:style>
  <w:style w:type="character" w:styleId="PageNumber">
    <w:name w:val="page number"/>
    <w:basedOn w:val="DefaultParagraphFont"/>
    <w:uiPriority w:val="99"/>
    <w:semiHidden/>
    <w:unhideWhenUsed/>
    <w:rsid w:val="0020755C"/>
  </w:style>
  <w:style w:type="paragraph" w:customStyle="1" w:styleId="BasicParagraph">
    <w:name w:val="[Basic Paragraph]"/>
    <w:basedOn w:val="Normal"/>
    <w:uiPriority w:val="99"/>
    <w:rsid w:val="00C07884"/>
    <w:pPr>
      <w:widowControl w:val="0"/>
      <w:pBdr>
        <w:top w:val="none" w:sz="0" w:space="0" w:color="auto"/>
        <w:left w:val="none" w:sz="0" w:space="0" w:color="auto"/>
        <w:bottom w:val="none" w:sz="0" w:space="0" w:color="auto"/>
        <w:right w:val="none" w:sz="0" w:space="0" w:color="auto"/>
        <w:between w:val="none" w:sz="0" w:space="0" w:color="auto"/>
      </w:pBdr>
      <w:autoSpaceDE w:val="0"/>
      <w:autoSpaceDN w:val="0"/>
      <w:bidi/>
      <w:adjustRightInd w:val="0"/>
      <w:spacing w:line="288" w:lineRule="auto"/>
      <w:textAlignment w:val="center"/>
    </w:pPr>
    <w:rPr>
      <w:rFonts w:ascii="AdobeArabic-Regular" w:eastAsiaTheme="minorHAnsi" w:hAnsi="AdobeArabic-Regular" w:cs="AdobeArabic-Regular"/>
      <w:sz w:val="24"/>
      <w:szCs w:val="24"/>
      <w:lang w:eastAsia="en-US" w:bidi="ar-YE"/>
    </w:rPr>
  </w:style>
  <w:style w:type="paragraph" w:styleId="BodyText3">
    <w:name w:val="Body Text 3"/>
    <w:basedOn w:val="Normal"/>
    <w:link w:val="BodyText3Char"/>
    <w:unhideWhenUsed/>
    <w:rsid w:val="00AE3A1E"/>
    <w:pPr>
      <w:pBdr>
        <w:top w:val="none" w:sz="0" w:space="0" w:color="auto"/>
        <w:left w:val="none" w:sz="0" w:space="0" w:color="auto"/>
        <w:bottom w:val="none" w:sz="0" w:space="0" w:color="auto"/>
        <w:right w:val="none" w:sz="0" w:space="0" w:color="auto"/>
        <w:between w:val="none" w:sz="0" w:space="0" w:color="auto"/>
      </w:pBdr>
      <w:bidi/>
      <w:spacing w:after="120" w:line="240" w:lineRule="auto"/>
    </w:pPr>
    <w:rPr>
      <w:rFonts w:ascii="Times New Roman" w:eastAsia="Times New Roman" w:hAnsi="Times New Roman" w:cs="Times New Roman"/>
      <w:color w:val="auto"/>
      <w:sz w:val="16"/>
      <w:szCs w:val="16"/>
      <w:lang w:eastAsia="ar-SA"/>
    </w:rPr>
  </w:style>
  <w:style w:type="character" w:customStyle="1" w:styleId="BodyText3Char">
    <w:name w:val="Body Text 3 Char"/>
    <w:basedOn w:val="DefaultParagraphFont"/>
    <w:link w:val="BodyText3"/>
    <w:rsid w:val="00AE3A1E"/>
    <w:rPr>
      <w:rFonts w:ascii="Times New Roman" w:eastAsia="Times New Roman" w:hAnsi="Times New Roman" w:cs="Times New Roman"/>
      <w:sz w:val="16"/>
      <w:szCs w:val="16"/>
      <w:lang w:eastAsia="ar-SA"/>
    </w:rPr>
  </w:style>
  <w:style w:type="paragraph" w:styleId="BodyText2">
    <w:name w:val="Body Text 2"/>
    <w:basedOn w:val="Normal"/>
    <w:link w:val="BodyText2Char"/>
    <w:unhideWhenUsed/>
    <w:rsid w:val="00E13FE4"/>
    <w:pPr>
      <w:pBdr>
        <w:top w:val="none" w:sz="0" w:space="0" w:color="auto"/>
        <w:left w:val="none" w:sz="0" w:space="0" w:color="auto"/>
        <w:bottom w:val="none" w:sz="0" w:space="0" w:color="auto"/>
        <w:right w:val="none" w:sz="0" w:space="0" w:color="auto"/>
        <w:between w:val="none" w:sz="0" w:space="0" w:color="auto"/>
      </w:pBdr>
      <w:bidi/>
      <w:spacing w:after="120" w:line="480" w:lineRule="auto"/>
    </w:pPr>
    <w:rPr>
      <w:rFonts w:ascii="Times New Roman" w:eastAsia="Times New Roman" w:hAnsi="Times New Roman" w:cs="Times New Roman"/>
      <w:color w:val="auto"/>
      <w:sz w:val="24"/>
      <w:szCs w:val="24"/>
      <w:lang w:eastAsia="ar-SA"/>
    </w:rPr>
  </w:style>
  <w:style w:type="character" w:customStyle="1" w:styleId="BodyText2Char">
    <w:name w:val="Body Text 2 Char"/>
    <w:basedOn w:val="DefaultParagraphFont"/>
    <w:link w:val="BodyText2"/>
    <w:rsid w:val="00E13FE4"/>
    <w:rPr>
      <w:rFonts w:ascii="Times New Roman" w:eastAsia="Times New Roman" w:hAnsi="Times New Roman" w:cs="Times New Roman"/>
      <w:lang w:eastAsia="ar-SA"/>
    </w:rPr>
  </w:style>
  <w:style w:type="character" w:styleId="Hyperlink">
    <w:name w:val="Hyperlink"/>
    <w:uiPriority w:val="99"/>
    <w:unhideWhenUsed/>
    <w:rsid w:val="00E13FE4"/>
    <w:rPr>
      <w:color w:val="0000FF"/>
      <w:u w:val="single"/>
    </w:rPr>
  </w:style>
  <w:style w:type="paragraph" w:styleId="BalloonText">
    <w:name w:val="Balloon Text"/>
    <w:basedOn w:val="Normal"/>
    <w:link w:val="BalloonTextChar"/>
    <w:uiPriority w:val="99"/>
    <w:semiHidden/>
    <w:unhideWhenUsed/>
    <w:rsid w:val="00E13FE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FE4"/>
    <w:rPr>
      <w:rFonts w:ascii="Tahoma" w:eastAsia="Arial" w:hAnsi="Tahoma" w:cs="Tahoma"/>
      <w:color w:val="000000"/>
      <w:sz w:val="16"/>
      <w:szCs w:val="16"/>
      <w:lang w:eastAsia="it-IT"/>
    </w:rPr>
  </w:style>
  <w:style w:type="table" w:styleId="TableGrid">
    <w:name w:val="Table Grid"/>
    <w:basedOn w:val="TableNormal"/>
    <w:uiPriority w:val="39"/>
    <w:rsid w:val="00FF51E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C54F7"/>
    <w:pPr>
      <w:spacing w:line="240" w:lineRule="auto"/>
    </w:pPr>
    <w:rPr>
      <w:sz w:val="20"/>
      <w:szCs w:val="20"/>
    </w:rPr>
  </w:style>
  <w:style w:type="character" w:customStyle="1" w:styleId="FootnoteTextChar">
    <w:name w:val="Footnote Text Char"/>
    <w:basedOn w:val="DefaultParagraphFont"/>
    <w:link w:val="FootnoteText"/>
    <w:uiPriority w:val="99"/>
    <w:semiHidden/>
    <w:rsid w:val="00AC54F7"/>
    <w:rPr>
      <w:rFonts w:ascii="Arial" w:eastAsia="Arial" w:hAnsi="Arial" w:cs="Arial"/>
      <w:color w:val="000000"/>
      <w:sz w:val="20"/>
      <w:szCs w:val="20"/>
      <w:lang w:eastAsia="it-IT"/>
    </w:rPr>
  </w:style>
  <w:style w:type="character" w:styleId="FootnoteReference">
    <w:name w:val="footnote reference"/>
    <w:basedOn w:val="DefaultParagraphFont"/>
    <w:uiPriority w:val="99"/>
    <w:semiHidden/>
    <w:unhideWhenUsed/>
    <w:rsid w:val="00AC54F7"/>
    <w:rPr>
      <w:vertAlign w:val="superscript"/>
    </w:rPr>
  </w:style>
  <w:style w:type="paragraph" w:styleId="ListParagraph">
    <w:name w:val="List Paragraph"/>
    <w:basedOn w:val="Normal"/>
    <w:uiPriority w:val="34"/>
    <w:qFormat/>
    <w:rsid w:val="00254168"/>
    <w:pPr>
      <w:ind w:left="720"/>
      <w:contextualSpacing/>
    </w:pPr>
  </w:style>
  <w:style w:type="character" w:customStyle="1" w:styleId="Heading1Char">
    <w:name w:val="Heading 1 Char"/>
    <w:basedOn w:val="DefaultParagraphFont"/>
    <w:link w:val="Heading1"/>
    <w:uiPriority w:val="9"/>
    <w:rsid w:val="00615A07"/>
    <w:rPr>
      <w:rFonts w:ascii="Times New Roman" w:eastAsia="Times New Roman" w:hAnsi="Times New Roman" w:cs="Times New Roman"/>
      <w:b/>
      <w:bCs/>
      <w:kern w:val="36"/>
    </w:rPr>
  </w:style>
</w:styles>
</file>

<file path=word/webSettings.xml><?xml version="1.0" encoding="utf-8"?>
<w:webSettings xmlns:r="http://schemas.openxmlformats.org/officeDocument/2006/relationships" xmlns:w="http://schemas.openxmlformats.org/wordprocessingml/2006/main">
  <w:divs>
    <w:div w:id="14078060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ar-SA"/>
  <c:chart>
    <c:autoTitleDeleted val="1"/>
    <c:plotArea>
      <c:layout>
        <c:manualLayout>
          <c:layoutTarget val="inner"/>
          <c:xMode val="edge"/>
          <c:yMode val="edge"/>
          <c:x val="0.18269660736852339"/>
          <c:y val="5.5000000000000077E-2"/>
          <c:w val="0.75480367984305063"/>
          <c:h val="0.82500000000000062"/>
        </c:manualLayout>
      </c:layout>
      <c:lineChart>
        <c:grouping val="standard"/>
        <c:ser>
          <c:idx val="0"/>
          <c:order val="0"/>
          <c:tx>
            <c:strRef>
              <c:f>Sheet1!$A$2</c:f>
              <c:strCache>
                <c:ptCount val="1"/>
                <c:pt idx="0">
                  <c:v>Price Index</c:v>
                </c:pt>
              </c:strCache>
            </c:strRef>
          </c:tx>
          <c:spPr>
            <a:ln w="12699">
              <a:solidFill>
                <a:srgbClr val="000080"/>
              </a:solidFill>
              <a:prstDash val="solid"/>
            </a:ln>
          </c:spPr>
          <c:marker>
            <c:symbol val="circle"/>
            <c:size val="4"/>
            <c:spPr>
              <a:solidFill>
                <a:srgbClr val="000080"/>
              </a:solidFill>
              <a:ln>
                <a:solidFill>
                  <a:srgbClr val="000080"/>
                </a:solidFill>
                <a:prstDash val="solid"/>
              </a:ln>
            </c:spPr>
          </c:marker>
          <c:dLbls>
            <c:dLbl>
              <c:idx val="0"/>
              <c:layout>
                <c:manualLayout>
                  <c:x val="-4.0404040404040414E-2"/>
                  <c:y val="-9.5238095238095358E-2"/>
                </c:manualLayout>
              </c:layout>
              <c:showVal val="1"/>
            </c:dLbl>
            <c:dLbl>
              <c:idx val="8"/>
              <c:layout>
                <c:manualLayout>
                  <c:x val="0"/>
                  <c:y val="-0.13333333333333341"/>
                </c:manualLayout>
              </c:layout>
              <c:showVal val="1"/>
            </c:dLbl>
            <c:delete val="1"/>
          </c:dLbls>
          <c:cat>
            <c:strRef>
              <c:f>Sheet1!$B$1:$J$1</c:f>
              <c:strCache>
                <c:ptCount val="9"/>
                <c:pt idx="0">
                  <c:v>Q3.2015</c:v>
                </c:pt>
                <c:pt idx="1">
                  <c:v>Q4.2015</c:v>
                </c:pt>
                <c:pt idx="2">
                  <c:v>Q1.2016</c:v>
                </c:pt>
                <c:pt idx="3">
                  <c:v>Q2.2016</c:v>
                </c:pt>
                <c:pt idx="4">
                  <c:v>Q3.2016</c:v>
                </c:pt>
                <c:pt idx="5">
                  <c:v>Q4.2016</c:v>
                </c:pt>
                <c:pt idx="6">
                  <c:v>Q1.2017</c:v>
                </c:pt>
                <c:pt idx="7">
                  <c:v>Q2.2017</c:v>
                </c:pt>
                <c:pt idx="8">
                  <c:v>Q3.2017</c:v>
                </c:pt>
              </c:strCache>
            </c:strRef>
          </c:cat>
          <c:val>
            <c:numRef>
              <c:f>Sheet1!$B$2:$J$2</c:f>
              <c:numCache>
                <c:formatCode>0.00</c:formatCode>
                <c:ptCount val="9"/>
                <c:pt idx="0">
                  <c:v>125.44000000000007</c:v>
                </c:pt>
                <c:pt idx="1">
                  <c:v>124.98</c:v>
                </c:pt>
                <c:pt idx="2">
                  <c:v>123.84</c:v>
                </c:pt>
                <c:pt idx="3">
                  <c:v>125.09</c:v>
                </c:pt>
                <c:pt idx="4">
                  <c:v>128.26</c:v>
                </c:pt>
                <c:pt idx="5">
                  <c:v>125.33</c:v>
                </c:pt>
                <c:pt idx="6">
                  <c:v>125.82</c:v>
                </c:pt>
                <c:pt idx="7">
                  <c:v>122</c:v>
                </c:pt>
                <c:pt idx="8">
                  <c:v>124.50937714724041</c:v>
                </c:pt>
              </c:numCache>
            </c:numRef>
          </c:val>
        </c:ser>
        <c:marker val="1"/>
        <c:axId val="86721664"/>
        <c:axId val="86723200"/>
      </c:lineChart>
      <c:catAx>
        <c:axId val="86721664"/>
        <c:scaling>
          <c:orientation val="minMax"/>
        </c:scaling>
        <c:axPos val="b"/>
        <c:numFmt formatCode="General" sourceLinked="1"/>
        <c:minorTickMark val="out"/>
        <c:tickLblPos val="nextTo"/>
        <c:spPr>
          <a:ln w="3175">
            <a:solidFill>
              <a:srgbClr val="000000"/>
            </a:solidFill>
            <a:prstDash val="solid"/>
          </a:ln>
        </c:spPr>
        <c:txPr>
          <a:bodyPr rot="0" vert="horz"/>
          <a:lstStyle/>
          <a:p>
            <a:pPr>
              <a:defRPr/>
            </a:pPr>
            <a:endParaRPr lang="ar-SA"/>
          </a:p>
        </c:txPr>
        <c:crossAx val="86723200"/>
        <c:crosses val="autoZero"/>
        <c:auto val="1"/>
        <c:lblAlgn val="ctr"/>
        <c:lblOffset val="100"/>
        <c:tickLblSkip val="2"/>
        <c:tickMarkSkip val="2"/>
      </c:catAx>
      <c:valAx>
        <c:axId val="86723200"/>
        <c:scaling>
          <c:orientation val="minMax"/>
          <c:max val="130"/>
          <c:min val="120"/>
        </c:scaling>
        <c:axPos val="l"/>
        <c:title>
          <c:tx>
            <c:rich>
              <a:bodyPr/>
              <a:lstStyle/>
              <a:p>
                <a:pPr>
                  <a:defRPr/>
                </a:pPr>
                <a:r>
                  <a:rPr lang="en-US"/>
                  <a:t>Wholesale Price Index (WPI)</a:t>
                </a:r>
              </a:p>
            </c:rich>
          </c:tx>
          <c:layout>
            <c:manualLayout>
              <c:xMode val="edge"/>
              <c:yMode val="edge"/>
              <c:x val="8.9786756453423266E-3"/>
              <c:y val="9.0714160729908871E-2"/>
            </c:manualLayout>
          </c:layout>
          <c:spPr>
            <a:noFill/>
            <a:ln w="25399">
              <a:noFill/>
            </a:ln>
          </c:spPr>
        </c:title>
        <c:numFmt formatCode="0" sourceLinked="0"/>
        <c:tickLblPos val="nextTo"/>
        <c:spPr>
          <a:ln w="3175">
            <a:solidFill>
              <a:srgbClr val="000000"/>
            </a:solidFill>
            <a:prstDash val="solid"/>
          </a:ln>
        </c:spPr>
        <c:txPr>
          <a:bodyPr rot="0" vert="horz"/>
          <a:lstStyle/>
          <a:p>
            <a:pPr>
              <a:defRPr/>
            </a:pPr>
            <a:endParaRPr lang="ar-SA"/>
          </a:p>
        </c:txPr>
        <c:crossAx val="86721664"/>
        <c:crosses val="autoZero"/>
        <c:crossBetween val="between"/>
        <c:majorUnit val="2"/>
      </c:valAx>
      <c:spPr>
        <a:noFill/>
        <a:ln w="25399">
          <a:noFill/>
        </a:ln>
      </c:spPr>
    </c:plotArea>
    <c:plotVisOnly val="1"/>
    <c:dispBlanksAs val="gap"/>
  </c:chart>
  <c:spPr>
    <a:noFill/>
    <a:ln w="12700" cap="flat" cmpd="sng" algn="ctr">
      <a:noFill/>
      <a:prstDash val="solid"/>
      <a:miter lim="800000"/>
      <a:headEnd type="none" w="med" len="med"/>
      <a:tailEnd type="none" w="med" len="med"/>
    </a:ln>
  </c:spPr>
  <c:txPr>
    <a:bodyPr/>
    <a:lstStyle/>
    <a:p>
      <a:pPr>
        <a:defRPr sz="900" b="0" i="0" u="none" strike="noStrike" baseline="0">
          <a:solidFill>
            <a:srgbClr val="000000"/>
          </a:solidFill>
          <a:latin typeface="Arial" pitchFamily="34" charset="0"/>
          <a:ea typeface="Calibri"/>
          <a:cs typeface="Arial" pitchFamily="34" charset="0"/>
        </a:defRPr>
      </a:pPr>
      <a:endParaRPr lang="ar-SA"/>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CFD5F-0E2E-435F-A5CF-C52505450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hbadran</cp:lastModifiedBy>
  <cp:revision>3</cp:revision>
  <cp:lastPrinted>2017-10-16T09:45:00Z</cp:lastPrinted>
  <dcterms:created xsi:type="dcterms:W3CDTF">2017-10-18T06:40:00Z</dcterms:created>
  <dcterms:modified xsi:type="dcterms:W3CDTF">2017-10-18T06:45:00Z</dcterms:modified>
</cp:coreProperties>
</file>