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91" w:rsidRPr="005E4E91" w:rsidRDefault="005E4E91" w:rsidP="005E4E91">
      <w:pPr>
        <w:pStyle w:val="Heading1"/>
        <w:bidi w:val="0"/>
        <w:spacing w:before="0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E4E91">
        <w:rPr>
          <w:rFonts w:asciiTheme="majorBidi" w:eastAsia="Times New Roman" w:hAnsiTheme="majorBidi" w:cstheme="majorBidi"/>
          <w:color w:val="000000"/>
          <w:sz w:val="32"/>
          <w:szCs w:val="32"/>
        </w:rPr>
        <w:t>Palestinian Central Bureau</w:t>
      </w:r>
      <w:r w:rsidRPr="005E4E91">
        <w:rPr>
          <w:rFonts w:asciiTheme="majorBidi" w:eastAsia="Times New Roman" w:hAnsiTheme="majorBidi" w:cstheme="majorBidi"/>
          <w:color w:val="000000"/>
          <w:sz w:val="32"/>
          <w:szCs w:val="32"/>
          <w:rtl/>
        </w:rPr>
        <w:t xml:space="preserve"> </w:t>
      </w:r>
      <w:r w:rsidRPr="005E4E91">
        <w:rPr>
          <w:rFonts w:asciiTheme="majorBidi" w:eastAsia="Times New Roman" w:hAnsiTheme="majorBidi" w:cstheme="majorBidi"/>
          <w:color w:val="000000"/>
          <w:sz w:val="32"/>
          <w:szCs w:val="32"/>
        </w:rPr>
        <w:t>of Statistics (PCBS)</w:t>
      </w:r>
    </w:p>
    <w:p w:rsidR="005E4E91" w:rsidRPr="005E4E91" w:rsidRDefault="005E4E91" w:rsidP="005E4E91">
      <w:pPr>
        <w:pStyle w:val="BodyText"/>
        <w:bidi w:val="0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:rsidR="005E4E91" w:rsidRPr="005E4E91" w:rsidRDefault="005E4E91" w:rsidP="005E4E91">
      <w:pPr>
        <w:pStyle w:val="BodyText"/>
        <w:ind w:left="7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E4E91">
        <w:rPr>
          <w:rFonts w:asciiTheme="majorBidi" w:hAnsiTheme="majorBidi" w:cstheme="majorBidi"/>
          <w:b/>
          <w:bCs/>
          <w:sz w:val="28"/>
          <w:szCs w:val="28"/>
        </w:rPr>
        <w:t xml:space="preserve">Press Release by the Palestinian Central Bureau of Statistics (PCBS) on </w:t>
      </w:r>
      <w:r w:rsidRPr="005E4E91">
        <w:rPr>
          <w:b/>
          <w:bCs/>
          <w:color w:val="000000"/>
          <w:sz w:val="28"/>
          <w:szCs w:val="28"/>
        </w:rPr>
        <w:t>the occasion</w:t>
      </w:r>
      <w:r w:rsidRPr="005E4E91">
        <w:rPr>
          <w:rFonts w:asciiTheme="majorBidi" w:hAnsiTheme="majorBidi" w:cstheme="majorBidi"/>
          <w:b/>
          <w:bCs/>
          <w:sz w:val="28"/>
          <w:szCs w:val="28"/>
        </w:rPr>
        <w:t xml:space="preserve"> of Arab Housing Day Titled:</w:t>
      </w:r>
    </w:p>
    <w:p w:rsidR="005E4E91" w:rsidRPr="005E4E91" w:rsidRDefault="005E4E91" w:rsidP="005E4E91">
      <w:pPr>
        <w:bidi w:val="0"/>
        <w:jc w:val="center"/>
        <w:textAlignment w:val="top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5E4E91">
        <w:rPr>
          <w:rFonts w:asciiTheme="majorBidi" w:hAnsiTheme="majorBidi" w:cstheme="majorBidi"/>
          <w:b/>
          <w:bCs/>
          <w:sz w:val="28"/>
          <w:szCs w:val="28"/>
          <w:lang w:eastAsia="en-US"/>
        </w:rPr>
        <w:t>Social Coherence for Adequate Housing</w:t>
      </w:r>
    </w:p>
    <w:p w:rsidR="005E4E91" w:rsidRDefault="005E4E91" w:rsidP="005E4E91">
      <w:pPr>
        <w:bidi w:val="0"/>
        <w:jc w:val="center"/>
        <w:textAlignment w:val="top"/>
        <w:rPr>
          <w:rStyle w:val="longtext"/>
          <w:color w:val="000000"/>
          <w:shd w:val="clear" w:color="auto" w:fill="FFFFFF"/>
        </w:rPr>
      </w:pPr>
    </w:p>
    <w:p w:rsidR="005E4E91" w:rsidRDefault="005E4E91" w:rsidP="005E4E91">
      <w:pPr>
        <w:bidi w:val="0"/>
        <w:jc w:val="both"/>
        <w:textAlignment w:val="top"/>
        <w:rPr>
          <w:rStyle w:val="longtext"/>
          <w:rFonts w:asciiTheme="majorBidi" w:hAnsiTheme="majorBidi" w:cstheme="majorBidi"/>
          <w:color w:val="000000"/>
          <w:shd w:val="clear" w:color="auto" w:fill="FFFFFF"/>
        </w:rPr>
      </w:pPr>
      <w:r w:rsidRPr="00A473EE">
        <w:rPr>
          <w:rStyle w:val="longtext"/>
          <w:color w:val="000000"/>
          <w:shd w:val="clear" w:color="auto" w:fill="FFFFFF"/>
        </w:rPr>
        <w:t xml:space="preserve">The Council of Arab Ministers </w:t>
      </w:r>
      <w:r>
        <w:rPr>
          <w:rStyle w:val="longtext"/>
          <w:color w:val="000000"/>
          <w:shd w:val="clear" w:color="auto" w:fill="FFFFFF"/>
        </w:rPr>
        <w:t xml:space="preserve">of </w:t>
      </w:r>
      <w:r w:rsidRPr="00A473EE">
        <w:rPr>
          <w:rStyle w:val="longtext"/>
          <w:color w:val="000000"/>
          <w:shd w:val="clear" w:color="auto" w:fill="FFFFFF"/>
        </w:rPr>
        <w:t xml:space="preserve">Housing and Reconstruction, within the framework of the League of Arab States, declared the first Monday of October every year as </w:t>
      </w:r>
      <w:r>
        <w:rPr>
          <w:rStyle w:val="longtext"/>
          <w:color w:val="000000"/>
          <w:shd w:val="clear" w:color="auto" w:fill="FFFFFF"/>
        </w:rPr>
        <w:t xml:space="preserve">the </w:t>
      </w:r>
      <w:r w:rsidRPr="00A473EE">
        <w:rPr>
          <w:rStyle w:val="longtext"/>
          <w:color w:val="000000"/>
          <w:shd w:val="clear" w:color="auto" w:fill="FFFFFF"/>
        </w:rPr>
        <w:t>Arab Housing Day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.</w:t>
      </w:r>
    </w:p>
    <w:p w:rsidR="005E4E91" w:rsidRPr="005E4E91" w:rsidRDefault="005E4E91" w:rsidP="005E4E91">
      <w:pPr>
        <w:bidi w:val="0"/>
        <w:textAlignment w:val="top"/>
        <w:rPr>
          <w:rStyle w:val="longtext"/>
          <w:rFonts w:asciiTheme="majorBidi" w:hAnsiTheme="majorBidi" w:cstheme="majorBidi"/>
          <w:color w:val="000000"/>
          <w:sz w:val="16"/>
          <w:szCs w:val="16"/>
          <w:shd w:val="clear" w:color="auto" w:fill="FFFFFF"/>
        </w:rPr>
      </w:pPr>
    </w:p>
    <w:p w:rsidR="005E4E91" w:rsidRPr="00C35CD1" w:rsidRDefault="005E4E91" w:rsidP="005E4E91">
      <w:pPr>
        <w:bidi w:val="0"/>
        <w:jc w:val="both"/>
        <w:textAlignment w:val="top"/>
        <w:rPr>
          <w:rFonts w:asciiTheme="majorBidi" w:hAnsiTheme="majorBidi" w:cstheme="majorBidi"/>
          <w:lang w:eastAsia="en-US"/>
        </w:rPr>
      </w:pP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The Council of Arab Ministers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of 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Housing and Reconstruction at its Eighty-second meeting in Morocco decided the subject of the </w:t>
      </w:r>
      <w:r w:rsidRPr="00C35CD1">
        <w:rPr>
          <w:rFonts w:asciiTheme="majorBidi" w:hAnsiTheme="majorBidi" w:cstheme="majorBidi"/>
        </w:rPr>
        <w:t>Arab Housing Day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 for the year 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  <w:rtl/>
        </w:rPr>
        <w:t>2018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 to be "Social Coherence for Adequate Housing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".</w:t>
      </w:r>
    </w:p>
    <w:p w:rsidR="005E4E91" w:rsidRPr="005E4E91" w:rsidRDefault="005E4E91" w:rsidP="005E4E91">
      <w:pPr>
        <w:bidi w:val="0"/>
        <w:textAlignment w:val="top"/>
        <w:rPr>
          <w:rStyle w:val="longtext"/>
          <w:rFonts w:asciiTheme="majorBidi" w:hAnsiTheme="majorBidi" w:cstheme="majorBidi"/>
          <w:color w:val="000000"/>
          <w:sz w:val="16"/>
          <w:szCs w:val="16"/>
          <w:shd w:val="clear" w:color="auto" w:fill="FFFFFF"/>
        </w:rPr>
      </w:pPr>
    </w:p>
    <w:p w:rsidR="005E4E91" w:rsidRPr="00C35CD1" w:rsidRDefault="005E4E91" w:rsidP="005E4E91">
      <w:pPr>
        <w:bidi w:val="0"/>
        <w:jc w:val="both"/>
        <w:textAlignment w:val="top"/>
        <w:rPr>
          <w:rStyle w:val="longtext"/>
          <w:rFonts w:asciiTheme="majorBidi" w:hAnsiTheme="majorBidi" w:cstheme="majorBidi"/>
          <w:color w:val="000000"/>
          <w:shd w:val="clear" w:color="auto" w:fill="FFFFFF"/>
        </w:rPr>
      </w:pP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According to the UN-Habitat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III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, the adequate housing should have some characteristics and conditions of which: tenure of housing, type of housing, housing density and connection to public and environmental services. On this occasion,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PCBS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 presents the most important indicators of housing and housing conditions in Palestine based on the data of the Population, Housing and Establishments</w:t>
      </w:r>
      <w:r w:rsidRPr="0013761C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C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ensus 2017.</w:t>
      </w:r>
    </w:p>
    <w:p w:rsidR="005E4E91" w:rsidRPr="005E4E91" w:rsidRDefault="005E4E91" w:rsidP="005E4E91">
      <w:pPr>
        <w:bidi w:val="0"/>
        <w:textAlignment w:val="top"/>
        <w:rPr>
          <w:b/>
          <w:bCs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 </w:t>
      </w:r>
    </w:p>
    <w:p w:rsidR="005E4E91" w:rsidRPr="005E4E91" w:rsidRDefault="005E4E91" w:rsidP="005E4E91">
      <w:pPr>
        <w:bidi w:val="0"/>
        <w:jc w:val="both"/>
        <w:textAlignment w:val="top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t>77% of the Palestinians are in Urban Areas in 2017</w:t>
      </w:r>
    </w:p>
    <w:p w:rsidR="005E4E91" w:rsidRPr="00C35CD1" w:rsidRDefault="005E4E91" w:rsidP="005E4E91">
      <w:pPr>
        <w:bidi w:val="0"/>
        <w:jc w:val="both"/>
        <w:textAlignment w:val="top"/>
        <w:rPr>
          <w:rStyle w:val="longtext"/>
          <w:rFonts w:asciiTheme="majorBidi" w:hAnsiTheme="majorBidi" w:cstheme="majorBidi"/>
          <w:color w:val="000000"/>
          <w:shd w:val="clear" w:color="auto" w:fill="FFFFFF"/>
        </w:rPr>
      </w:pP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Population of Palestine reached 4.78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1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 million people in 2017,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77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% in urban areas while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15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% in rural areas and </w:t>
      </w:r>
      <w:r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8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>% in refugee camps. Population density was estimated at 794 capita/km</w:t>
      </w:r>
      <w:r w:rsidRPr="00D52E2D">
        <w:rPr>
          <w:rStyle w:val="longtext"/>
          <w:rFonts w:asciiTheme="majorBidi" w:hAnsiTheme="majorBidi" w:cstheme="majorBidi"/>
          <w:color w:val="000000"/>
          <w:shd w:val="clear" w:color="auto" w:fill="FFFFFF"/>
          <w:vertAlign w:val="superscript"/>
        </w:rPr>
        <w:t>2</w:t>
      </w:r>
      <w:r w:rsidRPr="00C35CD1">
        <w:rPr>
          <w:rStyle w:val="longtext"/>
          <w:rFonts w:asciiTheme="majorBidi" w:hAnsiTheme="majorBidi" w:cstheme="majorBidi"/>
          <w:color w:val="000000"/>
          <w:shd w:val="clear" w:color="auto" w:fill="FFFFFF"/>
        </w:rPr>
        <w:t xml:space="preserve"> in Palestine in 2017.</w:t>
      </w:r>
    </w:p>
    <w:p w:rsidR="005E4E91" w:rsidRPr="005E4E91" w:rsidRDefault="005E4E91" w:rsidP="005E4E91">
      <w:pPr>
        <w:bidi w:val="0"/>
        <w:textAlignment w:val="top"/>
        <w:rPr>
          <w:color w:val="FF0000"/>
          <w:sz w:val="16"/>
          <w:szCs w:val="16"/>
        </w:rPr>
      </w:pPr>
    </w:p>
    <w:p w:rsidR="005E4E91" w:rsidRPr="005E4E91" w:rsidRDefault="005E4E91" w:rsidP="005E4E91">
      <w:pPr>
        <w:bidi w:val="0"/>
        <w:jc w:val="both"/>
        <w:textAlignment w:val="top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t xml:space="preserve">Increasing of Households which are Living in Owned Housing Units During the Last Two Decades </w:t>
      </w:r>
    </w:p>
    <w:p w:rsidR="005E4E91" w:rsidRPr="00A473EE" w:rsidRDefault="005E4E91" w:rsidP="005E4E91">
      <w:pPr>
        <w:bidi w:val="0"/>
        <w:ind w:right="76"/>
        <w:jc w:val="both"/>
        <w:textAlignment w:val="top"/>
      </w:pPr>
      <w:r w:rsidRPr="00A473EE">
        <w:t xml:space="preserve">The </w:t>
      </w:r>
      <w:r>
        <w:t>data of the census</w:t>
      </w:r>
      <w:r w:rsidRPr="00A473EE">
        <w:t xml:space="preserve"> 20</w:t>
      </w:r>
      <w:r>
        <w:t>17</w:t>
      </w:r>
      <w:r w:rsidRPr="00A473EE">
        <w:t xml:space="preserve"> indicated that </w:t>
      </w:r>
      <w:r>
        <w:t>86</w:t>
      </w:r>
      <w:r w:rsidRPr="00A473EE">
        <w:t>% of households in Palestine live in housing units</w:t>
      </w:r>
      <w:r>
        <w:t xml:space="preserve"> </w:t>
      </w:r>
      <w:r w:rsidRPr="00A473EE">
        <w:t>owned</w:t>
      </w:r>
      <w:r>
        <w:t xml:space="preserve"> </w:t>
      </w:r>
      <w:r w:rsidRPr="00404B04">
        <w:t>to one of its</w:t>
      </w:r>
      <w:r>
        <w:rPr>
          <w:b/>
          <w:bCs/>
        </w:rPr>
        <w:t xml:space="preserve"> </w:t>
      </w:r>
      <w:r w:rsidRPr="00404B04">
        <w:t>members,</w:t>
      </w:r>
      <w:r>
        <w:t xml:space="preserve"> according with 78% </w:t>
      </w:r>
      <w:r w:rsidRPr="00A473EE">
        <w:t>of households</w:t>
      </w:r>
      <w:r>
        <w:t xml:space="preserve"> in census 1997, and 81% in census 2007.  On the type of localities in 2017 (84</w:t>
      </w:r>
      <w:r w:rsidRPr="00E366BA">
        <w:t xml:space="preserve">% </w:t>
      </w:r>
      <w:r>
        <w:t xml:space="preserve">in </w:t>
      </w:r>
      <w:r w:rsidRPr="00A473EE">
        <w:t>urban areas</w:t>
      </w:r>
      <w:r>
        <w:t>,</w:t>
      </w:r>
      <w:r w:rsidRPr="00A473EE">
        <w:t xml:space="preserve"> </w:t>
      </w:r>
      <w:r>
        <w:t>93%</w:t>
      </w:r>
      <w:r w:rsidRPr="00E366BA">
        <w:t xml:space="preserve"> in </w:t>
      </w:r>
      <w:r w:rsidRPr="00A473EE">
        <w:t>rural</w:t>
      </w:r>
      <w:r>
        <w:t xml:space="preserve"> areas and 89</w:t>
      </w:r>
      <w:r w:rsidRPr="00A473EE">
        <w:t>%</w:t>
      </w:r>
      <w:r>
        <w:t xml:space="preserve"> in refugee camps).</w:t>
      </w:r>
      <w:r w:rsidRPr="004224FE">
        <w:t xml:space="preserve"> </w:t>
      </w:r>
      <w:r>
        <w:t xml:space="preserve">While </w:t>
      </w:r>
      <w:r w:rsidRPr="00A473EE">
        <w:t xml:space="preserve"> results</w:t>
      </w:r>
      <w:r w:rsidRPr="008813FD">
        <w:t xml:space="preserve"> </w:t>
      </w:r>
      <w:r>
        <w:t xml:space="preserve">of the census 2017 </w:t>
      </w:r>
      <w:r w:rsidRPr="00A473EE">
        <w:t xml:space="preserve"> showed</w:t>
      </w:r>
      <w:r>
        <w:t xml:space="preserve"> that 87% </w:t>
      </w:r>
      <w:r w:rsidRPr="00A473EE">
        <w:t xml:space="preserve">households in </w:t>
      </w:r>
      <w:r>
        <w:t>the West Bank</w:t>
      </w:r>
      <w:r w:rsidRPr="00A473EE">
        <w:t xml:space="preserve"> live in housing units</w:t>
      </w:r>
      <w:r>
        <w:t xml:space="preserve"> </w:t>
      </w:r>
      <w:r w:rsidRPr="00A473EE">
        <w:t>owned</w:t>
      </w:r>
      <w:r>
        <w:t xml:space="preserve"> </w:t>
      </w:r>
      <w:r w:rsidRPr="00404B04">
        <w:t>to one of its</w:t>
      </w:r>
      <w:r>
        <w:rPr>
          <w:b/>
          <w:bCs/>
        </w:rPr>
        <w:t xml:space="preserve"> </w:t>
      </w:r>
      <w:r w:rsidRPr="00404B04">
        <w:t>members</w:t>
      </w:r>
      <w:r w:rsidRPr="00354321">
        <w:t xml:space="preserve"> obverse</w:t>
      </w:r>
      <w:r>
        <w:t xml:space="preserve"> 83% in Gaza strip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"/>
        <w:gridCol w:w="10445"/>
      </w:tblGrid>
      <w:tr w:rsidR="005E4E91" w:rsidRPr="00354321" w:rsidTr="009953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E91" w:rsidRPr="00354321" w:rsidRDefault="005E4E91" w:rsidP="0099537B">
            <w:pPr>
              <w:rPr>
                <w:rFonts w:ascii="Arial" w:hAnsi="Arial" w:cs="Arial"/>
                <w:color w:val="777777"/>
                <w:sz w:val="10"/>
                <w:szCs w:val="10"/>
                <w:lang w:eastAsia="en-US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E91" w:rsidRPr="00354321" w:rsidRDefault="005E4E91" w:rsidP="0099537B">
            <w:pPr>
              <w:bidi w:val="0"/>
            </w:pPr>
          </w:p>
        </w:tc>
      </w:tr>
    </w:tbl>
    <w:p w:rsidR="005E4E91" w:rsidRP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jc w:val="both"/>
        <w:textAlignment w:val="top"/>
      </w:pPr>
      <w:r w:rsidRPr="00E366BA">
        <w:t xml:space="preserve">In addition, </w:t>
      </w:r>
      <w:r>
        <w:t>8</w:t>
      </w:r>
      <w:r w:rsidRPr="00E366BA">
        <w:t>% of households live</w:t>
      </w:r>
      <w:r>
        <w:t>d</w:t>
      </w:r>
      <w:r w:rsidRPr="00E366BA">
        <w:t xml:space="preserve"> in rented housing units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r>
        <w:t xml:space="preserve">10% in urban, </w:t>
      </w:r>
      <w:r w:rsidRPr="00E366BA">
        <w:t xml:space="preserve"> </w:t>
      </w:r>
      <w:r>
        <w:t>3</w:t>
      </w:r>
      <w:r w:rsidRPr="00E366BA">
        <w:t xml:space="preserve">% in </w:t>
      </w:r>
      <w:r>
        <w:t>rural and 7% of households in refugee camps).  According to region (10% in  the West Bank, 7% in Gaza Strip)</w:t>
      </w:r>
    </w:p>
    <w:p w:rsidR="005E4E91" w:rsidRP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P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Pr="005E4E91" w:rsidRDefault="005E4E91" w:rsidP="005E4E91">
      <w:pPr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t>130 (m</w:t>
      </w:r>
      <w:r w:rsidRPr="005E4E91">
        <w:rPr>
          <w:b/>
          <w:bCs/>
          <w:sz w:val="26"/>
          <w:szCs w:val="26"/>
          <w:vertAlign w:val="superscript"/>
        </w:rPr>
        <w:t>2</w:t>
      </w:r>
      <w:r w:rsidRPr="005E4E91">
        <w:rPr>
          <w:b/>
          <w:bCs/>
          <w:sz w:val="26"/>
          <w:szCs w:val="26"/>
        </w:rPr>
        <w:t xml:space="preserve">) the Average Area of the Housing Unit in Palestine  </w:t>
      </w:r>
    </w:p>
    <w:p w:rsidR="005E4E91" w:rsidRDefault="005E4E91" w:rsidP="005E4E91">
      <w:pPr>
        <w:bidi w:val="0"/>
        <w:ind w:right="76"/>
        <w:jc w:val="both"/>
        <w:textAlignment w:val="top"/>
      </w:pPr>
      <w:r w:rsidRPr="00A473EE">
        <w:t>The results</w:t>
      </w:r>
      <w:r w:rsidRPr="008813FD">
        <w:t xml:space="preserve"> </w:t>
      </w:r>
      <w:r>
        <w:t xml:space="preserve">of the census 2017 </w:t>
      </w:r>
      <w:r w:rsidRPr="00A473EE">
        <w:t xml:space="preserve"> showed that</w:t>
      </w:r>
      <w:r>
        <w:rPr>
          <w:b/>
          <w:bCs/>
          <w:sz w:val="25"/>
          <w:szCs w:val="25"/>
        </w:rPr>
        <w:t xml:space="preserve"> </w:t>
      </w:r>
      <w:r>
        <w:t>130 m</w:t>
      </w:r>
      <w:r w:rsidRPr="008813FD">
        <w:rPr>
          <w:vertAlign w:val="superscript"/>
        </w:rPr>
        <w:t>2</w:t>
      </w:r>
      <w:r>
        <w:t xml:space="preserve"> </w:t>
      </w:r>
      <w:r w:rsidRPr="008813FD">
        <w:t xml:space="preserve">the average area of the </w:t>
      </w:r>
      <w:r>
        <w:t>occupied</w:t>
      </w:r>
      <w:r w:rsidRPr="008813FD">
        <w:t xml:space="preserve"> housing unit in Palestine</w:t>
      </w:r>
      <w:r>
        <w:t xml:space="preserve">, 16% </w:t>
      </w:r>
      <w:r w:rsidRPr="00E366BA">
        <w:t>of households live</w:t>
      </w:r>
      <w:r>
        <w:t xml:space="preserve">d in </w:t>
      </w:r>
      <w:r w:rsidRPr="00E366BA">
        <w:t>housing units</w:t>
      </w:r>
      <w:r>
        <w:t xml:space="preserve"> area less than 80 m</w:t>
      </w:r>
      <w:r w:rsidRPr="00CA54B9">
        <w:rPr>
          <w:vertAlign w:val="superscript"/>
        </w:rPr>
        <w:t>2</w:t>
      </w:r>
      <w:r>
        <w:t>, and 9%</w:t>
      </w:r>
      <w:r w:rsidRPr="00CA54B9">
        <w:t xml:space="preserve"> </w:t>
      </w:r>
      <w:r w:rsidRPr="00E366BA">
        <w:t>of households live</w:t>
      </w:r>
      <w:r>
        <w:t xml:space="preserve">d in </w:t>
      </w:r>
      <w:r w:rsidRPr="00E366BA">
        <w:t>housing units</w:t>
      </w:r>
      <w:r>
        <w:t xml:space="preserve"> area 200 m</w:t>
      </w:r>
      <w:r w:rsidRPr="00CA54B9">
        <w:rPr>
          <w:vertAlign w:val="superscript"/>
        </w:rPr>
        <w:t>2</w:t>
      </w:r>
      <w:r>
        <w:t xml:space="preserve">and more.  And </w:t>
      </w:r>
      <w:r w:rsidRPr="008813FD">
        <w:t xml:space="preserve">the average area of the </w:t>
      </w:r>
      <w:r>
        <w:t>occupied</w:t>
      </w:r>
      <w:r w:rsidRPr="008813FD">
        <w:t xml:space="preserve"> housing unit</w:t>
      </w:r>
      <w:r>
        <w:t xml:space="preserve"> reached 132 m</w:t>
      </w:r>
      <w:r w:rsidRPr="008813FD">
        <w:rPr>
          <w:vertAlign w:val="superscript"/>
        </w:rPr>
        <w:t>2</w:t>
      </w:r>
      <w:r>
        <w:t xml:space="preserve">  in </w:t>
      </w:r>
      <w:r w:rsidRPr="00A473EE">
        <w:t>urban</w:t>
      </w:r>
      <w:r>
        <w:t>,</w:t>
      </w:r>
      <w:r w:rsidRPr="00A473EE">
        <w:t xml:space="preserve"> </w:t>
      </w:r>
      <w:r>
        <w:t>133</w:t>
      </w:r>
      <w:r w:rsidRPr="00E366BA">
        <w:t xml:space="preserve"> </w:t>
      </w:r>
      <w:r>
        <w:t>m</w:t>
      </w:r>
      <w:r w:rsidRPr="008813FD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E366BA">
        <w:t xml:space="preserve">in </w:t>
      </w:r>
      <w:r w:rsidRPr="00A473EE">
        <w:t>rural</w:t>
      </w:r>
      <w:r>
        <w:t xml:space="preserve"> and  106 m</w:t>
      </w:r>
      <w:r w:rsidRPr="008813F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in refugee camps.</w:t>
      </w:r>
      <w:r w:rsidRPr="004224FE">
        <w:t xml:space="preserve"> </w:t>
      </w:r>
      <w:r>
        <w:t xml:space="preserve"> </w:t>
      </w:r>
    </w:p>
    <w:p w:rsidR="005E4E91" w:rsidRP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Pr="005E4E91" w:rsidRDefault="005E4E91" w:rsidP="005E4E91">
      <w:pPr>
        <w:bidi w:val="0"/>
        <w:ind w:right="76"/>
        <w:jc w:val="both"/>
        <w:textAlignment w:val="top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t xml:space="preserve">More than half of the Palestinian Households Live in Apartment Housing Units </w:t>
      </w:r>
    </w:p>
    <w:p w:rsidR="005E4E91" w:rsidRDefault="005E4E91" w:rsidP="005E4E91">
      <w:pPr>
        <w:bidi w:val="0"/>
        <w:jc w:val="both"/>
      </w:pPr>
      <w:r w:rsidRPr="00052ED9">
        <w:t xml:space="preserve">The results </w:t>
      </w:r>
      <w:r>
        <w:t xml:space="preserve">of the census 2017 </w:t>
      </w:r>
      <w:r w:rsidRPr="00052ED9">
        <w:t>show</w:t>
      </w:r>
      <w:r>
        <w:t>ed</w:t>
      </w:r>
      <w:r w:rsidRPr="00052ED9">
        <w:t xml:space="preserve"> that </w:t>
      </w:r>
      <w:r>
        <w:t xml:space="preserve">62% of occupied </w:t>
      </w:r>
      <w:r w:rsidRPr="00052ED9">
        <w:t xml:space="preserve">housing </w:t>
      </w:r>
      <w:r>
        <w:t>units were apartments</w:t>
      </w:r>
      <w:r w:rsidRPr="00052ED9">
        <w:t xml:space="preserve">, </w:t>
      </w:r>
      <w:r>
        <w:t>36</w:t>
      </w:r>
      <w:r w:rsidRPr="00052ED9">
        <w:t xml:space="preserve">% of </w:t>
      </w:r>
      <w:r>
        <w:t xml:space="preserve">occupied </w:t>
      </w:r>
      <w:r w:rsidRPr="00052ED9">
        <w:t xml:space="preserve">housing </w:t>
      </w:r>
      <w:r>
        <w:t>units</w:t>
      </w:r>
      <w:r w:rsidRPr="00052ED9">
        <w:t xml:space="preserve"> </w:t>
      </w:r>
      <w:r>
        <w:t xml:space="preserve">were </w:t>
      </w:r>
      <w:r w:rsidRPr="00052ED9">
        <w:t>classified as houses</w:t>
      </w:r>
      <w:r>
        <w:t>,</w:t>
      </w:r>
      <w:r w:rsidRPr="00052ED9">
        <w:t xml:space="preserve"> </w:t>
      </w:r>
      <w:r>
        <w:t>1.1% were classified as villas. The percentage of households in rural living in a house was 58% while 32% of households in urban live in a house and 31% of households in refugee camps live in a house.</w:t>
      </w:r>
    </w:p>
    <w:p w:rsidR="005E4E91" w:rsidRDefault="005E4E91" w:rsidP="005E4E91">
      <w:pPr>
        <w:bidi w:val="0"/>
        <w:jc w:val="both"/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textAlignment w:val="top"/>
        <w:rPr>
          <w:sz w:val="16"/>
          <w:szCs w:val="16"/>
        </w:rPr>
      </w:pPr>
    </w:p>
    <w:p w:rsidR="005E4E91" w:rsidRDefault="005E4E91" w:rsidP="005E4E91">
      <w:pPr>
        <w:bidi w:val="0"/>
        <w:ind w:right="76"/>
        <w:jc w:val="center"/>
        <w:textAlignment w:val="top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5E4E91">
        <w:rPr>
          <w:rFonts w:asciiTheme="majorBidi" w:eastAsia="Calibri" w:hAnsiTheme="majorBidi" w:cstheme="majorBidi"/>
          <w:b/>
          <w:bCs/>
          <w:sz w:val="26"/>
          <w:szCs w:val="26"/>
        </w:rPr>
        <w:t xml:space="preserve">Percentage Distribution of Households in Palestine by Type of Housing Unit </w:t>
      </w:r>
    </w:p>
    <w:p w:rsidR="005E4E91" w:rsidRPr="005E4E91" w:rsidRDefault="005E4E91" w:rsidP="005E4E91">
      <w:pPr>
        <w:bidi w:val="0"/>
        <w:ind w:right="76"/>
        <w:jc w:val="center"/>
        <w:textAlignment w:val="top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5E4E91">
        <w:rPr>
          <w:rFonts w:asciiTheme="majorBidi" w:eastAsia="Calibri" w:hAnsiTheme="majorBidi" w:cstheme="majorBidi"/>
          <w:b/>
          <w:bCs/>
          <w:sz w:val="26"/>
          <w:szCs w:val="26"/>
        </w:rPr>
        <w:t>And</w:t>
      </w:r>
      <w:r>
        <w:rPr>
          <w:rFonts w:asciiTheme="majorBidi" w:eastAsia="Calibri" w:hAnsiTheme="majorBidi" w:cstheme="majorBidi"/>
          <w:b/>
          <w:bCs/>
          <w:sz w:val="26"/>
          <w:szCs w:val="26"/>
        </w:rPr>
        <w:t xml:space="preserve"> </w:t>
      </w:r>
      <w:r w:rsidRPr="005E4E91">
        <w:rPr>
          <w:rFonts w:asciiTheme="majorBidi" w:eastAsia="Calibri" w:hAnsiTheme="majorBidi" w:cstheme="majorBidi"/>
          <w:b/>
          <w:bCs/>
          <w:sz w:val="26"/>
          <w:szCs w:val="26"/>
        </w:rPr>
        <w:t>Region, 2017</w:t>
      </w:r>
    </w:p>
    <w:p w:rsidR="005E4E91" w:rsidRDefault="005E4E91" w:rsidP="005E4E91">
      <w:pPr>
        <w:bidi w:val="0"/>
        <w:ind w:right="76"/>
        <w:jc w:val="center"/>
        <w:textAlignment w:val="top"/>
        <w:rPr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Ind w:w="-1701" w:type="dxa"/>
        <w:tblLayout w:type="fixed"/>
        <w:tblLook w:val="04A0"/>
      </w:tblPr>
      <w:tblGrid>
        <w:gridCol w:w="2025"/>
        <w:gridCol w:w="851"/>
        <w:gridCol w:w="1060"/>
        <w:gridCol w:w="1349"/>
        <w:gridCol w:w="1134"/>
        <w:gridCol w:w="1008"/>
      </w:tblGrid>
      <w:tr w:rsidR="005E4E91" w:rsidRPr="005E4E91" w:rsidTr="005E4E91">
        <w:trPr>
          <w:jc w:val="center"/>
        </w:trPr>
        <w:tc>
          <w:tcPr>
            <w:tcW w:w="2025" w:type="dxa"/>
            <w:vMerge w:val="restart"/>
            <w:vAlign w:val="center"/>
          </w:tcPr>
          <w:p w:rsidR="005E4E91" w:rsidRPr="005E4E91" w:rsidRDefault="005E4E91" w:rsidP="0099537B">
            <w:pPr>
              <w:bidi w:val="0"/>
              <w:ind w:right="76"/>
              <w:jc w:val="center"/>
              <w:textAlignment w:val="to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4394" w:type="dxa"/>
            <w:gridSpan w:val="4"/>
          </w:tcPr>
          <w:p w:rsidR="005E4E91" w:rsidRPr="005E4E91" w:rsidRDefault="005E4E91" w:rsidP="0099537B">
            <w:pPr>
              <w:bidi w:val="0"/>
              <w:ind w:right="76"/>
              <w:jc w:val="center"/>
              <w:textAlignment w:val="to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of Housing Unit</w:t>
            </w:r>
          </w:p>
        </w:tc>
        <w:tc>
          <w:tcPr>
            <w:tcW w:w="1008" w:type="dxa"/>
            <w:vMerge w:val="restart"/>
            <w:vAlign w:val="center"/>
          </w:tcPr>
          <w:p w:rsidR="005E4E91" w:rsidRPr="005E4E91" w:rsidRDefault="005E4E91" w:rsidP="0099537B">
            <w:pPr>
              <w:bidi w:val="0"/>
              <w:ind w:right="76"/>
              <w:jc w:val="center"/>
              <w:textAlignment w:val="to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5E4E91" w:rsidRPr="005E4E91" w:rsidTr="005E4E91">
        <w:trPr>
          <w:trHeight w:val="347"/>
          <w:jc w:val="center"/>
        </w:trPr>
        <w:tc>
          <w:tcPr>
            <w:tcW w:w="2025" w:type="dxa"/>
            <w:vMerge/>
          </w:tcPr>
          <w:p w:rsidR="005E4E91" w:rsidRPr="005E4E91" w:rsidRDefault="005E4E91" w:rsidP="0099537B">
            <w:pPr>
              <w:bidi w:val="0"/>
              <w:ind w:right="76"/>
              <w:jc w:val="center"/>
              <w:textAlignment w:val="to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4E91" w:rsidRPr="005E4E91" w:rsidRDefault="005E4E91" w:rsidP="0099537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Villa</w:t>
            </w:r>
          </w:p>
        </w:tc>
        <w:tc>
          <w:tcPr>
            <w:tcW w:w="1060" w:type="dxa"/>
            <w:vAlign w:val="center"/>
          </w:tcPr>
          <w:p w:rsidR="005E4E91" w:rsidRPr="005E4E91" w:rsidRDefault="005E4E91" w:rsidP="0099537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House</w:t>
            </w:r>
          </w:p>
        </w:tc>
        <w:tc>
          <w:tcPr>
            <w:tcW w:w="1349" w:type="dxa"/>
            <w:vAlign w:val="center"/>
          </w:tcPr>
          <w:p w:rsidR="005E4E91" w:rsidRPr="005E4E91" w:rsidRDefault="005E4E91" w:rsidP="0099537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Apartment</w:t>
            </w:r>
          </w:p>
        </w:tc>
        <w:tc>
          <w:tcPr>
            <w:tcW w:w="1134" w:type="dxa"/>
            <w:vAlign w:val="center"/>
          </w:tcPr>
          <w:p w:rsidR="005E4E91" w:rsidRPr="005E4E91" w:rsidRDefault="005E4E91" w:rsidP="0099537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Other*</w:t>
            </w:r>
          </w:p>
        </w:tc>
        <w:tc>
          <w:tcPr>
            <w:tcW w:w="1008" w:type="dxa"/>
            <w:vMerge/>
          </w:tcPr>
          <w:p w:rsidR="005E4E91" w:rsidRPr="005E4E91" w:rsidRDefault="005E4E91" w:rsidP="0099537B">
            <w:pPr>
              <w:bidi w:val="0"/>
              <w:ind w:right="76"/>
              <w:jc w:val="center"/>
              <w:textAlignment w:val="to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E4E91" w:rsidRPr="005E4E91" w:rsidTr="005E4E91">
        <w:trPr>
          <w:jc w:val="center"/>
        </w:trPr>
        <w:tc>
          <w:tcPr>
            <w:tcW w:w="2025" w:type="dxa"/>
            <w:vAlign w:val="center"/>
          </w:tcPr>
          <w:p w:rsidR="005E4E91" w:rsidRPr="005E4E91" w:rsidRDefault="005E4E91" w:rsidP="005E4E91">
            <w:pPr>
              <w:bidi w:val="0"/>
              <w:ind w:firstLineChars="100" w:firstLine="241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Palestine</w:t>
            </w:r>
          </w:p>
          <w:p w:rsidR="005E4E91" w:rsidRPr="005E4E91" w:rsidRDefault="005E4E91" w:rsidP="0099537B">
            <w:pPr>
              <w:bidi w:val="0"/>
              <w:ind w:right="76"/>
              <w:jc w:val="both"/>
              <w:textAlignment w:val="to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4E91" w:rsidRPr="005E4E91" w:rsidRDefault="005E4E91" w:rsidP="009953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1.1</w:t>
            </w:r>
          </w:p>
        </w:tc>
        <w:tc>
          <w:tcPr>
            <w:tcW w:w="1060" w:type="dxa"/>
            <w:vAlign w:val="center"/>
          </w:tcPr>
          <w:p w:rsidR="005E4E91" w:rsidRPr="005E4E91" w:rsidRDefault="005E4E91" w:rsidP="009953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35.7</w:t>
            </w:r>
          </w:p>
        </w:tc>
        <w:tc>
          <w:tcPr>
            <w:tcW w:w="1349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62.3</w:t>
            </w:r>
          </w:p>
        </w:tc>
        <w:tc>
          <w:tcPr>
            <w:tcW w:w="1134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0.9</w:t>
            </w:r>
          </w:p>
        </w:tc>
        <w:tc>
          <w:tcPr>
            <w:tcW w:w="1008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5E4E91" w:rsidRPr="005E4E91" w:rsidTr="005E4E91">
        <w:trPr>
          <w:jc w:val="center"/>
        </w:trPr>
        <w:tc>
          <w:tcPr>
            <w:tcW w:w="2025" w:type="dxa"/>
            <w:vAlign w:val="center"/>
          </w:tcPr>
          <w:p w:rsidR="005E4E91" w:rsidRPr="005E4E91" w:rsidRDefault="005E4E91" w:rsidP="005E4E91">
            <w:pPr>
              <w:bidi w:val="0"/>
              <w:ind w:firstLineChars="100" w:firstLine="24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West Bank</w:t>
            </w:r>
          </w:p>
          <w:p w:rsidR="005E4E91" w:rsidRPr="005E4E91" w:rsidRDefault="005E4E91" w:rsidP="0099537B">
            <w:pPr>
              <w:bidi w:val="0"/>
              <w:ind w:right="76"/>
              <w:jc w:val="both"/>
              <w:textAlignment w:val="top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4E91" w:rsidRPr="005E4E91" w:rsidRDefault="005E4E91" w:rsidP="009953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1.4</w:t>
            </w:r>
          </w:p>
        </w:tc>
        <w:tc>
          <w:tcPr>
            <w:tcW w:w="1060" w:type="dxa"/>
            <w:vAlign w:val="center"/>
          </w:tcPr>
          <w:p w:rsidR="005E4E91" w:rsidRPr="005E4E91" w:rsidRDefault="005E4E91" w:rsidP="009953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43.8</w:t>
            </w:r>
          </w:p>
        </w:tc>
        <w:tc>
          <w:tcPr>
            <w:tcW w:w="1349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54.0</w:t>
            </w:r>
          </w:p>
        </w:tc>
        <w:tc>
          <w:tcPr>
            <w:tcW w:w="1134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0.8</w:t>
            </w:r>
          </w:p>
        </w:tc>
        <w:tc>
          <w:tcPr>
            <w:tcW w:w="1008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5E4E91" w:rsidRPr="005E4E91" w:rsidTr="005E4E91">
        <w:trPr>
          <w:jc w:val="center"/>
        </w:trPr>
        <w:tc>
          <w:tcPr>
            <w:tcW w:w="2025" w:type="dxa"/>
            <w:vAlign w:val="center"/>
          </w:tcPr>
          <w:p w:rsidR="005E4E91" w:rsidRPr="005E4E91" w:rsidRDefault="005E4E91" w:rsidP="005E4E91">
            <w:pPr>
              <w:bidi w:val="0"/>
              <w:ind w:firstLineChars="100" w:firstLine="24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Gaza Strip</w:t>
            </w:r>
          </w:p>
          <w:p w:rsidR="005E4E91" w:rsidRPr="005E4E91" w:rsidRDefault="005E4E91" w:rsidP="0099537B">
            <w:pPr>
              <w:bidi w:val="0"/>
              <w:ind w:right="76"/>
              <w:jc w:val="both"/>
              <w:textAlignment w:val="top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4E91" w:rsidRPr="005E4E91" w:rsidRDefault="005E4E91" w:rsidP="009953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0.5</w:t>
            </w:r>
          </w:p>
        </w:tc>
        <w:tc>
          <w:tcPr>
            <w:tcW w:w="1060" w:type="dxa"/>
            <w:vAlign w:val="center"/>
          </w:tcPr>
          <w:p w:rsidR="005E4E91" w:rsidRPr="005E4E91" w:rsidRDefault="005E4E91" w:rsidP="009953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21.5</w:t>
            </w:r>
          </w:p>
        </w:tc>
        <w:tc>
          <w:tcPr>
            <w:tcW w:w="1349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76.7</w:t>
            </w:r>
          </w:p>
        </w:tc>
        <w:tc>
          <w:tcPr>
            <w:tcW w:w="1134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  <w:rtl/>
              </w:rPr>
              <w:t>1.3</w:t>
            </w:r>
          </w:p>
        </w:tc>
        <w:tc>
          <w:tcPr>
            <w:tcW w:w="1008" w:type="dxa"/>
            <w:vAlign w:val="center"/>
          </w:tcPr>
          <w:p w:rsidR="005E4E91" w:rsidRPr="005E4E91" w:rsidRDefault="005E4E91" w:rsidP="009953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5E4E91" w:rsidRPr="005E4E91" w:rsidTr="005E4E91">
        <w:trPr>
          <w:jc w:val="center"/>
        </w:trPr>
        <w:tc>
          <w:tcPr>
            <w:tcW w:w="7427" w:type="dxa"/>
            <w:gridSpan w:val="6"/>
          </w:tcPr>
          <w:p w:rsidR="005E4E91" w:rsidRPr="005E4E91" w:rsidRDefault="005E4E91" w:rsidP="0099537B">
            <w:pPr>
              <w:bidi w:val="0"/>
              <w:ind w:right="76"/>
              <w:textAlignment w:val="top"/>
              <w:rPr>
                <w:rFonts w:asciiTheme="majorBidi" w:hAnsiTheme="majorBidi" w:cstheme="majorBidi"/>
                <w:sz w:val="24"/>
                <w:szCs w:val="24"/>
              </w:rPr>
            </w:pPr>
            <w:r w:rsidRPr="005E4E91">
              <w:rPr>
                <w:rFonts w:asciiTheme="majorBidi" w:hAnsiTheme="majorBidi" w:cstheme="majorBidi"/>
                <w:sz w:val="24"/>
                <w:szCs w:val="24"/>
              </w:rPr>
              <w:t>*Other includes (Tent, Marginal and Other)</w:t>
            </w:r>
          </w:p>
        </w:tc>
      </w:tr>
    </w:tbl>
    <w:p w:rsidR="005E4E91" w:rsidRPr="005E4E91" w:rsidRDefault="005E4E91" w:rsidP="005E4E91">
      <w:pPr>
        <w:bidi w:val="0"/>
        <w:ind w:right="76"/>
        <w:textAlignment w:val="top"/>
        <w:rPr>
          <w:b/>
          <w:bCs/>
          <w:sz w:val="16"/>
          <w:szCs w:val="16"/>
        </w:rPr>
      </w:pPr>
    </w:p>
    <w:p w:rsidR="005E4E91" w:rsidRPr="005E4E91" w:rsidRDefault="005E4E91" w:rsidP="005E4E91">
      <w:pPr>
        <w:bidi w:val="0"/>
        <w:ind w:right="76"/>
        <w:jc w:val="both"/>
        <w:textAlignment w:val="top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t>5% of Household in the West Bank Live in Overcrowded Housing Units while 12% in Gaza Strip</w:t>
      </w:r>
    </w:p>
    <w:p w:rsidR="005E4E91" w:rsidRDefault="005E4E91" w:rsidP="005E4E91">
      <w:pPr>
        <w:autoSpaceDE w:val="0"/>
        <w:autoSpaceDN w:val="0"/>
        <w:bidi w:val="0"/>
        <w:adjustRightInd w:val="0"/>
        <w:jc w:val="lowKashida"/>
      </w:pPr>
      <w:r>
        <w:t xml:space="preserve"> </w:t>
      </w:r>
      <w:r w:rsidRPr="00805736">
        <w:t>The results of 2017 showed</w:t>
      </w:r>
      <w:r>
        <w:t xml:space="preserve"> that</w:t>
      </w:r>
      <w:r w:rsidRPr="00A473EE">
        <w:t>:</w:t>
      </w:r>
      <w:r>
        <w:t xml:space="preserve"> </w:t>
      </w:r>
      <w:r w:rsidRPr="00A473EE">
        <w:t xml:space="preserve"> </w:t>
      </w:r>
      <w:r>
        <w:rPr>
          <w:lang w:val="en-AU"/>
        </w:rPr>
        <w:t>7</w:t>
      </w:r>
      <w:r w:rsidRPr="00A473EE">
        <w:t xml:space="preserve">% of households in Palestine live in housing units with three persons or more per room: </w:t>
      </w:r>
    </w:p>
    <w:p w:rsidR="005E4E91" w:rsidRPr="00A473EE" w:rsidRDefault="005E4E91" w:rsidP="005E4E91">
      <w:pPr>
        <w:autoSpaceDE w:val="0"/>
        <w:autoSpaceDN w:val="0"/>
        <w:bidi w:val="0"/>
        <w:adjustRightInd w:val="0"/>
        <w:jc w:val="lowKashida"/>
      </w:pPr>
      <w:r>
        <w:t>5% in the West Bank, 12% in Gaza Strip, and by type of localities: 7</w:t>
      </w:r>
      <w:r w:rsidRPr="00A473EE">
        <w:t>% of households in</w:t>
      </w:r>
      <w:r>
        <w:t xml:space="preserve"> the</w:t>
      </w:r>
      <w:r w:rsidRPr="00A473EE">
        <w:t xml:space="preserve"> urban </w:t>
      </w:r>
      <w:r>
        <w:t>and</w:t>
      </w:r>
      <w:r w:rsidRPr="00A473EE">
        <w:t xml:space="preserve"> rural areas</w:t>
      </w:r>
      <w:r>
        <w:t>,</w:t>
      </w:r>
      <w:r w:rsidRPr="00A473EE">
        <w:t xml:space="preserve"> and </w:t>
      </w:r>
      <w:r>
        <w:t>13</w:t>
      </w:r>
      <w:r w:rsidRPr="00A473EE">
        <w:t>% in refugee camps.</w:t>
      </w:r>
      <w:r>
        <w:t xml:space="preserve">  </w:t>
      </w:r>
      <w:r w:rsidRPr="00A473EE">
        <w:t xml:space="preserve">the average housing density </w:t>
      </w:r>
      <w:r>
        <w:t>1.3</w:t>
      </w:r>
      <w:r w:rsidRPr="00A473EE">
        <w:t xml:space="preserve"> persons per room</w:t>
      </w:r>
      <w:r>
        <w:t xml:space="preserve"> the West Bank</w:t>
      </w:r>
      <w:r w:rsidRPr="00A473EE">
        <w:t>,</w:t>
      </w:r>
      <w:r>
        <w:t xml:space="preserve"> 1.6</w:t>
      </w:r>
      <w:r w:rsidRPr="00A473EE">
        <w:t xml:space="preserve"> persons per room</w:t>
      </w:r>
      <w:r>
        <w:t xml:space="preserve"> </w:t>
      </w:r>
      <w:r w:rsidRPr="00A473EE">
        <w:t xml:space="preserve">in </w:t>
      </w:r>
      <w:r>
        <w:t>Gaza Strip.</w:t>
      </w:r>
    </w:p>
    <w:p w:rsidR="005E4E91" w:rsidRPr="005E4E91" w:rsidRDefault="005E4E91" w:rsidP="005E4E91">
      <w:pPr>
        <w:autoSpaceDE w:val="0"/>
        <w:autoSpaceDN w:val="0"/>
        <w:bidi w:val="0"/>
        <w:adjustRightInd w:val="0"/>
        <w:rPr>
          <w:sz w:val="16"/>
          <w:szCs w:val="16"/>
        </w:rPr>
      </w:pPr>
    </w:p>
    <w:p w:rsidR="005E4E91" w:rsidRDefault="005E4E91" w:rsidP="005E4E91">
      <w:pPr>
        <w:autoSpaceDE w:val="0"/>
        <w:autoSpaceDN w:val="0"/>
        <w:bidi w:val="0"/>
        <w:adjustRightInd w:val="0"/>
        <w:jc w:val="both"/>
      </w:pPr>
      <w:r w:rsidRPr="00A473EE">
        <w:t xml:space="preserve">In </w:t>
      </w:r>
      <w:r>
        <w:t>2017</w:t>
      </w:r>
      <w:r w:rsidRPr="00A473EE">
        <w:t xml:space="preserve"> the average number of rooms per </w:t>
      </w:r>
      <w:r w:rsidRPr="004C5807">
        <w:t>housing unit in Palestine was 3.6</w:t>
      </w:r>
    </w:p>
    <w:p w:rsidR="005E4E91" w:rsidRPr="005E4E91" w:rsidRDefault="005E4E91" w:rsidP="005E4E91">
      <w:pPr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br/>
        <w:t>Gap between the West Bank and Gaza Strip of Households that Use an Improved Water Source</w:t>
      </w:r>
    </w:p>
    <w:p w:rsidR="005E4E91" w:rsidRDefault="005E4E91" w:rsidP="005E4E91">
      <w:pPr>
        <w:pStyle w:val="Title"/>
        <w:bidi w:val="0"/>
        <w:jc w:val="lowKashida"/>
        <w:rPr>
          <w:b w:val="0"/>
          <w:bCs w:val="0"/>
        </w:rPr>
      </w:pPr>
      <w:r w:rsidRPr="00805736">
        <w:rPr>
          <w:rFonts w:cs="Times New Roman"/>
          <w:b w:val="0"/>
          <w:bCs w:val="0"/>
        </w:rPr>
        <w:t xml:space="preserve">The results of 2017 showed that 62% of households in Palestine lived in housing units </w:t>
      </w:r>
      <w:r>
        <w:rPr>
          <w:rFonts w:cs="Times New Roman"/>
          <w:b w:val="0"/>
          <w:bCs w:val="0"/>
        </w:rPr>
        <w:t xml:space="preserve">that </w:t>
      </w:r>
      <w:r w:rsidRPr="00805736">
        <w:rPr>
          <w:rFonts w:cs="Times New Roman"/>
          <w:b w:val="0"/>
          <w:bCs w:val="0"/>
        </w:rPr>
        <w:t>use an improved water source which includes water network, public tap, protected dug well, protected spring, rainwater and bottled water (</w:t>
      </w:r>
      <w:r>
        <w:rPr>
          <w:rFonts w:cs="Times New Roman"/>
          <w:b w:val="0"/>
          <w:bCs w:val="0"/>
        </w:rPr>
        <w:t>95</w:t>
      </w:r>
      <w:r w:rsidRPr="00805736">
        <w:rPr>
          <w:rFonts w:cs="Times New Roman"/>
          <w:b w:val="0"/>
          <w:bCs w:val="0"/>
        </w:rPr>
        <w:t xml:space="preserve">% in the West Bank and </w:t>
      </w:r>
      <w:r>
        <w:rPr>
          <w:rFonts w:cs="Times New Roman"/>
          <w:b w:val="0"/>
          <w:bCs w:val="0"/>
        </w:rPr>
        <w:t>11</w:t>
      </w:r>
      <w:r w:rsidRPr="00805736">
        <w:rPr>
          <w:rFonts w:cs="Times New Roman"/>
          <w:b w:val="0"/>
          <w:bCs w:val="0"/>
        </w:rPr>
        <w:t xml:space="preserve">% in Gaza </w:t>
      </w:r>
      <w:r>
        <w:rPr>
          <w:b w:val="0"/>
          <w:bCs w:val="0"/>
        </w:rPr>
        <w:t>Strip).</w:t>
      </w:r>
    </w:p>
    <w:p w:rsidR="005E4E91" w:rsidRPr="005E4E91" w:rsidRDefault="005E4E91" w:rsidP="005E4E91">
      <w:pPr>
        <w:bidi w:val="0"/>
        <w:rPr>
          <w:b/>
          <w:bCs/>
          <w:color w:val="FF0000"/>
          <w:sz w:val="16"/>
          <w:szCs w:val="16"/>
        </w:rPr>
      </w:pPr>
    </w:p>
    <w:p w:rsidR="005E4E91" w:rsidRPr="005E4E91" w:rsidRDefault="005E4E91" w:rsidP="005E4E91">
      <w:pPr>
        <w:bidi w:val="0"/>
        <w:jc w:val="both"/>
        <w:rPr>
          <w:b/>
          <w:bCs/>
          <w:sz w:val="26"/>
          <w:szCs w:val="26"/>
        </w:rPr>
      </w:pPr>
      <w:r w:rsidRPr="005E4E91">
        <w:rPr>
          <w:b/>
          <w:bCs/>
          <w:sz w:val="26"/>
          <w:szCs w:val="26"/>
        </w:rPr>
        <w:t>Most of Palestinian Households Connected to the Public Electricity Network</w:t>
      </w:r>
    </w:p>
    <w:p w:rsidR="005E4E91" w:rsidRDefault="005E4E91" w:rsidP="005E4E91">
      <w:pPr>
        <w:bidi w:val="0"/>
        <w:jc w:val="both"/>
        <w:rPr>
          <w:b/>
          <w:bCs/>
        </w:rPr>
      </w:pPr>
      <w:r w:rsidRPr="00805736">
        <w:t xml:space="preserve">The results of 2017 showed that </w:t>
      </w:r>
      <w:r>
        <w:t>around 100% of households in Palestine as well in type of localities( urban, rural and camps) and region (the West Bank and Gaza strip) are connected to the public electricity network.</w:t>
      </w:r>
    </w:p>
    <w:p w:rsidR="005E4E91" w:rsidRPr="005E4E91" w:rsidRDefault="005E4E91" w:rsidP="005E4E91">
      <w:pPr>
        <w:bidi w:val="0"/>
        <w:rPr>
          <w:b/>
          <w:bCs/>
          <w:sz w:val="16"/>
          <w:szCs w:val="16"/>
        </w:rPr>
      </w:pPr>
    </w:p>
    <w:p w:rsidR="005E4E91" w:rsidRPr="005E4E91" w:rsidRDefault="005E4E91" w:rsidP="005E4E91">
      <w:pPr>
        <w:pStyle w:val="Title"/>
        <w:bidi w:val="0"/>
        <w:jc w:val="both"/>
        <w:rPr>
          <w:sz w:val="26"/>
          <w:szCs w:val="26"/>
        </w:rPr>
      </w:pPr>
      <w:r w:rsidRPr="005E4E91">
        <w:rPr>
          <w:sz w:val="26"/>
          <w:szCs w:val="26"/>
        </w:rPr>
        <w:t>The Sanitation in Palestine is Safe Sanitation</w:t>
      </w:r>
    </w:p>
    <w:p w:rsidR="005E4E91" w:rsidRDefault="005E4E91" w:rsidP="005E4E91">
      <w:pPr>
        <w:pStyle w:val="Title"/>
        <w:bidi w:val="0"/>
        <w:jc w:val="lowKashida"/>
        <w:rPr>
          <w:b w:val="0"/>
          <w:bCs w:val="0"/>
        </w:rPr>
      </w:pPr>
      <w:r>
        <w:rPr>
          <w:b w:val="0"/>
          <w:bCs w:val="0"/>
        </w:rPr>
        <w:t>Data of Census 2017 showed that 99.7% of households in Palestine use safe sanitation which includes piped sewer system, cesspit and pit and around 100% of households  in urban and camps while 99% in rural, and around 100% of households in the West Bank and Gaza Strip.</w:t>
      </w:r>
    </w:p>
    <w:p w:rsidR="005E4E91" w:rsidRPr="005E4E91" w:rsidRDefault="005E4E91" w:rsidP="005E4E91">
      <w:pPr>
        <w:pStyle w:val="Title"/>
        <w:bidi w:val="0"/>
        <w:jc w:val="left"/>
        <w:rPr>
          <w:b w:val="0"/>
          <w:bCs w:val="0"/>
          <w:sz w:val="16"/>
          <w:szCs w:val="16"/>
        </w:rPr>
      </w:pPr>
    </w:p>
    <w:p w:rsidR="005E4E91" w:rsidRPr="005E4E91" w:rsidRDefault="005E4E91" w:rsidP="005E4E91">
      <w:pPr>
        <w:pStyle w:val="Title"/>
        <w:bidi w:val="0"/>
        <w:jc w:val="both"/>
        <w:rPr>
          <w:sz w:val="26"/>
          <w:szCs w:val="26"/>
        </w:rPr>
      </w:pPr>
      <w:r w:rsidRPr="005E4E91">
        <w:rPr>
          <w:sz w:val="26"/>
          <w:szCs w:val="26"/>
        </w:rPr>
        <w:t>Disposing of Household Waste in the Nearest Container is the Method Used by the Most  of Palestinian Households</w:t>
      </w:r>
    </w:p>
    <w:p w:rsidR="005E4E91" w:rsidRPr="00C8608B" w:rsidRDefault="005E4E91" w:rsidP="005E4E91">
      <w:pPr>
        <w:bidi w:val="0"/>
        <w:jc w:val="lowKashida"/>
      </w:pPr>
      <w:r>
        <w:t xml:space="preserve">Data of Census 2017 showed that 98% of </w:t>
      </w:r>
      <w:r>
        <w:rPr>
          <w:sz w:val="25"/>
          <w:szCs w:val="25"/>
        </w:rPr>
        <w:t xml:space="preserve">Palestinian households </w:t>
      </w:r>
      <w:r>
        <w:t>dispose household waste by throwing it in the nearest container (99% in urban, 92% in rural, and 98% in refugee camps), while 3% of households burn it or throw it randomly</w:t>
      </w:r>
      <w:r w:rsidRPr="00C8608B">
        <w:t>,</w:t>
      </w:r>
    </w:p>
    <w:p w:rsidR="005E4E91" w:rsidRPr="00C8608B" w:rsidRDefault="005E4E91" w:rsidP="005E4E91">
      <w:pPr>
        <w:bidi w:val="0"/>
        <w:jc w:val="lowKashida"/>
      </w:pPr>
      <w:r w:rsidRPr="00C8608B">
        <w:t xml:space="preserve">While it was </w:t>
      </w:r>
      <w:r>
        <w:t>97</w:t>
      </w:r>
      <w:r w:rsidRPr="00C8608B">
        <w:t xml:space="preserve">% in the West Bank, </w:t>
      </w:r>
      <w:r>
        <w:t>99</w:t>
      </w:r>
      <w:r w:rsidRPr="00C8608B">
        <w:t xml:space="preserve">% in Gaza </w:t>
      </w:r>
      <w:proofErr w:type="spellStart"/>
      <w:r w:rsidRPr="00C8608B">
        <w:t>Strp</w:t>
      </w:r>
      <w:proofErr w:type="spellEnd"/>
      <w:r w:rsidRPr="00C8608B">
        <w:t xml:space="preserve">. </w:t>
      </w:r>
    </w:p>
    <w:p w:rsidR="005E4E91" w:rsidRDefault="005E4E91" w:rsidP="005E4E91">
      <w:pPr>
        <w:pStyle w:val="BodyText"/>
        <w:bidi w:val="0"/>
        <w:jc w:val="both"/>
        <w:rPr>
          <w:b/>
          <w:bCs/>
          <w:sz w:val="24"/>
          <w:szCs w:val="24"/>
        </w:rPr>
      </w:pPr>
    </w:p>
    <w:p w:rsidR="00712741" w:rsidRPr="005E4E91" w:rsidRDefault="005E4E91">
      <w:pPr>
        <w:rPr>
          <w:rFonts w:hint="cs"/>
        </w:rPr>
      </w:pPr>
      <w:r>
        <w:rPr>
          <w:rFonts w:hint="cs"/>
          <w:rtl/>
        </w:rPr>
        <w:t xml:space="preserve"> </w:t>
      </w:r>
    </w:p>
    <w:sectPr w:rsidR="00712741" w:rsidRPr="005E4E91" w:rsidSect="005E4E91">
      <w:headerReference w:type="default" r:id="rId6"/>
      <w:footerReference w:type="default" r:id="rId7"/>
      <w:pgSz w:w="11906" w:h="16838" w:code="9"/>
      <w:pgMar w:top="720" w:right="720" w:bottom="720" w:left="720" w:header="709" w:footer="709" w:gutter="0"/>
      <w:cols w:space="696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C52" w:rsidRDefault="00FD4C52" w:rsidP="005E4E91">
      <w:r>
        <w:separator/>
      </w:r>
    </w:p>
  </w:endnote>
  <w:endnote w:type="continuationSeparator" w:id="0">
    <w:p w:rsidR="00FD4C52" w:rsidRDefault="00FD4C52" w:rsidP="005E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46400"/>
      <w:docPartObj>
        <w:docPartGallery w:val="Page Numbers (Bottom of Page)"/>
        <w:docPartUnique/>
      </w:docPartObj>
    </w:sdtPr>
    <w:sdtContent>
      <w:p w:rsidR="005E4E91" w:rsidRDefault="005E4E9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5E4E91" w:rsidRDefault="005E4E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C52" w:rsidRDefault="00FD4C52" w:rsidP="005E4E91">
      <w:r>
        <w:separator/>
      </w:r>
    </w:p>
  </w:footnote>
  <w:footnote w:type="continuationSeparator" w:id="0">
    <w:p w:rsidR="00FD4C52" w:rsidRDefault="00FD4C52" w:rsidP="005E4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A4" w:rsidRDefault="00FD4C52" w:rsidP="00CE0615">
    <w:pPr>
      <w:pStyle w:val="Header"/>
      <w:jc w:val="center"/>
      <w:rPr>
        <w:rtl/>
      </w:rPr>
    </w:pPr>
  </w:p>
  <w:p w:rsidR="005532A4" w:rsidRDefault="00FD4C52" w:rsidP="005E4E9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E91"/>
    <w:rsid w:val="004C7DB1"/>
    <w:rsid w:val="005E4E91"/>
    <w:rsid w:val="00712741"/>
    <w:rsid w:val="00FD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5E4E91"/>
    <w:pPr>
      <w:keepNext/>
      <w:spacing w:before="48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E4E91"/>
    <w:pPr>
      <w:jc w:val="lowKashida"/>
    </w:pPr>
    <w:rPr>
      <w:rFonts w:cs="Simplified Arabic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E4E91"/>
    <w:rPr>
      <w:rFonts w:ascii="Times New Roman" w:eastAsia="Times New Roman" w:hAnsi="Times New Roman" w:cs="Simplified Arabic"/>
      <w:sz w:val="20"/>
      <w:szCs w:val="20"/>
    </w:rPr>
  </w:style>
  <w:style w:type="character" w:styleId="Hyperlink">
    <w:name w:val="Hyperlink"/>
    <w:semiHidden/>
    <w:rsid w:val="005E4E91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uiPriority w:val="99"/>
    <w:qFormat/>
    <w:rsid w:val="005E4E91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5E4E9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5E4E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4E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ongtext">
    <w:name w:val="long_text"/>
    <w:basedOn w:val="DefaultParagraphFont"/>
    <w:rsid w:val="005E4E91"/>
  </w:style>
  <w:style w:type="table" w:styleId="TableGrid">
    <w:name w:val="Table Grid"/>
    <w:basedOn w:val="TableNormal"/>
    <w:uiPriority w:val="59"/>
    <w:rsid w:val="005E4E9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91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E4E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E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E4E91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759</Words>
  <Characters>4329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2018-10-02T06:00:00Z</dcterms:created>
  <dcterms:modified xsi:type="dcterms:W3CDTF">2018-10-02T06:07:00Z</dcterms:modified>
</cp:coreProperties>
</file>