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CE" w:rsidRDefault="00E814CE">
      <w:pPr>
        <w:bidi w:val="0"/>
      </w:pPr>
    </w:p>
    <w:p w:rsidR="00E814CE" w:rsidRDefault="00E814CE" w:rsidP="0010581E">
      <w:pPr>
        <w:bidi w:val="0"/>
        <w:rPr>
          <w:sz w:val="18"/>
          <w:szCs w:val="18"/>
          <w:lang w:val="en-GB"/>
        </w:rPr>
        <w:sectPr w:rsidR="00E814CE" w:rsidSect="00E814CE">
          <w:pgSz w:w="11906" w:h="16838"/>
          <w:pgMar w:top="720" w:right="720" w:bottom="720" w:left="720" w:header="709" w:footer="709" w:gutter="0"/>
          <w:cols w:space="708"/>
          <w:bidi/>
          <w:rtlGutter/>
          <w:docGrid w:linePitch="360"/>
        </w:sectPr>
      </w:pPr>
    </w:p>
    <w:p w:rsidR="00641944" w:rsidRPr="00E814CE" w:rsidRDefault="00641944" w:rsidP="00641944">
      <w:pPr>
        <w:pStyle w:val="Heading1"/>
        <w:spacing w:before="0"/>
        <w:jc w:val="center"/>
        <w:rPr>
          <w:rFonts w:eastAsia="Times New Roman"/>
          <w:color w:val="000000"/>
          <w:sz w:val="32"/>
          <w:szCs w:val="32"/>
          <w:rtl/>
        </w:rPr>
      </w:pPr>
      <w:r w:rsidRPr="00E814CE">
        <w:rPr>
          <w:rFonts w:eastAsia="Times New Roman"/>
          <w:color w:val="000000"/>
          <w:sz w:val="32"/>
          <w:szCs w:val="32"/>
        </w:rPr>
        <w:lastRenderedPageBreak/>
        <w:t>Palestinian Central Bureau of Statistics (PCBS)</w:t>
      </w:r>
    </w:p>
    <w:p w:rsidR="00641944" w:rsidRDefault="00641944" w:rsidP="00641944">
      <w:pPr>
        <w:pStyle w:val="BodyText3"/>
        <w:tabs>
          <w:tab w:val="right" w:pos="5103"/>
        </w:tabs>
        <w:ind w:right="175"/>
        <w:jc w:val="center"/>
        <w:rPr>
          <w:rFonts w:cs="Times New Roman"/>
        </w:rPr>
      </w:pPr>
    </w:p>
    <w:p w:rsidR="00641944" w:rsidRPr="00E814CE" w:rsidRDefault="00641944" w:rsidP="00641944">
      <w:pPr>
        <w:pStyle w:val="BodyText3"/>
        <w:tabs>
          <w:tab w:val="right" w:pos="5103"/>
        </w:tabs>
        <w:ind w:right="175"/>
        <w:jc w:val="center"/>
        <w:rPr>
          <w:rFonts w:cs="Times New Roman"/>
          <w:sz w:val="28"/>
          <w:szCs w:val="28"/>
        </w:rPr>
      </w:pPr>
      <w:r w:rsidRPr="00E814CE">
        <w:rPr>
          <w:rFonts w:cs="Times New Roman"/>
          <w:sz w:val="28"/>
          <w:szCs w:val="28"/>
        </w:rPr>
        <w:t>Decrease in the number of building licenses in Palestine* by 14% during the second quarter of 2019 compared with previous quarter.</w:t>
      </w:r>
    </w:p>
    <w:p w:rsidR="00641944" w:rsidRDefault="00641944" w:rsidP="00641944">
      <w:pPr>
        <w:pStyle w:val="BodyText3"/>
      </w:pPr>
    </w:p>
    <w:p w:rsidR="00641944" w:rsidRDefault="00641944" w:rsidP="00641944">
      <w:pPr>
        <w:pStyle w:val="BodyText3"/>
      </w:pPr>
    </w:p>
    <w:p w:rsidR="00641944" w:rsidRPr="00023DE2" w:rsidRDefault="00641944" w:rsidP="00641944">
      <w:pPr>
        <w:pStyle w:val="BodyText3"/>
      </w:pPr>
    </w:p>
    <w:p w:rsidR="00641944" w:rsidRPr="00640B2B" w:rsidRDefault="00641944" w:rsidP="00641944">
      <w:pPr>
        <w:pStyle w:val="BodyText"/>
        <w:ind w:right="-2"/>
        <w:jc w:val="both"/>
        <w:rPr>
          <w:b w:val="0"/>
          <w:bCs w:val="0"/>
        </w:rPr>
      </w:pPr>
      <w:r>
        <w:rPr>
          <w:rFonts w:cs="Simplified Arabic"/>
          <w:b w:val="0"/>
          <w:bCs w:val="0"/>
        </w:rPr>
        <w:t>A</w:t>
      </w:r>
      <w:r w:rsidRPr="00640B2B">
        <w:rPr>
          <w:rFonts w:cs="Simplified Arabic"/>
          <w:b w:val="0"/>
          <w:bCs w:val="0"/>
        </w:rPr>
        <w:t xml:space="preserve"> total</w:t>
      </w:r>
      <w:r w:rsidRPr="00640B2B">
        <w:rPr>
          <w:rFonts w:cs="Simplified Arabic"/>
        </w:rPr>
        <w:t xml:space="preserve"> </w:t>
      </w:r>
      <w:r w:rsidRPr="00640B2B">
        <w:rPr>
          <w:b w:val="0"/>
          <w:bCs w:val="0"/>
        </w:rPr>
        <w:t xml:space="preserve">of </w:t>
      </w:r>
      <w:r>
        <w:rPr>
          <w:b w:val="0"/>
          <w:bCs w:val="0"/>
        </w:rPr>
        <w:t>2</w:t>
      </w:r>
      <w:r w:rsidRPr="002547F3">
        <w:rPr>
          <w:b w:val="0"/>
          <w:bCs w:val="0"/>
        </w:rPr>
        <w:t>,</w:t>
      </w:r>
      <w:r>
        <w:rPr>
          <w:rFonts w:hint="cs"/>
          <w:b w:val="0"/>
          <w:bCs w:val="0"/>
          <w:rtl/>
        </w:rPr>
        <w:t>241</w:t>
      </w:r>
      <w:r>
        <w:rPr>
          <w:b w:val="0"/>
          <w:bCs w:val="0"/>
        </w:rPr>
        <w:t xml:space="preserve"> </w:t>
      </w:r>
      <w:r w:rsidRPr="00640B2B">
        <w:rPr>
          <w:b w:val="0"/>
          <w:bCs w:val="0"/>
        </w:rPr>
        <w:t xml:space="preserve">building licenses </w:t>
      </w:r>
      <w:r>
        <w:rPr>
          <w:b w:val="0"/>
          <w:bCs w:val="0"/>
        </w:rPr>
        <w:t xml:space="preserve">were </w:t>
      </w:r>
      <w:r w:rsidRPr="00640B2B">
        <w:rPr>
          <w:b w:val="0"/>
          <w:bCs w:val="0"/>
        </w:rPr>
        <w:t xml:space="preserve">issued in the </w:t>
      </w:r>
      <w:r>
        <w:rPr>
          <w:b w:val="0"/>
          <w:bCs w:val="0"/>
        </w:rPr>
        <w:t>second</w:t>
      </w:r>
      <w:r w:rsidRPr="00640B2B">
        <w:rPr>
          <w:b w:val="0"/>
          <w:bCs w:val="0"/>
        </w:rPr>
        <w:t xml:space="preserve"> quarter of </w:t>
      </w:r>
      <w:r>
        <w:rPr>
          <w:b w:val="0"/>
          <w:bCs w:val="0"/>
        </w:rPr>
        <w:t xml:space="preserve">2019 which included 1,358 for new </w:t>
      </w:r>
      <w:r w:rsidRPr="00640B2B">
        <w:rPr>
          <w:b w:val="0"/>
          <w:bCs w:val="0"/>
        </w:rPr>
        <w:t>building</w:t>
      </w:r>
      <w:r>
        <w:rPr>
          <w:b w:val="0"/>
          <w:bCs w:val="0"/>
        </w:rPr>
        <w:t xml:space="preserve"> licenses</w:t>
      </w:r>
      <w:r w:rsidRPr="00640B2B">
        <w:rPr>
          <w:b w:val="0"/>
          <w:bCs w:val="0"/>
        </w:rPr>
        <w:t>.</w:t>
      </w:r>
      <w:bookmarkStart w:id="0" w:name="_GoBack"/>
      <w:bookmarkEnd w:id="0"/>
    </w:p>
    <w:p w:rsidR="00641944" w:rsidRPr="00E814CE" w:rsidRDefault="00641944" w:rsidP="00641944">
      <w:pPr>
        <w:pStyle w:val="BodyText3"/>
        <w:ind w:left="1" w:right="1"/>
        <w:jc w:val="both"/>
        <w:rPr>
          <w:rFonts w:cs="Times New Roman"/>
          <w:b w:val="0"/>
          <w:bCs w:val="0"/>
          <w:sz w:val="16"/>
          <w:szCs w:val="16"/>
        </w:rPr>
      </w:pPr>
    </w:p>
    <w:p w:rsidR="00641944" w:rsidRPr="00640B2B" w:rsidRDefault="00641944" w:rsidP="00641944">
      <w:pPr>
        <w:pStyle w:val="BodyText3"/>
        <w:ind w:left="1" w:right="1"/>
        <w:jc w:val="both"/>
        <w:rPr>
          <w:rFonts w:cs="Times New Roman"/>
          <w:b w:val="0"/>
          <w:bCs w:val="0"/>
        </w:rPr>
      </w:pPr>
      <w:r w:rsidRPr="00640B2B">
        <w:rPr>
          <w:rFonts w:cs="Times New Roman"/>
          <w:b w:val="0"/>
          <w:bCs w:val="0"/>
        </w:rPr>
        <w:t xml:space="preserve">The total number of building licenses issued in the </w:t>
      </w:r>
      <w:r>
        <w:rPr>
          <w:rFonts w:cs="Times New Roman"/>
          <w:b w:val="0"/>
          <w:bCs w:val="0"/>
        </w:rPr>
        <w:t>second</w:t>
      </w:r>
      <w:r w:rsidRPr="00640B2B">
        <w:rPr>
          <w:b w:val="0"/>
          <w:bCs w:val="0"/>
        </w:rPr>
        <w:t xml:space="preserve"> </w:t>
      </w:r>
      <w:r w:rsidRPr="00640B2B">
        <w:rPr>
          <w:rFonts w:cs="Times New Roman"/>
          <w:b w:val="0"/>
          <w:bCs w:val="0"/>
        </w:rPr>
        <w:t xml:space="preserve">quarter of </w:t>
      </w:r>
      <w:r>
        <w:rPr>
          <w:rFonts w:cs="Times New Roman"/>
          <w:b w:val="0"/>
          <w:bCs w:val="0"/>
        </w:rPr>
        <w:t>2019</w:t>
      </w:r>
      <w:r w:rsidRPr="00640B2B">
        <w:rPr>
          <w:rFonts w:cs="Times New Roman"/>
          <w:b w:val="0"/>
          <w:bCs w:val="0"/>
        </w:rPr>
        <w:t xml:space="preserve"> </w:t>
      </w:r>
      <w:r>
        <w:rPr>
          <w:rFonts w:cs="Times New Roman"/>
          <w:b w:val="0"/>
          <w:bCs w:val="0"/>
        </w:rPr>
        <w:t>decreased</w:t>
      </w:r>
      <w:r w:rsidRPr="00640B2B">
        <w:rPr>
          <w:rFonts w:cs="Times New Roman"/>
          <w:b w:val="0"/>
          <w:bCs w:val="0"/>
        </w:rPr>
        <w:t xml:space="preserve"> by </w:t>
      </w:r>
      <w:r>
        <w:rPr>
          <w:rFonts w:cs="Times New Roman"/>
          <w:b w:val="0"/>
          <w:bCs w:val="0"/>
        </w:rPr>
        <w:t xml:space="preserve">14% </w:t>
      </w:r>
      <w:r w:rsidRPr="00640B2B">
        <w:rPr>
          <w:rFonts w:cs="Times New Roman"/>
          <w:b w:val="0"/>
          <w:bCs w:val="0"/>
        </w:rPr>
        <w:t xml:space="preserve">compared </w:t>
      </w:r>
      <w:r>
        <w:rPr>
          <w:rFonts w:cs="Times New Roman"/>
          <w:b w:val="0"/>
          <w:bCs w:val="0"/>
        </w:rPr>
        <w:t>with</w:t>
      </w:r>
      <w:r w:rsidRPr="00640B2B">
        <w:rPr>
          <w:rFonts w:cs="Times New Roman"/>
          <w:b w:val="0"/>
          <w:bCs w:val="0"/>
        </w:rPr>
        <w:t xml:space="preserve"> the </w:t>
      </w:r>
      <w:r>
        <w:rPr>
          <w:rFonts w:cs="Times New Roman"/>
          <w:b w:val="0"/>
          <w:bCs w:val="0"/>
        </w:rPr>
        <w:t>first</w:t>
      </w:r>
      <w:r w:rsidRPr="00640B2B">
        <w:rPr>
          <w:b w:val="0"/>
          <w:bCs w:val="0"/>
        </w:rPr>
        <w:t xml:space="preserve"> </w:t>
      </w:r>
      <w:r w:rsidRPr="00640B2B">
        <w:rPr>
          <w:rFonts w:cs="Times New Roman"/>
          <w:b w:val="0"/>
          <w:bCs w:val="0"/>
        </w:rPr>
        <w:t>quarter</w:t>
      </w:r>
      <w:bookmarkStart w:id="1" w:name="OLE_LINK12"/>
      <w:r>
        <w:rPr>
          <w:rFonts w:cs="Times New Roman"/>
          <w:b w:val="0"/>
          <w:bCs w:val="0"/>
        </w:rPr>
        <w:t xml:space="preserve"> of 2019</w:t>
      </w:r>
      <w:r w:rsidRPr="00640B2B">
        <w:rPr>
          <w:rFonts w:cs="Times New Roman"/>
          <w:b w:val="0"/>
          <w:bCs w:val="0"/>
        </w:rPr>
        <w:t xml:space="preserve"> </w:t>
      </w:r>
      <w:bookmarkEnd w:id="1"/>
      <w:r>
        <w:rPr>
          <w:rFonts w:cs="Times New Roman"/>
          <w:b w:val="0"/>
          <w:bCs w:val="0"/>
        </w:rPr>
        <w:t xml:space="preserve">and </w:t>
      </w:r>
      <w:r w:rsidRPr="00F2310E">
        <w:rPr>
          <w:rFonts w:cs="Times New Roman"/>
          <w:b w:val="0"/>
          <w:bCs w:val="0"/>
        </w:rPr>
        <w:t xml:space="preserve">decreased </w:t>
      </w:r>
      <w:r>
        <w:rPr>
          <w:rFonts w:cs="Times New Roman"/>
          <w:b w:val="0"/>
          <w:bCs w:val="0"/>
        </w:rPr>
        <w:t>by</w:t>
      </w:r>
      <w:r w:rsidRPr="00640B2B">
        <w:rPr>
          <w:rFonts w:cs="Times New Roman"/>
          <w:b w:val="0"/>
          <w:bCs w:val="0"/>
        </w:rPr>
        <w:t xml:space="preserve"> </w:t>
      </w:r>
      <w:r>
        <w:rPr>
          <w:rFonts w:cs="Times New Roman"/>
          <w:b w:val="0"/>
          <w:bCs w:val="0"/>
        </w:rPr>
        <w:t xml:space="preserve">2% </w:t>
      </w:r>
      <w:r w:rsidRPr="00640B2B">
        <w:rPr>
          <w:rFonts w:cs="Times New Roman"/>
          <w:b w:val="0"/>
          <w:bCs w:val="0"/>
        </w:rPr>
        <w:t>compared</w:t>
      </w:r>
      <w:r>
        <w:rPr>
          <w:rFonts w:cs="Times New Roman"/>
          <w:b w:val="0"/>
          <w:bCs w:val="0"/>
        </w:rPr>
        <w:t xml:space="preserve"> with</w:t>
      </w:r>
      <w:r w:rsidRPr="00640B2B">
        <w:rPr>
          <w:rFonts w:cs="Times New Roman"/>
          <w:b w:val="0"/>
          <w:bCs w:val="0"/>
        </w:rPr>
        <w:t xml:space="preserve"> the </w:t>
      </w:r>
      <w:r>
        <w:rPr>
          <w:rFonts w:cs="Times New Roman"/>
          <w:b w:val="0"/>
          <w:bCs w:val="0"/>
        </w:rPr>
        <w:t>second</w:t>
      </w:r>
      <w:r w:rsidRPr="00640B2B">
        <w:rPr>
          <w:b w:val="0"/>
          <w:bCs w:val="0"/>
        </w:rPr>
        <w:t xml:space="preserve"> </w:t>
      </w:r>
      <w:r w:rsidRPr="00640B2B">
        <w:rPr>
          <w:rFonts w:cs="Times New Roman"/>
          <w:b w:val="0"/>
          <w:bCs w:val="0"/>
        </w:rPr>
        <w:t xml:space="preserve">quarter of </w:t>
      </w:r>
      <w:r>
        <w:rPr>
          <w:rFonts w:cs="Times New Roman"/>
          <w:b w:val="0"/>
          <w:bCs w:val="0"/>
        </w:rPr>
        <w:t>2018.</w:t>
      </w:r>
    </w:p>
    <w:p w:rsidR="00641944" w:rsidRPr="00E814CE" w:rsidRDefault="00641944" w:rsidP="00641944">
      <w:pPr>
        <w:pStyle w:val="BodyText3"/>
        <w:ind w:left="1" w:right="1"/>
        <w:jc w:val="both"/>
        <w:rPr>
          <w:rFonts w:cs="Times New Roman"/>
          <w:b w:val="0"/>
          <w:bCs w:val="0"/>
          <w:sz w:val="16"/>
          <w:szCs w:val="16"/>
        </w:rPr>
      </w:pPr>
    </w:p>
    <w:p w:rsidR="00641944" w:rsidRPr="00023DE2" w:rsidRDefault="00641944" w:rsidP="00641944">
      <w:pPr>
        <w:pStyle w:val="BodyText3"/>
        <w:ind w:left="1" w:right="1"/>
        <w:jc w:val="both"/>
        <w:rPr>
          <w:rFonts w:cs="Times New Roman"/>
          <w:b w:val="0"/>
          <w:bCs w:val="0"/>
        </w:rPr>
      </w:pPr>
      <w:r w:rsidRPr="00640B2B">
        <w:rPr>
          <w:rFonts w:cs="Times New Roman"/>
          <w:b w:val="0"/>
          <w:bCs w:val="0"/>
        </w:rPr>
        <w:t>The area of licensed buildings (residential and non-residential) totaled</w:t>
      </w:r>
      <w:r>
        <w:rPr>
          <w:rFonts w:cs="Times New Roman"/>
          <w:b w:val="0"/>
          <w:bCs w:val="0"/>
        </w:rPr>
        <w:t xml:space="preserve"> 960 </w:t>
      </w:r>
      <w:r w:rsidRPr="00291073">
        <w:rPr>
          <w:rFonts w:cs="Times New Roman"/>
          <w:b w:val="0"/>
          <w:bCs w:val="0"/>
        </w:rPr>
        <w:t>thousand</w:t>
      </w:r>
      <w:r>
        <w:rPr>
          <w:rFonts w:cs="Times New Roman"/>
          <w:b w:val="0"/>
          <w:bCs w:val="0"/>
        </w:rPr>
        <w:t xml:space="preserve"> </w:t>
      </w:r>
      <w:r w:rsidRPr="00640B2B">
        <w:rPr>
          <w:rFonts w:cs="Times New Roman"/>
          <w:b w:val="0"/>
          <w:bCs w:val="0"/>
        </w:rPr>
        <w:t>m</w:t>
      </w:r>
      <w:r w:rsidRPr="00640B2B">
        <w:rPr>
          <w:rFonts w:cs="Times New Roman"/>
          <w:b w:val="0"/>
          <w:bCs w:val="0"/>
          <w:vertAlign w:val="superscript"/>
        </w:rPr>
        <w:t>2</w:t>
      </w:r>
      <w:r w:rsidRPr="00640B2B">
        <w:rPr>
          <w:rFonts w:cs="Times New Roman"/>
          <w:b w:val="0"/>
          <w:bCs w:val="0"/>
        </w:rPr>
        <w:t xml:space="preserve">, of which new buildings made up </w:t>
      </w:r>
      <w:r>
        <w:rPr>
          <w:rFonts w:cs="Times New Roman"/>
          <w:b w:val="0"/>
          <w:bCs w:val="0"/>
        </w:rPr>
        <w:t xml:space="preserve">716 </w:t>
      </w:r>
      <w:r w:rsidRPr="00640B2B">
        <w:rPr>
          <w:rFonts w:cs="Times New Roman"/>
          <w:b w:val="0"/>
          <w:bCs w:val="0"/>
        </w:rPr>
        <w:t>thousand m</w:t>
      </w:r>
      <w:r w:rsidRPr="00640B2B">
        <w:rPr>
          <w:rFonts w:cs="Times New Roman"/>
          <w:b w:val="0"/>
          <w:bCs w:val="0"/>
          <w:vertAlign w:val="superscript"/>
        </w:rPr>
        <w:t>2</w:t>
      </w:r>
      <w:r w:rsidRPr="00640B2B">
        <w:rPr>
          <w:rFonts w:cs="Times New Roman"/>
          <w:b w:val="0"/>
          <w:bCs w:val="0"/>
        </w:rPr>
        <w:t xml:space="preserve"> and existing buildings</w:t>
      </w:r>
      <w:r>
        <w:rPr>
          <w:rFonts w:cs="Times New Roman"/>
          <w:b w:val="0"/>
          <w:bCs w:val="0"/>
        </w:rPr>
        <w:t xml:space="preserve"> comprised</w:t>
      </w:r>
      <w:r w:rsidRPr="00640B2B">
        <w:rPr>
          <w:rFonts w:cs="Times New Roman"/>
          <w:b w:val="0"/>
          <w:bCs w:val="0"/>
        </w:rPr>
        <w:t xml:space="preserve"> </w:t>
      </w:r>
      <w:r>
        <w:rPr>
          <w:rFonts w:cs="Times New Roman"/>
          <w:b w:val="0"/>
          <w:bCs w:val="0"/>
        </w:rPr>
        <w:t xml:space="preserve">244 </w:t>
      </w:r>
      <w:r w:rsidRPr="00640B2B">
        <w:rPr>
          <w:rFonts w:cs="Times New Roman"/>
          <w:b w:val="0"/>
          <w:bCs w:val="0"/>
        </w:rPr>
        <w:t>thousand m</w:t>
      </w:r>
      <w:r w:rsidRPr="00640B2B">
        <w:rPr>
          <w:rFonts w:cs="Times New Roman"/>
          <w:b w:val="0"/>
          <w:bCs w:val="0"/>
          <w:vertAlign w:val="superscript"/>
        </w:rPr>
        <w:t>2</w:t>
      </w:r>
      <w:r w:rsidRPr="00023DE2">
        <w:rPr>
          <w:rFonts w:cs="Times New Roman"/>
          <w:b w:val="0"/>
          <w:bCs w:val="0"/>
        </w:rPr>
        <w:t>.</w:t>
      </w:r>
    </w:p>
    <w:p w:rsidR="00641944" w:rsidRPr="00E814CE" w:rsidRDefault="00641944" w:rsidP="00641944">
      <w:pPr>
        <w:pStyle w:val="BodyText3"/>
        <w:ind w:left="1" w:right="1"/>
        <w:jc w:val="both"/>
        <w:rPr>
          <w:rFonts w:cs="Times New Roman"/>
          <w:b w:val="0"/>
          <w:bCs w:val="0"/>
          <w:sz w:val="16"/>
          <w:szCs w:val="16"/>
        </w:rPr>
      </w:pPr>
    </w:p>
    <w:p w:rsidR="00641944" w:rsidRPr="002547F3" w:rsidRDefault="00641944" w:rsidP="00641944">
      <w:pPr>
        <w:pStyle w:val="BodyText3"/>
        <w:ind w:left="1" w:right="1"/>
        <w:jc w:val="both"/>
        <w:rPr>
          <w:rFonts w:cs="Times New Roman"/>
          <w:b w:val="0"/>
          <w:bCs w:val="0"/>
        </w:rPr>
      </w:pPr>
      <w:r w:rsidRPr="002547F3">
        <w:rPr>
          <w:rFonts w:cs="Times New Roman"/>
          <w:b w:val="0"/>
          <w:bCs w:val="0"/>
        </w:rPr>
        <w:t xml:space="preserve">The total number of licensed dwellings was </w:t>
      </w:r>
      <w:r>
        <w:rPr>
          <w:rFonts w:cs="Times New Roman"/>
          <w:b w:val="0"/>
          <w:bCs w:val="0"/>
        </w:rPr>
        <w:t>4</w:t>
      </w:r>
      <w:r w:rsidRPr="002547F3">
        <w:rPr>
          <w:rFonts w:cs="Times New Roman"/>
          <w:b w:val="0"/>
          <w:bCs w:val="0"/>
        </w:rPr>
        <w:t>,</w:t>
      </w:r>
      <w:r>
        <w:rPr>
          <w:rFonts w:cs="Times New Roman"/>
          <w:b w:val="0"/>
          <w:bCs w:val="0"/>
        </w:rPr>
        <w:t xml:space="preserve">236 </w:t>
      </w:r>
      <w:r w:rsidRPr="002547F3">
        <w:rPr>
          <w:rFonts w:cs="Times New Roman"/>
          <w:b w:val="0"/>
          <w:bCs w:val="0"/>
        </w:rPr>
        <w:t>with a total area of</w:t>
      </w:r>
      <w:r>
        <w:rPr>
          <w:rFonts w:cs="Times New Roman"/>
          <w:b w:val="0"/>
          <w:bCs w:val="0"/>
        </w:rPr>
        <w:t xml:space="preserve"> 676 </w:t>
      </w:r>
      <w:r w:rsidRPr="002547F3">
        <w:rPr>
          <w:rFonts w:cs="Times New Roman"/>
          <w:b w:val="0"/>
          <w:bCs w:val="0"/>
        </w:rPr>
        <w:t>thousand m</w:t>
      </w:r>
      <w:r w:rsidRPr="002547F3">
        <w:rPr>
          <w:rFonts w:cs="Times New Roman"/>
          <w:b w:val="0"/>
          <w:bCs w:val="0"/>
          <w:vertAlign w:val="superscript"/>
        </w:rPr>
        <w:t>2</w:t>
      </w:r>
      <w:r>
        <w:rPr>
          <w:rFonts w:cs="Times New Roman"/>
          <w:b w:val="0"/>
          <w:bCs w:val="0"/>
        </w:rPr>
        <w:t>,</w:t>
      </w:r>
      <w:r w:rsidRPr="002547F3">
        <w:rPr>
          <w:rFonts w:cs="Times New Roman"/>
          <w:b w:val="0"/>
          <w:bCs w:val="0"/>
        </w:rPr>
        <w:t xml:space="preserve"> of which </w:t>
      </w:r>
      <w:r>
        <w:rPr>
          <w:rFonts w:cs="Times New Roman"/>
          <w:b w:val="0"/>
          <w:bCs w:val="0"/>
        </w:rPr>
        <w:t>3</w:t>
      </w:r>
      <w:r w:rsidRPr="002547F3">
        <w:rPr>
          <w:rFonts w:cs="Times New Roman"/>
          <w:b w:val="0"/>
          <w:bCs w:val="0"/>
        </w:rPr>
        <w:t>,</w:t>
      </w:r>
      <w:r>
        <w:rPr>
          <w:rFonts w:cs="Times New Roman" w:hint="cs"/>
          <w:b w:val="0"/>
          <w:bCs w:val="0"/>
          <w:rtl/>
        </w:rPr>
        <w:t>076</w:t>
      </w:r>
      <w:r w:rsidRPr="002547F3">
        <w:rPr>
          <w:rFonts w:eastAsia="Arial Unicode MS" w:cs="Times New Roman"/>
          <w:b w:val="0"/>
          <w:bCs w:val="0"/>
        </w:rPr>
        <w:t xml:space="preserve"> were </w:t>
      </w:r>
      <w:r w:rsidRPr="002547F3">
        <w:rPr>
          <w:rFonts w:cs="Times New Roman"/>
          <w:b w:val="0"/>
          <w:bCs w:val="0"/>
        </w:rPr>
        <w:t xml:space="preserve">new </w:t>
      </w:r>
      <w:r w:rsidRPr="00B44515">
        <w:rPr>
          <w:rFonts w:cs="Times New Roman"/>
          <w:b w:val="0"/>
          <w:bCs w:val="0"/>
        </w:rPr>
        <w:t>dwellings</w:t>
      </w:r>
      <w:r w:rsidRPr="002547F3">
        <w:rPr>
          <w:rFonts w:cs="Times New Roman"/>
          <w:b w:val="0"/>
          <w:bCs w:val="0"/>
        </w:rPr>
        <w:t xml:space="preserve"> with a total area of </w:t>
      </w:r>
      <w:r>
        <w:rPr>
          <w:rFonts w:cs="Times New Roman" w:hint="cs"/>
          <w:b w:val="0"/>
          <w:bCs w:val="0"/>
          <w:rtl/>
        </w:rPr>
        <w:t>493</w:t>
      </w:r>
      <w:r>
        <w:rPr>
          <w:rFonts w:cs="Times New Roman"/>
          <w:b w:val="0"/>
          <w:bCs w:val="0"/>
        </w:rPr>
        <w:t xml:space="preserve"> </w:t>
      </w:r>
      <w:r w:rsidRPr="002547F3">
        <w:rPr>
          <w:rFonts w:cs="Times New Roman"/>
          <w:b w:val="0"/>
          <w:bCs w:val="0"/>
        </w:rPr>
        <w:t>thousand m</w:t>
      </w:r>
      <w:r w:rsidRPr="002547F3">
        <w:rPr>
          <w:rFonts w:cs="Times New Roman"/>
          <w:b w:val="0"/>
          <w:bCs w:val="0"/>
          <w:vertAlign w:val="superscript"/>
        </w:rPr>
        <w:t>2</w:t>
      </w:r>
      <w:r w:rsidRPr="002547F3">
        <w:rPr>
          <w:rFonts w:cs="Times New Roman"/>
          <w:b w:val="0"/>
          <w:bCs w:val="0"/>
        </w:rPr>
        <w:t xml:space="preserve"> and </w:t>
      </w:r>
      <w:r>
        <w:rPr>
          <w:rFonts w:cs="Times New Roman"/>
          <w:b w:val="0"/>
          <w:bCs w:val="0"/>
        </w:rPr>
        <w:t>1,1</w:t>
      </w:r>
      <w:r>
        <w:rPr>
          <w:rFonts w:cs="Times New Roman" w:hint="cs"/>
          <w:b w:val="0"/>
          <w:bCs w:val="0"/>
          <w:rtl/>
        </w:rPr>
        <w:t>60</w:t>
      </w:r>
      <w:r w:rsidRPr="002547F3">
        <w:rPr>
          <w:rFonts w:cs="Times New Roman"/>
          <w:b w:val="0"/>
          <w:bCs w:val="0"/>
        </w:rPr>
        <w:t xml:space="preserve"> were existing dwellings with a total area of </w:t>
      </w:r>
      <w:r>
        <w:rPr>
          <w:rFonts w:cs="Times New Roman"/>
          <w:b w:val="0"/>
          <w:bCs w:val="0"/>
        </w:rPr>
        <w:t>1</w:t>
      </w:r>
      <w:r>
        <w:rPr>
          <w:rFonts w:cs="Times New Roman" w:hint="cs"/>
          <w:b w:val="0"/>
          <w:bCs w:val="0"/>
          <w:rtl/>
        </w:rPr>
        <w:t>83</w:t>
      </w:r>
      <w:r w:rsidRPr="002547F3">
        <w:rPr>
          <w:rFonts w:cs="Times New Roman"/>
          <w:b w:val="0"/>
          <w:bCs w:val="0"/>
        </w:rPr>
        <w:t xml:space="preserve"> thousand m</w:t>
      </w:r>
      <w:r w:rsidRPr="002547F3">
        <w:rPr>
          <w:rFonts w:cs="Times New Roman"/>
          <w:b w:val="0"/>
          <w:bCs w:val="0"/>
          <w:vertAlign w:val="superscript"/>
        </w:rPr>
        <w:t>2</w:t>
      </w:r>
      <w:r w:rsidRPr="002547F3">
        <w:rPr>
          <w:rFonts w:cs="Times New Roman"/>
          <w:b w:val="0"/>
          <w:bCs w:val="0"/>
        </w:rPr>
        <w:t xml:space="preserve">. </w:t>
      </w:r>
    </w:p>
    <w:p w:rsidR="00641944" w:rsidRPr="00E814CE" w:rsidRDefault="00641944" w:rsidP="00641944">
      <w:pPr>
        <w:pStyle w:val="BodyText3"/>
        <w:ind w:left="1" w:right="1"/>
        <w:jc w:val="both"/>
        <w:rPr>
          <w:rFonts w:cs="Times New Roman"/>
          <w:b w:val="0"/>
          <w:bCs w:val="0"/>
          <w:sz w:val="16"/>
          <w:szCs w:val="16"/>
          <w:rtl/>
        </w:rPr>
      </w:pPr>
    </w:p>
    <w:p w:rsidR="00641944" w:rsidRPr="00023DE2" w:rsidRDefault="00641944" w:rsidP="00641944">
      <w:pPr>
        <w:bidi w:val="0"/>
        <w:jc w:val="both"/>
      </w:pPr>
      <w:r w:rsidRPr="00E76177">
        <w:t xml:space="preserve">The number of new dwellings in the </w:t>
      </w:r>
      <w:r>
        <w:t>second</w:t>
      </w:r>
      <w:r w:rsidRPr="00E76177">
        <w:t xml:space="preserve"> quarter of </w:t>
      </w:r>
      <w:r>
        <w:t>2019</w:t>
      </w:r>
      <w:r w:rsidRPr="00E76177">
        <w:t xml:space="preserve"> </w:t>
      </w:r>
      <w:r>
        <w:t xml:space="preserve">decreased by 29% compared with </w:t>
      </w:r>
      <w:r w:rsidRPr="00E76177">
        <w:t xml:space="preserve">the </w:t>
      </w:r>
      <w:r>
        <w:t>first</w:t>
      </w:r>
      <w:r w:rsidRPr="00E76177">
        <w:t xml:space="preserve"> quarter of 201</w:t>
      </w:r>
      <w:r>
        <w:t>9</w:t>
      </w:r>
      <w:r w:rsidRPr="00E76177">
        <w:t xml:space="preserve"> </w:t>
      </w:r>
      <w:r>
        <w:t xml:space="preserve">and </w:t>
      </w:r>
      <w:r w:rsidRPr="007978E6">
        <w:t>decreased</w:t>
      </w:r>
      <w:r>
        <w:t xml:space="preserve"> by 7% compared with </w:t>
      </w:r>
      <w:r w:rsidRPr="00E76177">
        <w:t xml:space="preserve">the </w:t>
      </w:r>
      <w:r>
        <w:t>second</w:t>
      </w:r>
      <w:r w:rsidRPr="00E76177">
        <w:t xml:space="preserve"> quarter</w:t>
      </w:r>
      <w:r w:rsidRPr="00023DE2">
        <w:t xml:space="preserve"> of </w:t>
      </w:r>
      <w:r>
        <w:t>2018</w:t>
      </w:r>
      <w:r w:rsidRPr="00023DE2">
        <w:t>.</w:t>
      </w:r>
    </w:p>
    <w:p w:rsidR="00641944" w:rsidRPr="00E814CE" w:rsidRDefault="00641944" w:rsidP="00641944">
      <w:pPr>
        <w:bidi w:val="0"/>
        <w:rPr>
          <w:b/>
          <w:bCs/>
          <w:sz w:val="16"/>
          <w:szCs w:val="16"/>
        </w:rPr>
      </w:pPr>
    </w:p>
    <w:p w:rsidR="00641944" w:rsidRPr="00E814CE" w:rsidRDefault="00641944" w:rsidP="00641944">
      <w:pPr>
        <w:bidi w:val="0"/>
        <w:ind w:left="-108"/>
        <w:jc w:val="center"/>
        <w:rPr>
          <w:b/>
          <w:bCs/>
          <w:sz w:val="26"/>
          <w:szCs w:val="26"/>
        </w:rPr>
      </w:pPr>
      <w:r w:rsidRPr="00E814CE">
        <w:rPr>
          <w:b/>
          <w:bCs/>
          <w:sz w:val="26"/>
          <w:szCs w:val="26"/>
        </w:rPr>
        <w:t>Number of Building Licenses Issued in Palestine* during the period, Second Quarter 2018 - Second Quarter 2019</w:t>
      </w:r>
    </w:p>
    <w:p w:rsidR="00641944" w:rsidRPr="00D642DE" w:rsidRDefault="00641944" w:rsidP="00641944">
      <w:pPr>
        <w:bidi w:val="0"/>
        <w:ind w:right="-144"/>
        <w:jc w:val="center"/>
        <w:rPr>
          <w:sz w:val="8"/>
          <w:szCs w:val="8"/>
        </w:rPr>
      </w:pPr>
    </w:p>
    <w:p w:rsidR="00641944" w:rsidRPr="00E814CE" w:rsidRDefault="00641944" w:rsidP="00641944">
      <w:pPr>
        <w:bidi w:val="0"/>
        <w:rPr>
          <w:sz w:val="2"/>
          <w:szCs w:val="2"/>
          <w:u w:val="single"/>
        </w:rPr>
      </w:pPr>
    </w:p>
    <w:p w:rsidR="00641944" w:rsidRPr="007D3654" w:rsidRDefault="00641944" w:rsidP="00641944">
      <w:pPr>
        <w:bidi w:val="0"/>
        <w:jc w:val="center"/>
        <w:rPr>
          <w:sz w:val="20"/>
          <w:szCs w:val="20"/>
          <w:rtl/>
        </w:rPr>
      </w:pPr>
      <w:r w:rsidRPr="006F5950">
        <w:rPr>
          <w:rFonts w:hint="cs"/>
          <w:noProof/>
          <w:sz w:val="18"/>
          <w:szCs w:val="18"/>
          <w:u w:val="single"/>
          <w:rtl/>
          <w:lang w:eastAsia="en-US"/>
        </w:rPr>
        <w:drawing>
          <wp:inline distT="0" distB="0" distL="0" distR="0">
            <wp:extent cx="3524250" cy="2638425"/>
            <wp:effectExtent l="19050" t="0" r="19050" b="0"/>
            <wp:docPr id="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41944" w:rsidRDefault="00641944" w:rsidP="00641944">
      <w:pPr>
        <w:bidi w:val="0"/>
        <w:jc w:val="lowKashida"/>
        <w:rPr>
          <w:sz w:val="20"/>
          <w:szCs w:val="20"/>
        </w:rPr>
      </w:pPr>
    </w:p>
    <w:p w:rsidR="00641944" w:rsidRDefault="00641944" w:rsidP="00641944">
      <w:pPr>
        <w:bidi w:val="0"/>
        <w:jc w:val="lowKashida"/>
        <w:rPr>
          <w:sz w:val="20"/>
          <w:szCs w:val="20"/>
        </w:rPr>
      </w:pPr>
    </w:p>
    <w:p w:rsidR="00641944" w:rsidRPr="007D3654" w:rsidRDefault="00641944" w:rsidP="00641944">
      <w:pPr>
        <w:bidi w:val="0"/>
        <w:jc w:val="lowKashida"/>
        <w:rPr>
          <w:sz w:val="20"/>
          <w:szCs w:val="20"/>
        </w:rPr>
      </w:pPr>
      <w:r w:rsidRPr="007D3654">
        <w:rPr>
          <w:sz w:val="20"/>
          <w:szCs w:val="20"/>
        </w:rPr>
        <w:t xml:space="preserve">*Data excluded those parts of Jerusalem which were annexed by Israeli </w:t>
      </w:r>
      <w:r>
        <w:rPr>
          <w:sz w:val="20"/>
          <w:szCs w:val="20"/>
        </w:rPr>
        <w:t>o</w:t>
      </w:r>
      <w:r w:rsidRPr="007D3654">
        <w:rPr>
          <w:sz w:val="20"/>
          <w:szCs w:val="20"/>
        </w:rPr>
        <w:t>ccupation in 1967.</w:t>
      </w:r>
    </w:p>
    <w:p w:rsidR="00641944" w:rsidRPr="00E814CE" w:rsidRDefault="00641944" w:rsidP="00641944">
      <w:pPr>
        <w:bidi w:val="0"/>
        <w:jc w:val="lowKashida"/>
        <w:rPr>
          <w:sz w:val="16"/>
          <w:szCs w:val="16"/>
          <w:rtl/>
        </w:rPr>
      </w:pPr>
    </w:p>
    <w:p w:rsidR="00D86248" w:rsidRPr="005E7D59" w:rsidRDefault="00D86248" w:rsidP="00E814CE">
      <w:pPr>
        <w:bidi w:val="0"/>
        <w:rPr>
          <w:sz w:val="18"/>
          <w:szCs w:val="18"/>
          <w:lang w:val="en-GB"/>
        </w:rPr>
      </w:pPr>
    </w:p>
    <w:sectPr w:rsidR="00D86248" w:rsidRPr="005E7D59" w:rsidSect="00E814CE">
      <w:type w:val="continuous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653" w:rsidRDefault="00640653">
      <w:r>
        <w:separator/>
      </w:r>
    </w:p>
  </w:endnote>
  <w:endnote w:type="continuationSeparator" w:id="0">
    <w:p w:rsidR="00640653" w:rsidRDefault="00640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653" w:rsidRDefault="00640653">
      <w:r>
        <w:separator/>
      </w:r>
    </w:p>
  </w:footnote>
  <w:footnote w:type="continuationSeparator" w:id="0">
    <w:p w:rsidR="00640653" w:rsidRDefault="006406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86248"/>
    <w:rsid w:val="00000B52"/>
    <w:rsid w:val="000163DA"/>
    <w:rsid w:val="00020572"/>
    <w:rsid w:val="00020C79"/>
    <w:rsid w:val="00023DE2"/>
    <w:rsid w:val="00030C13"/>
    <w:rsid w:val="000313DF"/>
    <w:rsid w:val="00032795"/>
    <w:rsid w:val="000329BB"/>
    <w:rsid w:val="00034874"/>
    <w:rsid w:val="000358FF"/>
    <w:rsid w:val="00035929"/>
    <w:rsid w:val="00036426"/>
    <w:rsid w:val="00037678"/>
    <w:rsid w:val="00043C9B"/>
    <w:rsid w:val="00046807"/>
    <w:rsid w:val="00050DDA"/>
    <w:rsid w:val="00053AB0"/>
    <w:rsid w:val="000764A8"/>
    <w:rsid w:val="0009543A"/>
    <w:rsid w:val="000C165A"/>
    <w:rsid w:val="000D039E"/>
    <w:rsid w:val="000D39A9"/>
    <w:rsid w:val="000D495D"/>
    <w:rsid w:val="000D7823"/>
    <w:rsid w:val="000E5797"/>
    <w:rsid w:val="000F2C7F"/>
    <w:rsid w:val="000F4391"/>
    <w:rsid w:val="001019B5"/>
    <w:rsid w:val="0010581E"/>
    <w:rsid w:val="00120017"/>
    <w:rsid w:val="0012134D"/>
    <w:rsid w:val="00132E5C"/>
    <w:rsid w:val="0014132B"/>
    <w:rsid w:val="00141A21"/>
    <w:rsid w:val="00141E39"/>
    <w:rsid w:val="0014507F"/>
    <w:rsid w:val="00145E0C"/>
    <w:rsid w:val="00150FB0"/>
    <w:rsid w:val="00160B4A"/>
    <w:rsid w:val="0017506D"/>
    <w:rsid w:val="00175CB9"/>
    <w:rsid w:val="00177FF2"/>
    <w:rsid w:val="00182499"/>
    <w:rsid w:val="00195DAC"/>
    <w:rsid w:val="00196F0F"/>
    <w:rsid w:val="001A0C03"/>
    <w:rsid w:val="001A41FE"/>
    <w:rsid w:val="001B2937"/>
    <w:rsid w:val="001B36CF"/>
    <w:rsid w:val="001B3D24"/>
    <w:rsid w:val="001B7FE1"/>
    <w:rsid w:val="001C0DDE"/>
    <w:rsid w:val="001C1C42"/>
    <w:rsid w:val="001C724B"/>
    <w:rsid w:val="001E5226"/>
    <w:rsid w:val="001F408D"/>
    <w:rsid w:val="001F4777"/>
    <w:rsid w:val="001F5F1F"/>
    <w:rsid w:val="00204B4D"/>
    <w:rsid w:val="0020624F"/>
    <w:rsid w:val="00243761"/>
    <w:rsid w:val="00253712"/>
    <w:rsid w:val="00253E3B"/>
    <w:rsid w:val="002547F3"/>
    <w:rsid w:val="002602B9"/>
    <w:rsid w:val="00267FBF"/>
    <w:rsid w:val="00273F5D"/>
    <w:rsid w:val="00291073"/>
    <w:rsid w:val="0029128C"/>
    <w:rsid w:val="00291D18"/>
    <w:rsid w:val="002A6DE9"/>
    <w:rsid w:val="002C09B4"/>
    <w:rsid w:val="002C114E"/>
    <w:rsid w:val="002C4D32"/>
    <w:rsid w:val="002D03F3"/>
    <w:rsid w:val="002D5FBE"/>
    <w:rsid w:val="002E2249"/>
    <w:rsid w:val="002E7471"/>
    <w:rsid w:val="002F0136"/>
    <w:rsid w:val="002F0B3D"/>
    <w:rsid w:val="002F2901"/>
    <w:rsid w:val="0031151F"/>
    <w:rsid w:val="00312005"/>
    <w:rsid w:val="00312F6D"/>
    <w:rsid w:val="003216D0"/>
    <w:rsid w:val="00337A77"/>
    <w:rsid w:val="00341B3A"/>
    <w:rsid w:val="003479F2"/>
    <w:rsid w:val="00347F2B"/>
    <w:rsid w:val="003529F9"/>
    <w:rsid w:val="003551B2"/>
    <w:rsid w:val="00356A43"/>
    <w:rsid w:val="00370D7B"/>
    <w:rsid w:val="00374388"/>
    <w:rsid w:val="0038058A"/>
    <w:rsid w:val="003837C3"/>
    <w:rsid w:val="00385E5D"/>
    <w:rsid w:val="003933DF"/>
    <w:rsid w:val="003A2496"/>
    <w:rsid w:val="003A6B6E"/>
    <w:rsid w:val="003B47FE"/>
    <w:rsid w:val="003B5366"/>
    <w:rsid w:val="003C5040"/>
    <w:rsid w:val="003C5F57"/>
    <w:rsid w:val="003E0581"/>
    <w:rsid w:val="003F3077"/>
    <w:rsid w:val="00403EF2"/>
    <w:rsid w:val="00405B7D"/>
    <w:rsid w:val="00406C22"/>
    <w:rsid w:val="00422AEE"/>
    <w:rsid w:val="004337F9"/>
    <w:rsid w:val="00433A7F"/>
    <w:rsid w:val="00441CDE"/>
    <w:rsid w:val="00444C89"/>
    <w:rsid w:val="0046044B"/>
    <w:rsid w:val="00462153"/>
    <w:rsid w:val="004643E0"/>
    <w:rsid w:val="004735A5"/>
    <w:rsid w:val="0047578D"/>
    <w:rsid w:val="00480D6B"/>
    <w:rsid w:val="004A12D7"/>
    <w:rsid w:val="004A1F6A"/>
    <w:rsid w:val="004B580F"/>
    <w:rsid w:val="004B6789"/>
    <w:rsid w:val="004D0324"/>
    <w:rsid w:val="004D1609"/>
    <w:rsid w:val="004D6AF1"/>
    <w:rsid w:val="004E2D1F"/>
    <w:rsid w:val="004E675A"/>
    <w:rsid w:val="004E6848"/>
    <w:rsid w:val="004F7160"/>
    <w:rsid w:val="00506034"/>
    <w:rsid w:val="00516634"/>
    <w:rsid w:val="005202DE"/>
    <w:rsid w:val="00520D18"/>
    <w:rsid w:val="005230D2"/>
    <w:rsid w:val="0052785D"/>
    <w:rsid w:val="005340E0"/>
    <w:rsid w:val="00551864"/>
    <w:rsid w:val="00560204"/>
    <w:rsid w:val="005622FF"/>
    <w:rsid w:val="00565DA3"/>
    <w:rsid w:val="005704B2"/>
    <w:rsid w:val="005804DA"/>
    <w:rsid w:val="00590B27"/>
    <w:rsid w:val="00592588"/>
    <w:rsid w:val="005932C2"/>
    <w:rsid w:val="0059347A"/>
    <w:rsid w:val="005A5719"/>
    <w:rsid w:val="005B180D"/>
    <w:rsid w:val="005B1DFB"/>
    <w:rsid w:val="005B4216"/>
    <w:rsid w:val="005C4BE6"/>
    <w:rsid w:val="005C598C"/>
    <w:rsid w:val="005D2593"/>
    <w:rsid w:val="005D3BAF"/>
    <w:rsid w:val="005E7D59"/>
    <w:rsid w:val="005F1C2E"/>
    <w:rsid w:val="005F7F8D"/>
    <w:rsid w:val="00610D6E"/>
    <w:rsid w:val="00621306"/>
    <w:rsid w:val="006260E0"/>
    <w:rsid w:val="00631315"/>
    <w:rsid w:val="00635210"/>
    <w:rsid w:val="00640653"/>
    <w:rsid w:val="00640B2B"/>
    <w:rsid w:val="00641944"/>
    <w:rsid w:val="00641D78"/>
    <w:rsid w:val="00642E36"/>
    <w:rsid w:val="00643B50"/>
    <w:rsid w:val="0064473D"/>
    <w:rsid w:val="00646A8E"/>
    <w:rsid w:val="00650419"/>
    <w:rsid w:val="006531D5"/>
    <w:rsid w:val="00667427"/>
    <w:rsid w:val="00681617"/>
    <w:rsid w:val="0068360D"/>
    <w:rsid w:val="006874DB"/>
    <w:rsid w:val="00694385"/>
    <w:rsid w:val="006A6095"/>
    <w:rsid w:val="006B6F77"/>
    <w:rsid w:val="006C0264"/>
    <w:rsid w:val="006C3CC9"/>
    <w:rsid w:val="006F0009"/>
    <w:rsid w:val="006F5950"/>
    <w:rsid w:val="00700FD0"/>
    <w:rsid w:val="007129EF"/>
    <w:rsid w:val="007172C8"/>
    <w:rsid w:val="00720671"/>
    <w:rsid w:val="0072178E"/>
    <w:rsid w:val="00721A7F"/>
    <w:rsid w:val="007263DE"/>
    <w:rsid w:val="0073046D"/>
    <w:rsid w:val="007379D0"/>
    <w:rsid w:val="0074025D"/>
    <w:rsid w:val="00744B7E"/>
    <w:rsid w:val="0074751A"/>
    <w:rsid w:val="0075032D"/>
    <w:rsid w:val="00774C9D"/>
    <w:rsid w:val="00780C2F"/>
    <w:rsid w:val="0078489B"/>
    <w:rsid w:val="00784DFC"/>
    <w:rsid w:val="00785266"/>
    <w:rsid w:val="00786B8F"/>
    <w:rsid w:val="00795B7A"/>
    <w:rsid w:val="007978E6"/>
    <w:rsid w:val="007B03F4"/>
    <w:rsid w:val="007C7B9A"/>
    <w:rsid w:val="007D1287"/>
    <w:rsid w:val="007D2039"/>
    <w:rsid w:val="007D3654"/>
    <w:rsid w:val="007F04E7"/>
    <w:rsid w:val="007F1E2B"/>
    <w:rsid w:val="007F4B9B"/>
    <w:rsid w:val="007F4E05"/>
    <w:rsid w:val="008005E4"/>
    <w:rsid w:val="00801F29"/>
    <w:rsid w:val="00813DB1"/>
    <w:rsid w:val="00823658"/>
    <w:rsid w:val="00837CEF"/>
    <w:rsid w:val="008450FB"/>
    <w:rsid w:val="00853CE4"/>
    <w:rsid w:val="00854F43"/>
    <w:rsid w:val="00863720"/>
    <w:rsid w:val="00891B38"/>
    <w:rsid w:val="00892C87"/>
    <w:rsid w:val="008973FE"/>
    <w:rsid w:val="008A2309"/>
    <w:rsid w:val="008B022A"/>
    <w:rsid w:val="008B0374"/>
    <w:rsid w:val="008B1864"/>
    <w:rsid w:val="008C64B6"/>
    <w:rsid w:val="008D6A47"/>
    <w:rsid w:val="008F03A6"/>
    <w:rsid w:val="009019C7"/>
    <w:rsid w:val="00910ABD"/>
    <w:rsid w:val="00912E90"/>
    <w:rsid w:val="009207FA"/>
    <w:rsid w:val="009209F6"/>
    <w:rsid w:val="00933027"/>
    <w:rsid w:val="009338E7"/>
    <w:rsid w:val="00935FD6"/>
    <w:rsid w:val="009373CB"/>
    <w:rsid w:val="00944E10"/>
    <w:rsid w:val="0095694E"/>
    <w:rsid w:val="00961942"/>
    <w:rsid w:val="00962A2F"/>
    <w:rsid w:val="00962F80"/>
    <w:rsid w:val="009677F4"/>
    <w:rsid w:val="009820C8"/>
    <w:rsid w:val="0099789E"/>
    <w:rsid w:val="00997DEE"/>
    <w:rsid w:val="009A02E9"/>
    <w:rsid w:val="009A7FF6"/>
    <w:rsid w:val="009B18EC"/>
    <w:rsid w:val="009B4622"/>
    <w:rsid w:val="009D06AA"/>
    <w:rsid w:val="009E1040"/>
    <w:rsid w:val="009E23B1"/>
    <w:rsid w:val="009F2099"/>
    <w:rsid w:val="009F3075"/>
    <w:rsid w:val="00A07A15"/>
    <w:rsid w:val="00A07A22"/>
    <w:rsid w:val="00A15F8A"/>
    <w:rsid w:val="00A32AE5"/>
    <w:rsid w:val="00A52CAE"/>
    <w:rsid w:val="00A71F7C"/>
    <w:rsid w:val="00A73D72"/>
    <w:rsid w:val="00A74822"/>
    <w:rsid w:val="00A808BD"/>
    <w:rsid w:val="00A8699E"/>
    <w:rsid w:val="00A937FB"/>
    <w:rsid w:val="00A94114"/>
    <w:rsid w:val="00AA11D1"/>
    <w:rsid w:val="00AB4905"/>
    <w:rsid w:val="00AB547D"/>
    <w:rsid w:val="00AC22E4"/>
    <w:rsid w:val="00AC3619"/>
    <w:rsid w:val="00AD0160"/>
    <w:rsid w:val="00AD75AA"/>
    <w:rsid w:val="00AD77DD"/>
    <w:rsid w:val="00AD786E"/>
    <w:rsid w:val="00AE1C18"/>
    <w:rsid w:val="00AE6A0B"/>
    <w:rsid w:val="00AF6273"/>
    <w:rsid w:val="00B14ED9"/>
    <w:rsid w:val="00B16912"/>
    <w:rsid w:val="00B3008C"/>
    <w:rsid w:val="00B4056E"/>
    <w:rsid w:val="00B40FDB"/>
    <w:rsid w:val="00B41703"/>
    <w:rsid w:val="00B44515"/>
    <w:rsid w:val="00B445AE"/>
    <w:rsid w:val="00B52A61"/>
    <w:rsid w:val="00B63903"/>
    <w:rsid w:val="00B64F97"/>
    <w:rsid w:val="00B807B0"/>
    <w:rsid w:val="00B81378"/>
    <w:rsid w:val="00B85638"/>
    <w:rsid w:val="00B85A0A"/>
    <w:rsid w:val="00B956AE"/>
    <w:rsid w:val="00B95768"/>
    <w:rsid w:val="00BA0C72"/>
    <w:rsid w:val="00BB2A6F"/>
    <w:rsid w:val="00BB5057"/>
    <w:rsid w:val="00BC2F03"/>
    <w:rsid w:val="00BC41A0"/>
    <w:rsid w:val="00BF2CDC"/>
    <w:rsid w:val="00BF4F6B"/>
    <w:rsid w:val="00C24261"/>
    <w:rsid w:val="00C24288"/>
    <w:rsid w:val="00C2707F"/>
    <w:rsid w:val="00C4072A"/>
    <w:rsid w:val="00C417D1"/>
    <w:rsid w:val="00C42F50"/>
    <w:rsid w:val="00C463E5"/>
    <w:rsid w:val="00C533F4"/>
    <w:rsid w:val="00C70BB8"/>
    <w:rsid w:val="00C75768"/>
    <w:rsid w:val="00C761AC"/>
    <w:rsid w:val="00C8594D"/>
    <w:rsid w:val="00C90B00"/>
    <w:rsid w:val="00C96A00"/>
    <w:rsid w:val="00CB32F3"/>
    <w:rsid w:val="00CC0EFA"/>
    <w:rsid w:val="00CD074D"/>
    <w:rsid w:val="00CE0118"/>
    <w:rsid w:val="00CF01F3"/>
    <w:rsid w:val="00CF15D3"/>
    <w:rsid w:val="00D125DA"/>
    <w:rsid w:val="00D172ED"/>
    <w:rsid w:val="00D20D98"/>
    <w:rsid w:val="00D23462"/>
    <w:rsid w:val="00D23D24"/>
    <w:rsid w:val="00D245FA"/>
    <w:rsid w:val="00D26636"/>
    <w:rsid w:val="00D3095B"/>
    <w:rsid w:val="00D41653"/>
    <w:rsid w:val="00D41F1B"/>
    <w:rsid w:val="00D438FA"/>
    <w:rsid w:val="00D62490"/>
    <w:rsid w:val="00D642DE"/>
    <w:rsid w:val="00D65A05"/>
    <w:rsid w:val="00D666AA"/>
    <w:rsid w:val="00D80C7D"/>
    <w:rsid w:val="00D86248"/>
    <w:rsid w:val="00DA3CBE"/>
    <w:rsid w:val="00DB419C"/>
    <w:rsid w:val="00DC166D"/>
    <w:rsid w:val="00DD5B05"/>
    <w:rsid w:val="00DE2A73"/>
    <w:rsid w:val="00DF3D51"/>
    <w:rsid w:val="00DF3FF4"/>
    <w:rsid w:val="00DF4A99"/>
    <w:rsid w:val="00DF73E2"/>
    <w:rsid w:val="00E0060C"/>
    <w:rsid w:val="00E026CB"/>
    <w:rsid w:val="00E0483D"/>
    <w:rsid w:val="00E13F91"/>
    <w:rsid w:val="00E17F88"/>
    <w:rsid w:val="00E22EFE"/>
    <w:rsid w:val="00E3440E"/>
    <w:rsid w:val="00E35EAB"/>
    <w:rsid w:val="00E36BC0"/>
    <w:rsid w:val="00E4140B"/>
    <w:rsid w:val="00E46993"/>
    <w:rsid w:val="00E51619"/>
    <w:rsid w:val="00E51943"/>
    <w:rsid w:val="00E67CF4"/>
    <w:rsid w:val="00E73BBA"/>
    <w:rsid w:val="00E76177"/>
    <w:rsid w:val="00E7702A"/>
    <w:rsid w:val="00E814CE"/>
    <w:rsid w:val="00E82A14"/>
    <w:rsid w:val="00EA1E77"/>
    <w:rsid w:val="00EA6AFF"/>
    <w:rsid w:val="00EA78FD"/>
    <w:rsid w:val="00EB18B0"/>
    <w:rsid w:val="00EB516A"/>
    <w:rsid w:val="00EC2E67"/>
    <w:rsid w:val="00EC459A"/>
    <w:rsid w:val="00EC610B"/>
    <w:rsid w:val="00EC7822"/>
    <w:rsid w:val="00ED224B"/>
    <w:rsid w:val="00ED69B8"/>
    <w:rsid w:val="00ED7CEB"/>
    <w:rsid w:val="00EF1853"/>
    <w:rsid w:val="00F0458C"/>
    <w:rsid w:val="00F066E3"/>
    <w:rsid w:val="00F1019D"/>
    <w:rsid w:val="00F2310E"/>
    <w:rsid w:val="00F31F7E"/>
    <w:rsid w:val="00F375E0"/>
    <w:rsid w:val="00F50468"/>
    <w:rsid w:val="00F6352E"/>
    <w:rsid w:val="00F754E1"/>
    <w:rsid w:val="00F879C2"/>
    <w:rsid w:val="00F87CE3"/>
    <w:rsid w:val="00F94F2D"/>
    <w:rsid w:val="00FA3E37"/>
    <w:rsid w:val="00FB0039"/>
    <w:rsid w:val="00FB0886"/>
    <w:rsid w:val="00FB2AF6"/>
    <w:rsid w:val="00FC25A3"/>
    <w:rsid w:val="00FD19BF"/>
    <w:rsid w:val="00FD3943"/>
    <w:rsid w:val="00FD5515"/>
    <w:rsid w:val="00FD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4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814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7955111016528341"/>
          <c:y val="2.5506874336632568E-2"/>
          <c:w val="0.81609675817549865"/>
          <c:h val="0.67974427961396366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Q II 2018</c:v>
                </c:pt>
                <c:pt idx="1">
                  <c:v>Q III 2018</c:v>
                </c:pt>
                <c:pt idx="2">
                  <c:v> Q IV 2018</c:v>
                </c:pt>
                <c:pt idx="3">
                  <c:v> Q I 2019</c:v>
                </c:pt>
                <c:pt idx="4">
                  <c:v>Q II 2019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294</c:v>
                </c:pt>
                <c:pt idx="1">
                  <c:v>276</c:v>
                </c:pt>
                <c:pt idx="2">
                  <c:v>331</c:v>
                </c:pt>
                <c:pt idx="3">
                  <c:v>337</c:v>
                </c:pt>
                <c:pt idx="4">
                  <c:v>215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Q II 2018</c:v>
                </c:pt>
                <c:pt idx="1">
                  <c:v>Q III 2018</c:v>
                </c:pt>
                <c:pt idx="2">
                  <c:v> Q IV 2018</c:v>
                </c:pt>
                <c:pt idx="3">
                  <c:v> Q I 2019</c:v>
                </c:pt>
                <c:pt idx="4">
                  <c:v>Q II 2019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1437</c:v>
                </c:pt>
                <c:pt idx="1">
                  <c:v>1532</c:v>
                </c:pt>
                <c:pt idx="2">
                  <c:v>1566</c:v>
                </c:pt>
                <c:pt idx="3">
                  <c:v>1645</c:v>
                </c:pt>
                <c:pt idx="4">
                  <c:v>1358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Q II 2018</c:v>
                </c:pt>
                <c:pt idx="1">
                  <c:v>Q III 2018</c:v>
                </c:pt>
                <c:pt idx="2">
                  <c:v> Q IV 2018</c:v>
                </c:pt>
                <c:pt idx="3">
                  <c:v> Q I 2019</c:v>
                </c:pt>
                <c:pt idx="4">
                  <c:v>Q II 2019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2277</c:v>
                </c:pt>
                <c:pt idx="1">
                  <c:v>2534</c:v>
                </c:pt>
                <c:pt idx="2">
                  <c:v>2602</c:v>
                </c:pt>
                <c:pt idx="3">
                  <c:v>2617</c:v>
                </c:pt>
                <c:pt idx="4">
                  <c:v>2241</c:v>
                </c:pt>
              </c:numCache>
            </c:numRef>
          </c:val>
        </c:ser>
        <c:marker val="1"/>
        <c:axId val="82662912"/>
        <c:axId val="82664448"/>
      </c:lineChart>
      <c:catAx>
        <c:axId val="8266291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82664448"/>
        <c:crosses val="autoZero"/>
        <c:auto val="1"/>
        <c:lblAlgn val="ctr"/>
        <c:lblOffset val="100"/>
      </c:catAx>
      <c:valAx>
        <c:axId val="82664448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7.2072072072072125E-3"/>
              <c:y val="0.22323698565892594"/>
            </c:manualLayout>
          </c:layout>
        </c:title>
        <c:numFmt formatCode="#,##0" sourceLinked="0"/>
        <c:tickLblPos val="nextTo"/>
        <c:crossAx val="826629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4788658459946031"/>
          <c:w val="0.9960022077985593"/>
          <c:h val="0.15211341540053971"/>
        </c:manualLayout>
      </c:layout>
      <c:spPr>
        <a:ln>
          <a:noFill/>
        </a:ln>
      </c:spPr>
    </c:legend>
    <c:plotVisOnly val="1"/>
    <c:dispBlanksAs val="gap"/>
  </c:chart>
  <c:spPr>
    <a:noFill/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35831-0936-4237-9C55-887A872A0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hbadran</cp:lastModifiedBy>
  <cp:revision>3</cp:revision>
  <cp:lastPrinted>2019-08-29T11:42:00Z</cp:lastPrinted>
  <dcterms:created xsi:type="dcterms:W3CDTF">2019-08-29T11:46:00Z</dcterms:created>
  <dcterms:modified xsi:type="dcterms:W3CDTF">2019-08-29T11:54:00Z</dcterms:modified>
</cp:coreProperties>
</file>