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CA" w:rsidRPr="004A1ECA" w:rsidRDefault="004A1ECA" w:rsidP="004A1ECA">
      <w:pPr>
        <w:pStyle w:val="Heading1"/>
        <w:jc w:val="center"/>
        <w:rPr>
          <w:rFonts w:asciiTheme="majorBidi" w:hAnsiTheme="majorBidi" w:cstheme="majorBidi"/>
          <w:b w:val="0"/>
          <w:bCs w:val="0"/>
          <w:color w:val="000000"/>
          <w:sz w:val="32"/>
          <w:szCs w:val="32"/>
        </w:rPr>
      </w:pPr>
      <w:r w:rsidRPr="004A1ECA">
        <w:rPr>
          <w:rFonts w:asciiTheme="majorBidi" w:hAnsiTheme="majorBidi" w:cstheme="majorBidi"/>
          <w:sz w:val="32"/>
          <w:szCs w:val="32"/>
        </w:rPr>
        <w:t>Palestinian Central Bureau of Statistics (PCBS)</w:t>
      </w:r>
    </w:p>
    <w:p w:rsidR="004A1ECA" w:rsidRPr="004A1ECA" w:rsidRDefault="004A1ECA" w:rsidP="004A1ECA">
      <w:pPr>
        <w:bidi w:val="0"/>
        <w:spacing w:line="360" w:lineRule="auto"/>
        <w:jc w:val="center"/>
        <w:rPr>
          <w:rFonts w:asciiTheme="majorBidi" w:hAnsiTheme="majorBidi" w:cstheme="majorBidi"/>
          <w:b/>
          <w:bCs/>
          <w:color w:val="000000"/>
          <w:sz w:val="16"/>
          <w:szCs w:val="16"/>
          <w:rtl/>
        </w:rPr>
      </w:pPr>
    </w:p>
    <w:p w:rsidR="004A1ECA" w:rsidRPr="004E2459" w:rsidRDefault="004A1ECA" w:rsidP="004A1ECA">
      <w:pPr>
        <w:bidi w:val="0"/>
        <w:spacing w:line="360" w:lineRule="auto"/>
        <w:jc w:val="center"/>
        <w:rPr>
          <w:rFonts w:asciiTheme="majorBidi" w:hAnsiTheme="majorBidi" w:cstheme="majorBidi"/>
          <w:b/>
          <w:bCs/>
          <w:color w:val="000000"/>
          <w:sz w:val="30"/>
          <w:szCs w:val="30"/>
        </w:rPr>
      </w:pPr>
      <w:r w:rsidRPr="004E2459">
        <w:rPr>
          <w:rFonts w:asciiTheme="majorBidi" w:hAnsiTheme="majorBidi" w:cstheme="majorBidi"/>
          <w:b/>
          <w:bCs/>
          <w:color w:val="000000"/>
          <w:sz w:val="30"/>
          <w:szCs w:val="30"/>
        </w:rPr>
        <w:t>Palestinian</w:t>
      </w:r>
      <w:r w:rsidRPr="004E2459">
        <w:rPr>
          <w:rFonts w:asciiTheme="majorBidi" w:hAnsiTheme="majorBidi" w:cstheme="majorBidi"/>
          <w:b/>
          <w:bCs/>
          <w:sz w:val="30"/>
          <w:szCs w:val="30"/>
        </w:rPr>
        <w:t xml:space="preserve"> </w:t>
      </w:r>
      <w:r w:rsidRPr="004E2459">
        <w:rPr>
          <w:rFonts w:asciiTheme="majorBidi" w:hAnsiTheme="majorBidi" w:cstheme="majorBidi"/>
          <w:b/>
          <w:bCs/>
          <w:color w:val="000000"/>
          <w:sz w:val="30"/>
          <w:szCs w:val="30"/>
        </w:rPr>
        <w:t>Wholesale Price Index</w:t>
      </w:r>
      <w:r w:rsidRPr="004E2459">
        <w:rPr>
          <w:rFonts w:asciiTheme="majorBidi" w:hAnsiTheme="majorBidi" w:cstheme="majorBidi"/>
          <w:b/>
          <w:bCs/>
          <w:sz w:val="30"/>
          <w:szCs w:val="30"/>
        </w:rPr>
        <w:t xml:space="preserve"> Durin</w:t>
      </w:r>
      <w:bookmarkStart w:id="0" w:name="_GoBack"/>
      <w:bookmarkEnd w:id="0"/>
      <w:r w:rsidRPr="004E2459">
        <w:rPr>
          <w:rFonts w:asciiTheme="majorBidi" w:hAnsiTheme="majorBidi" w:cstheme="majorBidi"/>
          <w:b/>
          <w:bCs/>
          <w:sz w:val="30"/>
          <w:szCs w:val="30"/>
        </w:rPr>
        <w:t xml:space="preserve">g 2020 </w:t>
      </w:r>
      <w:r w:rsidRPr="004E2459">
        <w:rPr>
          <w:rFonts w:asciiTheme="majorBidi" w:hAnsiTheme="majorBidi" w:cstheme="majorBidi"/>
          <w:b/>
          <w:bCs/>
          <w:color w:val="000000"/>
          <w:sz w:val="30"/>
          <w:szCs w:val="30"/>
        </w:rPr>
        <w:t>&amp;</w:t>
      </w:r>
      <w:r w:rsidRPr="004E2459">
        <w:rPr>
          <w:rFonts w:asciiTheme="majorBidi" w:hAnsiTheme="majorBidi" w:cstheme="majorBidi"/>
          <w:b/>
          <w:bCs/>
          <w:sz w:val="30"/>
          <w:szCs w:val="30"/>
        </w:rPr>
        <w:t xml:space="preserve"> the Fourth Quarter of 2020</w:t>
      </w:r>
    </w:p>
    <w:p w:rsidR="004A1ECA" w:rsidRPr="004A1ECA" w:rsidRDefault="004A1ECA" w:rsidP="004A1ECA">
      <w:pPr>
        <w:bidi w:val="0"/>
        <w:spacing w:line="360" w:lineRule="auto"/>
        <w:jc w:val="center"/>
        <w:rPr>
          <w:rFonts w:asciiTheme="majorBidi" w:hAnsiTheme="majorBidi" w:cstheme="majorBidi"/>
          <w:b/>
          <w:bCs/>
          <w:color w:val="000000"/>
          <w:sz w:val="26"/>
          <w:szCs w:val="26"/>
          <w:rtl/>
        </w:rPr>
      </w:pPr>
    </w:p>
    <w:p w:rsidR="004A1ECA" w:rsidRPr="004A1ECA" w:rsidRDefault="00EB7D21" w:rsidP="004A1ECA">
      <w:pPr>
        <w:bidi w:val="0"/>
        <w:jc w:val="both"/>
        <w:outlineLvl w:val="1"/>
        <w:rPr>
          <w:rFonts w:asciiTheme="majorBidi" w:hAnsiTheme="majorBidi" w:cstheme="majorBidi"/>
          <w:b/>
          <w:bCs/>
          <w:sz w:val="26"/>
          <w:szCs w:val="26"/>
        </w:rPr>
      </w:pPr>
      <w:r w:rsidRPr="004A1ECA">
        <w:rPr>
          <w:rFonts w:asciiTheme="majorBidi" w:hAnsiTheme="majorBidi" w:cstheme="majorBidi"/>
          <w:b/>
          <w:bCs/>
          <w:color w:val="000000"/>
          <w:sz w:val="26"/>
          <w:szCs w:val="26"/>
        </w:rPr>
        <w:t>De</w:t>
      </w:r>
      <w:r w:rsidR="006177C1" w:rsidRPr="004A1ECA">
        <w:rPr>
          <w:rFonts w:asciiTheme="majorBidi" w:hAnsiTheme="majorBidi" w:cstheme="majorBidi"/>
          <w:b/>
          <w:bCs/>
          <w:color w:val="000000"/>
          <w:sz w:val="26"/>
          <w:szCs w:val="26"/>
        </w:rPr>
        <w:t>crease in</w:t>
      </w:r>
      <w:r w:rsidR="006177C1" w:rsidRPr="004A1ECA">
        <w:rPr>
          <w:rFonts w:asciiTheme="majorBidi" w:hAnsiTheme="majorBidi" w:cstheme="majorBidi"/>
          <w:b/>
          <w:bCs/>
          <w:sz w:val="26"/>
          <w:szCs w:val="26"/>
        </w:rPr>
        <w:t xml:space="preserve"> the Wholesale Price</w:t>
      </w:r>
      <w:r w:rsidR="006B279C" w:rsidRPr="004A1ECA">
        <w:rPr>
          <w:rStyle w:val="FootnoteReference"/>
          <w:rFonts w:asciiTheme="majorBidi" w:hAnsiTheme="majorBidi" w:cstheme="majorBidi"/>
          <w:b/>
          <w:bCs/>
          <w:sz w:val="26"/>
          <w:szCs w:val="26"/>
        </w:rPr>
        <w:footnoteReference w:id="1"/>
      </w:r>
      <w:r w:rsidR="006177C1" w:rsidRPr="004A1ECA">
        <w:rPr>
          <w:rFonts w:asciiTheme="majorBidi" w:hAnsiTheme="majorBidi" w:cstheme="majorBidi"/>
          <w:b/>
          <w:bCs/>
          <w:sz w:val="26"/>
          <w:szCs w:val="26"/>
        </w:rPr>
        <w:t xml:space="preserve"> Index (WPI) During</w:t>
      </w:r>
      <w:r w:rsidR="006177C1" w:rsidRPr="004A1ECA">
        <w:rPr>
          <w:rFonts w:asciiTheme="majorBidi" w:hAnsiTheme="majorBidi" w:cstheme="majorBidi"/>
          <w:b/>
          <w:bCs/>
          <w:kern w:val="36"/>
          <w:sz w:val="26"/>
          <w:szCs w:val="26"/>
        </w:rPr>
        <w:t xml:space="preserve"> </w:t>
      </w:r>
      <w:r w:rsidRPr="004A1ECA">
        <w:rPr>
          <w:rFonts w:asciiTheme="majorBidi" w:hAnsiTheme="majorBidi" w:cstheme="majorBidi"/>
          <w:b/>
          <w:bCs/>
          <w:kern w:val="36"/>
          <w:sz w:val="26"/>
          <w:szCs w:val="26"/>
        </w:rPr>
        <w:t>2020</w:t>
      </w:r>
    </w:p>
    <w:p w:rsidR="006177C1" w:rsidRPr="004A1ECA" w:rsidRDefault="006177C1" w:rsidP="00EB7D21">
      <w:pPr>
        <w:bidi w:val="0"/>
        <w:jc w:val="both"/>
        <w:rPr>
          <w:rFonts w:asciiTheme="majorBidi" w:hAnsiTheme="majorBidi" w:cstheme="majorBidi"/>
          <w:sz w:val="26"/>
          <w:szCs w:val="26"/>
        </w:rPr>
      </w:pPr>
      <w:r w:rsidRPr="004A1ECA">
        <w:rPr>
          <w:rFonts w:asciiTheme="majorBidi" w:hAnsiTheme="majorBidi" w:cstheme="majorBidi"/>
          <w:sz w:val="26"/>
          <w:szCs w:val="26"/>
        </w:rPr>
        <w:t xml:space="preserve">The </w:t>
      </w:r>
      <w:r w:rsidRPr="004A1ECA">
        <w:rPr>
          <w:rFonts w:asciiTheme="majorBidi" w:hAnsiTheme="majorBidi" w:cstheme="majorBidi"/>
          <w:b/>
          <w:bCs/>
          <w:sz w:val="26"/>
          <w:szCs w:val="26"/>
        </w:rPr>
        <w:t>overall Wholesale Price Index (WPI) in Palestine</w:t>
      </w:r>
      <w:r w:rsidRPr="004A1ECA">
        <w:rPr>
          <w:rFonts w:asciiTheme="majorBidi" w:hAnsiTheme="majorBidi" w:cstheme="majorBidi"/>
          <w:sz w:val="26"/>
          <w:szCs w:val="26"/>
        </w:rPr>
        <w:t xml:space="preserve"> with its base year (2007=100) reached </w:t>
      </w:r>
      <w:r w:rsidR="00EB7D21" w:rsidRPr="004A1ECA">
        <w:rPr>
          <w:rFonts w:asciiTheme="majorBidi" w:hAnsiTheme="majorBidi" w:cstheme="majorBidi"/>
          <w:sz w:val="26"/>
          <w:szCs w:val="26"/>
        </w:rPr>
        <w:t>125.48</w:t>
      </w:r>
      <w:r w:rsidRPr="004A1ECA">
        <w:rPr>
          <w:rFonts w:asciiTheme="majorBidi" w:hAnsiTheme="majorBidi" w:cstheme="majorBidi"/>
          <w:sz w:val="26"/>
          <w:szCs w:val="26"/>
        </w:rPr>
        <w:t xml:space="preserve"> </w:t>
      </w:r>
      <w:r w:rsidRPr="004A1ECA">
        <w:rPr>
          <w:rFonts w:asciiTheme="majorBidi" w:hAnsiTheme="majorBidi" w:cstheme="majorBidi"/>
          <w:b/>
          <w:bCs/>
          <w:sz w:val="26"/>
          <w:szCs w:val="26"/>
        </w:rPr>
        <w:t xml:space="preserve">in </w:t>
      </w:r>
      <w:r w:rsidR="00EB7D21" w:rsidRPr="004A1ECA">
        <w:rPr>
          <w:rFonts w:asciiTheme="majorBidi" w:hAnsiTheme="majorBidi" w:cstheme="majorBidi"/>
          <w:b/>
          <w:bCs/>
          <w:sz w:val="26"/>
          <w:szCs w:val="26"/>
        </w:rPr>
        <w:t>2020</w:t>
      </w:r>
      <w:r w:rsidRPr="004A1ECA">
        <w:rPr>
          <w:rFonts w:asciiTheme="majorBidi" w:hAnsiTheme="majorBidi" w:cstheme="majorBidi"/>
          <w:sz w:val="26"/>
          <w:szCs w:val="26"/>
        </w:rPr>
        <w:t xml:space="preserve">, </w:t>
      </w:r>
      <w:r w:rsidR="00EB7D21" w:rsidRPr="004A1ECA">
        <w:rPr>
          <w:rFonts w:asciiTheme="majorBidi" w:hAnsiTheme="majorBidi" w:cstheme="majorBidi"/>
          <w:sz w:val="26"/>
          <w:szCs w:val="26"/>
        </w:rPr>
        <w:t>which indicates a</w:t>
      </w:r>
      <w:r w:rsidRPr="004A1ECA">
        <w:rPr>
          <w:rFonts w:asciiTheme="majorBidi" w:hAnsiTheme="majorBidi" w:cstheme="majorBidi"/>
          <w:sz w:val="26"/>
          <w:szCs w:val="26"/>
        </w:rPr>
        <w:t xml:space="preserve"> </w:t>
      </w:r>
      <w:r w:rsidR="00EB7D21" w:rsidRPr="004A1ECA">
        <w:rPr>
          <w:rFonts w:asciiTheme="majorBidi" w:hAnsiTheme="majorBidi" w:cstheme="majorBidi"/>
          <w:b/>
          <w:bCs/>
          <w:sz w:val="26"/>
          <w:szCs w:val="26"/>
        </w:rPr>
        <w:t>de</w:t>
      </w:r>
      <w:r w:rsidRPr="004A1ECA">
        <w:rPr>
          <w:rFonts w:asciiTheme="majorBidi" w:hAnsiTheme="majorBidi" w:cstheme="majorBidi"/>
          <w:b/>
          <w:bCs/>
          <w:sz w:val="26"/>
          <w:szCs w:val="26"/>
        </w:rPr>
        <w:t xml:space="preserve">crease by </w:t>
      </w:r>
      <w:r w:rsidR="00EB7D21" w:rsidRPr="004A1ECA">
        <w:rPr>
          <w:rFonts w:asciiTheme="majorBidi" w:hAnsiTheme="majorBidi" w:cstheme="majorBidi"/>
          <w:b/>
          <w:bCs/>
          <w:sz w:val="26"/>
          <w:szCs w:val="26"/>
        </w:rPr>
        <w:t>0.10</w:t>
      </w:r>
      <w:r w:rsidRPr="004A1ECA">
        <w:rPr>
          <w:rFonts w:asciiTheme="majorBidi" w:hAnsiTheme="majorBidi" w:cstheme="majorBidi"/>
          <w:b/>
          <w:bCs/>
          <w:sz w:val="26"/>
          <w:szCs w:val="26"/>
        </w:rPr>
        <w:t>%</w:t>
      </w:r>
      <w:r w:rsidRPr="004A1ECA">
        <w:rPr>
          <w:rFonts w:asciiTheme="majorBidi" w:hAnsiTheme="majorBidi" w:cstheme="majorBidi"/>
          <w:sz w:val="26"/>
          <w:szCs w:val="26"/>
        </w:rPr>
        <w:t xml:space="preserve"> </w:t>
      </w:r>
      <w:r w:rsidRPr="004A1ECA">
        <w:rPr>
          <w:rFonts w:asciiTheme="majorBidi" w:hAnsiTheme="majorBidi" w:cstheme="majorBidi"/>
          <w:b/>
          <w:bCs/>
          <w:sz w:val="26"/>
          <w:szCs w:val="26"/>
        </w:rPr>
        <w:t xml:space="preserve">compared with </w:t>
      </w:r>
      <w:r w:rsidR="00EB7D21" w:rsidRPr="004A1ECA">
        <w:rPr>
          <w:rFonts w:asciiTheme="majorBidi" w:hAnsiTheme="majorBidi" w:cstheme="majorBidi"/>
          <w:b/>
          <w:bCs/>
          <w:sz w:val="26"/>
          <w:szCs w:val="26"/>
        </w:rPr>
        <w:t>2019</w:t>
      </w:r>
      <w:r w:rsidRPr="004A1ECA">
        <w:rPr>
          <w:rFonts w:asciiTheme="majorBidi" w:hAnsiTheme="majorBidi" w:cstheme="majorBidi"/>
          <w:sz w:val="26"/>
          <w:szCs w:val="26"/>
        </w:rPr>
        <w:t>.</w:t>
      </w:r>
    </w:p>
    <w:p w:rsidR="006177C1" w:rsidRPr="004A1ECA" w:rsidRDefault="006177C1" w:rsidP="004A1ECA">
      <w:pPr>
        <w:bidi w:val="0"/>
        <w:outlineLvl w:val="1"/>
        <w:rPr>
          <w:rFonts w:asciiTheme="majorBidi" w:hAnsiTheme="majorBidi" w:cstheme="majorBidi"/>
          <w:b/>
          <w:bCs/>
          <w:color w:val="000000"/>
          <w:sz w:val="16"/>
          <w:szCs w:val="16"/>
        </w:rPr>
      </w:pPr>
    </w:p>
    <w:p w:rsidR="006177C1" w:rsidRPr="004A1ECA" w:rsidRDefault="006177C1" w:rsidP="00DD16C7">
      <w:pPr>
        <w:bidi w:val="0"/>
        <w:jc w:val="both"/>
        <w:rPr>
          <w:rFonts w:asciiTheme="majorBidi" w:hAnsiTheme="majorBidi" w:cstheme="majorBidi"/>
          <w:sz w:val="26"/>
          <w:szCs w:val="26"/>
        </w:rPr>
      </w:pPr>
      <w:r w:rsidRPr="004A1ECA">
        <w:rPr>
          <w:rFonts w:asciiTheme="majorBidi" w:hAnsiTheme="majorBidi" w:cstheme="majorBidi"/>
          <w:sz w:val="26"/>
          <w:szCs w:val="26"/>
        </w:rPr>
        <w:t xml:space="preserve">Prices of WPI for </w:t>
      </w:r>
      <w:r w:rsidR="00DD16C7" w:rsidRPr="004A1ECA">
        <w:rPr>
          <w:rFonts w:asciiTheme="majorBidi" w:hAnsiTheme="majorBidi" w:cstheme="majorBidi"/>
          <w:sz w:val="26"/>
          <w:szCs w:val="26"/>
        </w:rPr>
        <w:t>2020</w:t>
      </w:r>
      <w:r w:rsidRPr="004A1ECA">
        <w:rPr>
          <w:rFonts w:asciiTheme="majorBidi" w:hAnsiTheme="majorBidi" w:cstheme="majorBidi"/>
          <w:sz w:val="26"/>
          <w:szCs w:val="26"/>
        </w:rPr>
        <w:t xml:space="preserve"> </w:t>
      </w:r>
      <w:r w:rsidR="00EB7D21" w:rsidRPr="004A1ECA">
        <w:rPr>
          <w:rFonts w:asciiTheme="majorBidi" w:hAnsiTheme="majorBidi" w:cstheme="majorBidi"/>
          <w:sz w:val="26"/>
          <w:szCs w:val="26"/>
        </w:rPr>
        <w:t>de</w:t>
      </w:r>
      <w:r w:rsidRPr="004A1ECA">
        <w:rPr>
          <w:rFonts w:asciiTheme="majorBidi" w:hAnsiTheme="majorBidi" w:cstheme="majorBidi"/>
          <w:sz w:val="26"/>
          <w:szCs w:val="26"/>
        </w:rPr>
        <w:t xml:space="preserve">creased due to the </w:t>
      </w:r>
      <w:r w:rsidR="00EB7D21" w:rsidRPr="004A1ECA">
        <w:rPr>
          <w:rFonts w:asciiTheme="majorBidi" w:hAnsiTheme="majorBidi" w:cstheme="majorBidi"/>
          <w:sz w:val="26"/>
          <w:szCs w:val="26"/>
        </w:rPr>
        <w:t>de</w:t>
      </w:r>
      <w:r w:rsidRPr="004A1ECA">
        <w:rPr>
          <w:rFonts w:asciiTheme="majorBidi" w:hAnsiTheme="majorBidi" w:cstheme="majorBidi"/>
          <w:sz w:val="26"/>
          <w:szCs w:val="26"/>
        </w:rPr>
        <w:t xml:space="preserve">crease in the prices of </w:t>
      </w:r>
      <w:r w:rsidRPr="004A1ECA">
        <w:rPr>
          <w:rFonts w:asciiTheme="majorBidi" w:hAnsiTheme="majorBidi" w:cstheme="majorBidi"/>
          <w:b/>
          <w:bCs/>
          <w:sz w:val="26"/>
          <w:szCs w:val="26"/>
        </w:rPr>
        <w:t xml:space="preserve">Fishing goods by </w:t>
      </w:r>
      <w:r w:rsidR="00EB7D21" w:rsidRPr="004A1ECA">
        <w:rPr>
          <w:rFonts w:asciiTheme="majorBidi" w:hAnsiTheme="majorBidi" w:cstheme="majorBidi"/>
          <w:b/>
          <w:bCs/>
          <w:sz w:val="26"/>
          <w:szCs w:val="26"/>
        </w:rPr>
        <w:t>2.22</w:t>
      </w:r>
      <w:r w:rsidRPr="004A1ECA">
        <w:rPr>
          <w:rFonts w:asciiTheme="majorBidi" w:hAnsiTheme="majorBidi" w:cstheme="majorBidi"/>
          <w:b/>
          <w:bCs/>
          <w:sz w:val="26"/>
          <w:szCs w:val="26"/>
        </w:rPr>
        <w:t>%</w:t>
      </w:r>
      <w:r w:rsidRPr="004A1ECA">
        <w:rPr>
          <w:rFonts w:asciiTheme="majorBidi" w:hAnsiTheme="majorBidi" w:cstheme="majorBidi"/>
          <w:sz w:val="26"/>
          <w:szCs w:val="26"/>
        </w:rPr>
        <w:t xml:space="preserve">, </w:t>
      </w:r>
      <w:r w:rsidRPr="004A1ECA">
        <w:rPr>
          <w:rFonts w:asciiTheme="majorBidi" w:hAnsiTheme="majorBidi" w:cstheme="majorBidi"/>
          <w:b/>
          <w:bCs/>
          <w:sz w:val="26"/>
          <w:szCs w:val="26"/>
        </w:rPr>
        <w:t xml:space="preserve">Mining and quarrying group  by </w:t>
      </w:r>
      <w:r w:rsidR="00EB7D21" w:rsidRPr="004A1ECA">
        <w:rPr>
          <w:rFonts w:asciiTheme="majorBidi" w:hAnsiTheme="majorBidi" w:cstheme="majorBidi"/>
          <w:b/>
          <w:bCs/>
          <w:sz w:val="26"/>
          <w:szCs w:val="26"/>
        </w:rPr>
        <w:t>1.56</w:t>
      </w:r>
      <w:r w:rsidRPr="004A1ECA">
        <w:rPr>
          <w:rFonts w:asciiTheme="majorBidi" w:hAnsiTheme="majorBidi" w:cstheme="majorBidi"/>
          <w:b/>
          <w:bCs/>
          <w:sz w:val="26"/>
          <w:szCs w:val="26"/>
        </w:rPr>
        <w:t xml:space="preserve">%, and </w:t>
      </w:r>
      <w:r w:rsidR="00EB7D21" w:rsidRPr="004A1ECA">
        <w:rPr>
          <w:rFonts w:asciiTheme="majorBidi" w:hAnsiTheme="majorBidi" w:cstheme="majorBidi"/>
          <w:b/>
          <w:bCs/>
          <w:sz w:val="26"/>
          <w:szCs w:val="26"/>
        </w:rPr>
        <w:t xml:space="preserve">Manufacturing group </w:t>
      </w:r>
      <w:r w:rsidRPr="004A1ECA">
        <w:rPr>
          <w:rFonts w:asciiTheme="majorBidi" w:hAnsiTheme="majorBidi" w:cstheme="majorBidi"/>
          <w:b/>
          <w:bCs/>
          <w:sz w:val="26"/>
          <w:szCs w:val="26"/>
        </w:rPr>
        <w:t xml:space="preserve">by </w:t>
      </w:r>
      <w:r w:rsidR="00EB7D21" w:rsidRPr="004A1ECA">
        <w:rPr>
          <w:rFonts w:asciiTheme="majorBidi" w:hAnsiTheme="majorBidi" w:cstheme="majorBidi"/>
          <w:b/>
          <w:bCs/>
          <w:sz w:val="26"/>
          <w:szCs w:val="26"/>
        </w:rPr>
        <w:t>0.24</w:t>
      </w:r>
      <w:r w:rsidRPr="004A1ECA">
        <w:rPr>
          <w:rFonts w:asciiTheme="majorBidi" w:hAnsiTheme="majorBidi" w:cstheme="majorBidi"/>
          <w:b/>
          <w:bCs/>
          <w:sz w:val="26"/>
          <w:szCs w:val="26"/>
        </w:rPr>
        <w:t>%</w:t>
      </w:r>
      <w:r w:rsidRPr="004A1ECA">
        <w:rPr>
          <w:rFonts w:asciiTheme="majorBidi" w:hAnsiTheme="majorBidi" w:cstheme="majorBidi"/>
          <w:sz w:val="26"/>
          <w:szCs w:val="26"/>
        </w:rPr>
        <w:t xml:space="preserve">, while the prices of </w:t>
      </w:r>
      <w:r w:rsidR="00EB7D21" w:rsidRPr="004A1ECA">
        <w:rPr>
          <w:rFonts w:asciiTheme="majorBidi" w:hAnsiTheme="majorBidi" w:cstheme="majorBidi"/>
          <w:b/>
          <w:bCs/>
          <w:sz w:val="26"/>
          <w:szCs w:val="26"/>
        </w:rPr>
        <w:t>Agricultural goods</w:t>
      </w:r>
      <w:r w:rsidRPr="004A1ECA">
        <w:rPr>
          <w:rFonts w:asciiTheme="majorBidi" w:hAnsiTheme="majorBidi" w:cstheme="majorBidi"/>
          <w:b/>
          <w:bCs/>
          <w:sz w:val="26"/>
          <w:szCs w:val="26"/>
        </w:rPr>
        <w:t xml:space="preserve"> </w:t>
      </w:r>
      <w:r w:rsidR="00EB7D21" w:rsidRPr="004A1ECA">
        <w:rPr>
          <w:rFonts w:asciiTheme="majorBidi" w:hAnsiTheme="majorBidi" w:cstheme="majorBidi"/>
          <w:b/>
          <w:bCs/>
          <w:sz w:val="26"/>
          <w:szCs w:val="26"/>
        </w:rPr>
        <w:t>in</w:t>
      </w:r>
      <w:r w:rsidRPr="004A1ECA">
        <w:rPr>
          <w:rFonts w:asciiTheme="majorBidi" w:hAnsiTheme="majorBidi" w:cstheme="majorBidi"/>
          <w:b/>
          <w:bCs/>
          <w:sz w:val="26"/>
          <w:szCs w:val="26"/>
        </w:rPr>
        <w:t xml:space="preserve">creased by </w:t>
      </w:r>
      <w:r w:rsidR="00EB7D21" w:rsidRPr="004A1ECA">
        <w:rPr>
          <w:rFonts w:asciiTheme="majorBidi" w:hAnsiTheme="majorBidi" w:cstheme="majorBidi"/>
          <w:b/>
          <w:bCs/>
          <w:sz w:val="26"/>
          <w:szCs w:val="26"/>
        </w:rPr>
        <w:t>0.23</w:t>
      </w:r>
      <w:r w:rsidRPr="004A1ECA">
        <w:rPr>
          <w:rFonts w:asciiTheme="majorBidi" w:hAnsiTheme="majorBidi" w:cstheme="majorBidi"/>
          <w:b/>
          <w:bCs/>
          <w:sz w:val="26"/>
          <w:szCs w:val="26"/>
        </w:rPr>
        <w:t>%</w:t>
      </w:r>
      <w:r w:rsidRPr="004A1ECA">
        <w:rPr>
          <w:rFonts w:asciiTheme="majorBidi" w:hAnsiTheme="majorBidi" w:cstheme="majorBidi"/>
          <w:sz w:val="26"/>
          <w:szCs w:val="26"/>
        </w:rPr>
        <w:t>.</w:t>
      </w:r>
    </w:p>
    <w:p w:rsidR="006177C1" w:rsidRPr="004A1ECA" w:rsidRDefault="006177C1" w:rsidP="004A1ECA">
      <w:pPr>
        <w:bidi w:val="0"/>
        <w:rPr>
          <w:rFonts w:asciiTheme="majorBidi" w:hAnsiTheme="majorBidi" w:cstheme="majorBidi"/>
          <w:sz w:val="16"/>
          <w:szCs w:val="16"/>
        </w:rPr>
      </w:pPr>
    </w:p>
    <w:p w:rsidR="006177C1" w:rsidRPr="004A1ECA" w:rsidRDefault="006177C1" w:rsidP="00EB7D21">
      <w:pPr>
        <w:bidi w:val="0"/>
        <w:jc w:val="both"/>
        <w:rPr>
          <w:rFonts w:asciiTheme="majorBidi" w:hAnsiTheme="majorBidi" w:cstheme="majorBidi"/>
          <w:b/>
          <w:bCs/>
          <w:sz w:val="26"/>
          <w:szCs w:val="26"/>
        </w:rPr>
      </w:pPr>
      <w:r w:rsidRPr="004A1ECA">
        <w:rPr>
          <w:rFonts w:asciiTheme="majorBidi" w:hAnsiTheme="majorBidi" w:cstheme="majorBidi"/>
          <w:sz w:val="26"/>
          <w:szCs w:val="26"/>
        </w:rPr>
        <w:t xml:space="preserve">The prices of </w:t>
      </w:r>
      <w:r w:rsidR="00EB7D21" w:rsidRPr="004A1ECA">
        <w:rPr>
          <w:rFonts w:asciiTheme="majorBidi" w:hAnsiTheme="majorBidi" w:cstheme="majorBidi"/>
          <w:b/>
          <w:bCs/>
          <w:sz w:val="26"/>
          <w:szCs w:val="26"/>
        </w:rPr>
        <w:t>imported products</w:t>
      </w:r>
      <w:r w:rsidR="00EB7D21" w:rsidRPr="004A1ECA">
        <w:rPr>
          <w:rFonts w:asciiTheme="majorBidi" w:hAnsiTheme="majorBidi" w:cstheme="majorBidi"/>
          <w:sz w:val="26"/>
          <w:szCs w:val="26"/>
        </w:rPr>
        <w:t xml:space="preserve"> </w:t>
      </w:r>
      <w:r w:rsidR="00EB7D21" w:rsidRPr="004A1ECA">
        <w:rPr>
          <w:rFonts w:asciiTheme="majorBidi" w:hAnsiTheme="majorBidi" w:cstheme="majorBidi"/>
          <w:b/>
          <w:bCs/>
          <w:sz w:val="26"/>
          <w:szCs w:val="26"/>
        </w:rPr>
        <w:t>de</w:t>
      </w:r>
      <w:r w:rsidRPr="004A1ECA">
        <w:rPr>
          <w:rFonts w:asciiTheme="majorBidi" w:hAnsiTheme="majorBidi" w:cstheme="majorBidi"/>
          <w:b/>
          <w:bCs/>
          <w:sz w:val="26"/>
          <w:szCs w:val="26"/>
        </w:rPr>
        <w:t xml:space="preserve">creased by </w:t>
      </w:r>
      <w:r w:rsidR="00EB7D21" w:rsidRPr="004A1ECA">
        <w:rPr>
          <w:rFonts w:asciiTheme="majorBidi" w:hAnsiTheme="majorBidi" w:cstheme="majorBidi"/>
          <w:b/>
          <w:bCs/>
          <w:sz w:val="26"/>
          <w:szCs w:val="26"/>
        </w:rPr>
        <w:t>1.00</w:t>
      </w:r>
      <w:r w:rsidRPr="004A1ECA">
        <w:rPr>
          <w:rFonts w:asciiTheme="majorBidi" w:hAnsiTheme="majorBidi" w:cstheme="majorBidi"/>
          <w:b/>
          <w:bCs/>
          <w:sz w:val="26"/>
          <w:szCs w:val="26"/>
        </w:rPr>
        <w:t>%</w:t>
      </w:r>
      <w:r w:rsidRPr="004A1ECA">
        <w:rPr>
          <w:rFonts w:asciiTheme="majorBidi" w:hAnsiTheme="majorBidi" w:cstheme="majorBidi"/>
          <w:sz w:val="26"/>
          <w:szCs w:val="26"/>
        </w:rPr>
        <w:t xml:space="preserve">, while the prices of </w:t>
      </w:r>
      <w:r w:rsidR="00EB7D21" w:rsidRPr="004A1ECA">
        <w:rPr>
          <w:rFonts w:asciiTheme="majorBidi" w:hAnsiTheme="majorBidi" w:cstheme="majorBidi"/>
          <w:b/>
          <w:bCs/>
          <w:sz w:val="26"/>
          <w:szCs w:val="26"/>
        </w:rPr>
        <w:t>local products in</w:t>
      </w:r>
      <w:r w:rsidRPr="004A1ECA">
        <w:rPr>
          <w:rFonts w:asciiTheme="majorBidi" w:hAnsiTheme="majorBidi" w:cstheme="majorBidi"/>
          <w:b/>
          <w:bCs/>
          <w:sz w:val="26"/>
          <w:szCs w:val="26"/>
        </w:rPr>
        <w:t xml:space="preserve">creased by </w:t>
      </w:r>
      <w:r w:rsidR="00EB7D21" w:rsidRPr="004A1ECA">
        <w:rPr>
          <w:rFonts w:asciiTheme="majorBidi" w:hAnsiTheme="majorBidi" w:cstheme="majorBidi"/>
          <w:b/>
          <w:bCs/>
          <w:sz w:val="26"/>
          <w:szCs w:val="26"/>
        </w:rPr>
        <w:t>0.68</w:t>
      </w:r>
      <w:r w:rsidRPr="004A1ECA">
        <w:rPr>
          <w:rFonts w:asciiTheme="majorBidi" w:hAnsiTheme="majorBidi" w:cstheme="majorBidi"/>
          <w:b/>
          <w:bCs/>
          <w:sz w:val="26"/>
          <w:szCs w:val="26"/>
        </w:rPr>
        <w:t xml:space="preserve">% </w:t>
      </w:r>
      <w:r w:rsidRPr="004A1ECA">
        <w:rPr>
          <w:rFonts w:asciiTheme="majorBidi" w:hAnsiTheme="majorBidi" w:cstheme="majorBidi"/>
          <w:sz w:val="26"/>
          <w:szCs w:val="26"/>
        </w:rPr>
        <w:t>compared with the previous year.</w:t>
      </w:r>
    </w:p>
    <w:p w:rsidR="006177C1" w:rsidRPr="004A1ECA" w:rsidRDefault="006177C1" w:rsidP="006177C1">
      <w:pPr>
        <w:bidi w:val="0"/>
        <w:jc w:val="both"/>
        <w:outlineLvl w:val="1"/>
        <w:rPr>
          <w:rFonts w:asciiTheme="majorBidi" w:hAnsiTheme="majorBidi" w:cstheme="majorBidi"/>
          <w:b/>
          <w:bCs/>
          <w:color w:val="000000"/>
          <w:sz w:val="16"/>
          <w:szCs w:val="16"/>
        </w:rPr>
      </w:pPr>
    </w:p>
    <w:p w:rsidR="006177C1" w:rsidRDefault="006177C1" w:rsidP="004A1ECA">
      <w:pPr>
        <w:bidi w:val="0"/>
        <w:jc w:val="center"/>
        <w:rPr>
          <w:rFonts w:asciiTheme="majorBidi" w:hAnsiTheme="majorBidi" w:cstheme="majorBidi"/>
          <w:b/>
          <w:bCs/>
          <w:sz w:val="26"/>
          <w:szCs w:val="26"/>
        </w:rPr>
      </w:pPr>
      <w:r w:rsidRPr="004A1ECA">
        <w:rPr>
          <w:rFonts w:asciiTheme="majorBidi" w:hAnsiTheme="majorBidi" w:cstheme="majorBidi"/>
          <w:b/>
          <w:bCs/>
          <w:sz w:val="26"/>
          <w:szCs w:val="26"/>
        </w:rPr>
        <w:t>Yearly Percent Change</w:t>
      </w:r>
      <w:r w:rsidR="004F6095" w:rsidRPr="004A1ECA">
        <w:rPr>
          <w:rFonts w:asciiTheme="majorBidi" w:hAnsiTheme="majorBidi" w:cstheme="majorBidi"/>
          <w:b/>
          <w:bCs/>
          <w:sz w:val="26"/>
          <w:szCs w:val="26"/>
        </w:rPr>
        <w:t>s</w:t>
      </w:r>
      <w:r w:rsidRPr="004A1ECA">
        <w:rPr>
          <w:rFonts w:asciiTheme="majorBidi" w:hAnsiTheme="majorBidi" w:cstheme="majorBidi"/>
          <w:b/>
          <w:bCs/>
          <w:sz w:val="26"/>
          <w:szCs w:val="26"/>
        </w:rPr>
        <w:t xml:space="preserve"> in the Wholesale Price Index in Palestine for 2007 – </w:t>
      </w:r>
      <w:r w:rsidR="005C4D5E" w:rsidRPr="004A1ECA">
        <w:rPr>
          <w:rFonts w:asciiTheme="majorBidi" w:hAnsiTheme="majorBidi" w:cstheme="majorBidi"/>
          <w:b/>
          <w:bCs/>
          <w:sz w:val="26"/>
          <w:szCs w:val="26"/>
        </w:rPr>
        <w:t>2020</w:t>
      </w:r>
    </w:p>
    <w:p w:rsidR="004A1ECA" w:rsidRPr="004A1ECA" w:rsidRDefault="004A1ECA" w:rsidP="004A1ECA">
      <w:pPr>
        <w:bidi w:val="0"/>
        <w:jc w:val="center"/>
        <w:rPr>
          <w:rFonts w:asciiTheme="majorBidi" w:hAnsiTheme="majorBidi" w:cstheme="majorBidi"/>
          <w:b/>
          <w:bCs/>
          <w:sz w:val="8"/>
          <w:szCs w:val="8"/>
        </w:rPr>
      </w:pPr>
    </w:p>
    <w:tbl>
      <w:tblPr>
        <w:tblStyle w:val="TableGrid"/>
        <w:tblW w:w="0" w:type="auto"/>
        <w:jc w:val="center"/>
        <w:tblLayout w:type="fixed"/>
        <w:tblLook w:val="04A0" w:firstRow="1" w:lastRow="0" w:firstColumn="1" w:lastColumn="0" w:noHBand="0" w:noVBand="1"/>
      </w:tblPr>
      <w:tblGrid>
        <w:gridCol w:w="4600"/>
      </w:tblGrid>
      <w:tr w:rsidR="006177C1" w:rsidRPr="004A1ECA" w:rsidTr="00377CD6">
        <w:trPr>
          <w:trHeight w:val="3716"/>
          <w:jc w:val="center"/>
        </w:trPr>
        <w:tc>
          <w:tcPr>
            <w:tcW w:w="4600" w:type="dxa"/>
          </w:tcPr>
          <w:p w:rsidR="006177C1" w:rsidRPr="004A1ECA" w:rsidRDefault="006177C1" w:rsidP="006B279C">
            <w:pPr>
              <w:bidi w:val="0"/>
              <w:jc w:val="center"/>
              <w:rPr>
                <w:rFonts w:asciiTheme="majorBidi" w:hAnsiTheme="majorBidi" w:cstheme="majorBidi"/>
                <w:b/>
                <w:bCs/>
                <w:sz w:val="26"/>
                <w:szCs w:val="26"/>
              </w:rPr>
            </w:pPr>
            <w:r w:rsidRPr="004A1ECA">
              <w:rPr>
                <w:rFonts w:asciiTheme="majorBidi" w:hAnsiTheme="majorBidi" w:cstheme="majorBidi"/>
                <w:b/>
                <w:bCs/>
                <w:noProof/>
                <w:sz w:val="26"/>
                <w:szCs w:val="26"/>
                <w:lang w:eastAsia="en-US"/>
              </w:rPr>
              <w:drawing>
                <wp:inline distT="0" distB="0" distL="0" distR="0">
                  <wp:extent cx="2714625" cy="2266950"/>
                  <wp:effectExtent l="0" t="0" r="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377CD6" w:rsidRPr="00735217" w:rsidRDefault="00377CD6" w:rsidP="004A1ECA">
      <w:pPr>
        <w:bidi w:val="0"/>
        <w:jc w:val="both"/>
        <w:outlineLvl w:val="1"/>
        <w:rPr>
          <w:rFonts w:asciiTheme="majorBidi" w:hAnsiTheme="majorBidi" w:cstheme="majorBidi"/>
          <w:b/>
          <w:bCs/>
          <w:color w:val="000000"/>
          <w:sz w:val="16"/>
          <w:szCs w:val="16"/>
          <w:rtl/>
        </w:rPr>
      </w:pPr>
    </w:p>
    <w:p w:rsidR="000A3D33" w:rsidRPr="004A1ECA" w:rsidRDefault="00936337" w:rsidP="00377CD6">
      <w:pPr>
        <w:bidi w:val="0"/>
        <w:jc w:val="both"/>
        <w:outlineLvl w:val="1"/>
        <w:rPr>
          <w:rFonts w:asciiTheme="majorBidi" w:hAnsiTheme="majorBidi" w:cstheme="majorBidi"/>
          <w:b/>
          <w:bCs/>
          <w:sz w:val="26"/>
          <w:szCs w:val="26"/>
        </w:rPr>
      </w:pPr>
      <w:r w:rsidRPr="004A1ECA">
        <w:rPr>
          <w:rFonts w:asciiTheme="majorBidi" w:hAnsiTheme="majorBidi" w:cstheme="majorBidi"/>
          <w:b/>
          <w:bCs/>
          <w:color w:val="000000"/>
          <w:sz w:val="26"/>
          <w:szCs w:val="26"/>
        </w:rPr>
        <w:t xml:space="preserve">Sharp </w:t>
      </w:r>
      <w:r w:rsidR="006B279C" w:rsidRPr="004A1ECA">
        <w:rPr>
          <w:rFonts w:asciiTheme="majorBidi" w:hAnsiTheme="majorBidi" w:cstheme="majorBidi"/>
          <w:b/>
          <w:bCs/>
          <w:color w:val="000000"/>
          <w:sz w:val="26"/>
          <w:szCs w:val="26"/>
        </w:rPr>
        <w:t>De</w:t>
      </w:r>
      <w:r w:rsidR="00936FAF" w:rsidRPr="004A1ECA">
        <w:rPr>
          <w:rFonts w:asciiTheme="majorBidi" w:hAnsiTheme="majorBidi" w:cstheme="majorBidi"/>
          <w:b/>
          <w:bCs/>
          <w:color w:val="000000"/>
          <w:sz w:val="26"/>
          <w:szCs w:val="26"/>
        </w:rPr>
        <w:t>crease</w:t>
      </w:r>
      <w:r w:rsidR="00ED16E5" w:rsidRPr="004A1ECA">
        <w:rPr>
          <w:rFonts w:asciiTheme="majorBidi" w:hAnsiTheme="majorBidi" w:cstheme="majorBidi"/>
          <w:b/>
          <w:bCs/>
          <w:color w:val="000000"/>
          <w:sz w:val="26"/>
          <w:szCs w:val="26"/>
        </w:rPr>
        <w:t xml:space="preserve"> in</w:t>
      </w:r>
      <w:r w:rsidR="00ED16E5" w:rsidRPr="004A1ECA">
        <w:rPr>
          <w:rFonts w:asciiTheme="majorBidi" w:hAnsiTheme="majorBidi" w:cstheme="majorBidi"/>
          <w:b/>
          <w:bCs/>
          <w:sz w:val="26"/>
          <w:szCs w:val="26"/>
        </w:rPr>
        <w:t xml:space="preserve"> the Wholesale Price Index (WPI) During</w:t>
      </w:r>
      <w:r w:rsidR="000A3D33" w:rsidRPr="004A1ECA">
        <w:rPr>
          <w:rFonts w:asciiTheme="majorBidi" w:hAnsiTheme="majorBidi" w:cstheme="majorBidi"/>
          <w:b/>
          <w:bCs/>
          <w:sz w:val="26"/>
          <w:szCs w:val="26"/>
        </w:rPr>
        <w:t xml:space="preserve"> the </w:t>
      </w:r>
      <w:r w:rsidR="006B279C" w:rsidRPr="004A1ECA">
        <w:rPr>
          <w:rFonts w:asciiTheme="majorBidi" w:hAnsiTheme="majorBidi" w:cstheme="majorBidi"/>
          <w:b/>
          <w:bCs/>
          <w:kern w:val="36"/>
          <w:sz w:val="26"/>
          <w:szCs w:val="26"/>
        </w:rPr>
        <w:t>Fourth</w:t>
      </w:r>
      <w:r w:rsidR="000A3D33" w:rsidRPr="004A1ECA">
        <w:rPr>
          <w:rFonts w:asciiTheme="majorBidi" w:hAnsiTheme="majorBidi" w:cstheme="majorBidi"/>
          <w:b/>
          <w:bCs/>
          <w:kern w:val="36"/>
          <w:sz w:val="26"/>
          <w:szCs w:val="26"/>
        </w:rPr>
        <w:t xml:space="preserve"> Quarter of </w:t>
      </w:r>
      <w:r w:rsidRPr="004A1ECA">
        <w:rPr>
          <w:rFonts w:asciiTheme="majorBidi" w:hAnsiTheme="majorBidi" w:cstheme="majorBidi"/>
          <w:b/>
          <w:bCs/>
          <w:kern w:val="36"/>
          <w:sz w:val="26"/>
          <w:szCs w:val="26"/>
        </w:rPr>
        <w:t>2020</w:t>
      </w:r>
    </w:p>
    <w:p w:rsidR="00936337" w:rsidRPr="004A1ECA" w:rsidRDefault="00936337" w:rsidP="00936337">
      <w:pPr>
        <w:bidi w:val="0"/>
        <w:jc w:val="both"/>
        <w:outlineLvl w:val="0"/>
        <w:rPr>
          <w:rFonts w:asciiTheme="majorBidi" w:hAnsiTheme="majorBidi" w:cstheme="majorBidi"/>
          <w:sz w:val="26"/>
          <w:szCs w:val="26"/>
        </w:rPr>
      </w:pPr>
      <w:r w:rsidRPr="004A1ECA">
        <w:rPr>
          <w:rFonts w:asciiTheme="majorBidi" w:hAnsiTheme="majorBidi" w:cstheme="majorBidi"/>
          <w:sz w:val="26"/>
          <w:szCs w:val="26"/>
        </w:rPr>
        <w:t>The overall WPI in Palestine with its base year (2007=100) reached 125.53 in the Fourth quarter 2020, which Recorded a Sharp decrease of 1.63% compared with the Third quarter 2020.</w:t>
      </w:r>
    </w:p>
    <w:p w:rsidR="00726D03" w:rsidRPr="004A1ECA" w:rsidRDefault="00726D03" w:rsidP="00936337">
      <w:pPr>
        <w:pStyle w:val="BodyText2"/>
        <w:bidi w:val="0"/>
        <w:spacing w:after="0" w:line="240" w:lineRule="auto"/>
        <w:jc w:val="both"/>
        <w:outlineLvl w:val="0"/>
        <w:rPr>
          <w:rFonts w:asciiTheme="majorBidi" w:hAnsiTheme="majorBidi" w:cstheme="majorBidi"/>
          <w:sz w:val="16"/>
          <w:szCs w:val="16"/>
        </w:rPr>
      </w:pPr>
    </w:p>
    <w:p w:rsidR="00936337" w:rsidRPr="004A1ECA" w:rsidRDefault="00936337" w:rsidP="00726D03">
      <w:pPr>
        <w:pStyle w:val="BodyText2"/>
        <w:bidi w:val="0"/>
        <w:spacing w:after="0" w:line="240" w:lineRule="auto"/>
        <w:jc w:val="both"/>
        <w:outlineLvl w:val="0"/>
        <w:rPr>
          <w:rFonts w:asciiTheme="majorBidi" w:hAnsiTheme="majorBidi" w:cstheme="majorBidi"/>
          <w:sz w:val="26"/>
          <w:szCs w:val="26"/>
        </w:rPr>
      </w:pPr>
      <w:r w:rsidRPr="004A1ECA">
        <w:rPr>
          <w:rFonts w:asciiTheme="majorBidi" w:hAnsiTheme="majorBidi" w:cstheme="majorBidi"/>
          <w:sz w:val="26"/>
          <w:szCs w:val="26"/>
        </w:rPr>
        <w:t xml:space="preserve">WPI for local products (2007=100) reached 129.26 in the Fourth quarter 2020, which indicates a sharp decrease of 3.88% compared with the Third quarter 2020. </w:t>
      </w:r>
    </w:p>
    <w:p w:rsidR="00936337" w:rsidRPr="004A1ECA" w:rsidRDefault="00936337" w:rsidP="00936337">
      <w:pPr>
        <w:pStyle w:val="BodyText2"/>
        <w:bidi w:val="0"/>
        <w:spacing w:after="0" w:line="240" w:lineRule="auto"/>
        <w:jc w:val="both"/>
        <w:outlineLvl w:val="0"/>
        <w:rPr>
          <w:rFonts w:asciiTheme="majorBidi" w:hAnsiTheme="majorBidi" w:cstheme="majorBidi"/>
          <w:sz w:val="16"/>
          <w:szCs w:val="16"/>
        </w:rPr>
      </w:pPr>
    </w:p>
    <w:p w:rsidR="00936337" w:rsidRPr="004A1ECA" w:rsidRDefault="00936337" w:rsidP="00DD16C7">
      <w:pPr>
        <w:pStyle w:val="BodyText2"/>
        <w:bidi w:val="0"/>
        <w:spacing w:after="0" w:line="240" w:lineRule="auto"/>
        <w:jc w:val="both"/>
        <w:outlineLvl w:val="0"/>
        <w:rPr>
          <w:rFonts w:asciiTheme="majorBidi" w:hAnsiTheme="majorBidi" w:cstheme="majorBidi"/>
          <w:sz w:val="26"/>
          <w:szCs w:val="26"/>
        </w:rPr>
      </w:pPr>
      <w:r w:rsidRPr="004A1ECA">
        <w:rPr>
          <w:rFonts w:asciiTheme="majorBidi" w:hAnsiTheme="majorBidi" w:cstheme="majorBidi"/>
          <w:sz w:val="26"/>
          <w:szCs w:val="26"/>
        </w:rPr>
        <w:t xml:space="preserve">WPI for imported products (2007=100) </w:t>
      </w:r>
      <w:r w:rsidR="00DD16C7" w:rsidRPr="004A1ECA">
        <w:rPr>
          <w:rFonts w:asciiTheme="majorBidi" w:hAnsiTheme="majorBidi" w:cstheme="majorBidi"/>
          <w:sz w:val="26"/>
          <w:szCs w:val="26"/>
        </w:rPr>
        <w:t xml:space="preserve">remained constant at the level of </w:t>
      </w:r>
      <w:r w:rsidRPr="004A1ECA">
        <w:rPr>
          <w:rFonts w:asciiTheme="majorBidi" w:hAnsiTheme="majorBidi" w:cstheme="majorBidi"/>
          <w:sz w:val="26"/>
          <w:szCs w:val="26"/>
        </w:rPr>
        <w:t>120.75 in the Fourth quarter 2020</w:t>
      </w:r>
      <w:r w:rsidR="00DD16C7" w:rsidRPr="004A1ECA">
        <w:rPr>
          <w:rFonts w:asciiTheme="majorBidi" w:hAnsiTheme="majorBidi" w:cstheme="majorBidi"/>
          <w:sz w:val="26"/>
          <w:szCs w:val="26"/>
        </w:rPr>
        <w:t xml:space="preserve"> </w:t>
      </w:r>
      <w:r w:rsidRPr="004A1ECA">
        <w:rPr>
          <w:rFonts w:asciiTheme="majorBidi" w:hAnsiTheme="majorBidi" w:cstheme="majorBidi"/>
          <w:sz w:val="26"/>
          <w:szCs w:val="26"/>
        </w:rPr>
        <w:t>compared with the Third quarter 2020.</w:t>
      </w:r>
    </w:p>
    <w:p w:rsidR="00936337" w:rsidRPr="004A1ECA" w:rsidRDefault="00936337" w:rsidP="00936337">
      <w:pPr>
        <w:pStyle w:val="BodyText2"/>
        <w:bidi w:val="0"/>
        <w:spacing w:after="0" w:line="240" w:lineRule="auto"/>
        <w:jc w:val="both"/>
        <w:outlineLvl w:val="0"/>
        <w:rPr>
          <w:rFonts w:asciiTheme="majorBidi" w:hAnsiTheme="majorBidi" w:cstheme="majorBidi"/>
          <w:sz w:val="16"/>
          <w:szCs w:val="16"/>
        </w:rPr>
      </w:pPr>
    </w:p>
    <w:p w:rsidR="00936337" w:rsidRPr="004A1ECA" w:rsidRDefault="00936337" w:rsidP="0033708C">
      <w:pPr>
        <w:bidi w:val="0"/>
        <w:jc w:val="both"/>
        <w:rPr>
          <w:rFonts w:asciiTheme="majorBidi" w:hAnsiTheme="majorBidi" w:cstheme="majorBidi"/>
          <w:b/>
          <w:bCs/>
          <w:color w:val="FF0000"/>
          <w:sz w:val="26"/>
          <w:szCs w:val="26"/>
        </w:rPr>
      </w:pPr>
      <w:r w:rsidRPr="004A1ECA">
        <w:rPr>
          <w:rFonts w:asciiTheme="majorBidi" w:hAnsiTheme="majorBidi" w:cstheme="majorBidi"/>
          <w:sz w:val="26"/>
          <w:szCs w:val="26"/>
        </w:rPr>
        <w:t xml:space="preserve">WPI for the </w:t>
      </w:r>
      <w:r w:rsidR="0033708C" w:rsidRPr="004A1ECA">
        <w:rPr>
          <w:rFonts w:asciiTheme="majorBidi" w:hAnsiTheme="majorBidi" w:cstheme="majorBidi"/>
          <w:sz w:val="26"/>
          <w:szCs w:val="26"/>
        </w:rPr>
        <w:t>Fourth</w:t>
      </w:r>
      <w:r w:rsidRPr="004A1ECA">
        <w:rPr>
          <w:rFonts w:asciiTheme="majorBidi" w:hAnsiTheme="majorBidi" w:cstheme="majorBidi"/>
          <w:sz w:val="26"/>
          <w:szCs w:val="26"/>
        </w:rPr>
        <w:t xml:space="preserve"> Quarter of 2020 </w:t>
      </w:r>
      <w:r w:rsidR="0033708C" w:rsidRPr="004A1ECA">
        <w:rPr>
          <w:rFonts w:asciiTheme="majorBidi" w:hAnsiTheme="majorBidi" w:cstheme="majorBidi"/>
          <w:sz w:val="26"/>
          <w:szCs w:val="26"/>
        </w:rPr>
        <w:t>de</w:t>
      </w:r>
      <w:r w:rsidRPr="004A1ECA">
        <w:rPr>
          <w:rFonts w:asciiTheme="majorBidi" w:hAnsiTheme="majorBidi" w:cstheme="majorBidi"/>
          <w:sz w:val="26"/>
          <w:szCs w:val="26"/>
        </w:rPr>
        <w:t xml:space="preserve">creased due to the </w:t>
      </w:r>
      <w:r w:rsidR="0033708C" w:rsidRPr="004A1ECA">
        <w:rPr>
          <w:rFonts w:asciiTheme="majorBidi" w:hAnsiTheme="majorBidi" w:cstheme="majorBidi"/>
          <w:b/>
          <w:bCs/>
          <w:sz w:val="26"/>
          <w:szCs w:val="26"/>
        </w:rPr>
        <w:t>de</w:t>
      </w:r>
      <w:r w:rsidRPr="004A1ECA">
        <w:rPr>
          <w:rFonts w:asciiTheme="majorBidi" w:hAnsiTheme="majorBidi" w:cstheme="majorBidi"/>
          <w:b/>
          <w:bCs/>
          <w:sz w:val="26"/>
          <w:szCs w:val="26"/>
        </w:rPr>
        <w:t>crease</w:t>
      </w:r>
      <w:r w:rsidRPr="004A1ECA">
        <w:rPr>
          <w:rFonts w:asciiTheme="majorBidi" w:hAnsiTheme="majorBidi" w:cstheme="majorBidi"/>
          <w:sz w:val="26"/>
          <w:szCs w:val="26"/>
        </w:rPr>
        <w:t xml:space="preserve"> in the</w:t>
      </w:r>
      <w:r w:rsidRPr="004A1ECA">
        <w:rPr>
          <w:rFonts w:asciiTheme="majorBidi" w:hAnsiTheme="majorBidi" w:cstheme="majorBidi"/>
          <w:b/>
          <w:bCs/>
          <w:sz w:val="26"/>
          <w:szCs w:val="26"/>
        </w:rPr>
        <w:t xml:space="preserve"> activities of Agriculture </w:t>
      </w:r>
      <w:r w:rsidRPr="004A1ECA">
        <w:rPr>
          <w:rFonts w:asciiTheme="majorBidi" w:hAnsiTheme="majorBidi" w:cstheme="majorBidi"/>
          <w:sz w:val="26"/>
          <w:szCs w:val="26"/>
        </w:rPr>
        <w:t xml:space="preserve">by </w:t>
      </w:r>
      <w:r w:rsidR="0033708C" w:rsidRPr="004A1ECA">
        <w:rPr>
          <w:rFonts w:asciiTheme="majorBidi" w:hAnsiTheme="majorBidi" w:cstheme="majorBidi"/>
          <w:sz w:val="26"/>
          <w:szCs w:val="26"/>
        </w:rPr>
        <w:t>3.97</w:t>
      </w:r>
      <w:r w:rsidRPr="004A1ECA">
        <w:rPr>
          <w:rFonts w:asciiTheme="majorBidi" w:hAnsiTheme="majorBidi" w:cstheme="majorBidi"/>
          <w:sz w:val="26"/>
          <w:szCs w:val="26"/>
        </w:rPr>
        <w:t>%</w:t>
      </w:r>
      <w:r w:rsidRPr="004A1ECA">
        <w:rPr>
          <w:rFonts w:asciiTheme="majorBidi" w:hAnsiTheme="majorBidi" w:cstheme="majorBidi"/>
          <w:snapToGrid w:val="0"/>
          <w:color w:val="000000"/>
          <w:sz w:val="26"/>
          <w:szCs w:val="26"/>
        </w:rPr>
        <w:t xml:space="preserve">, the </w:t>
      </w:r>
      <w:r w:rsidRPr="004A1ECA">
        <w:rPr>
          <w:rFonts w:asciiTheme="majorBidi" w:hAnsiTheme="majorBidi" w:cstheme="majorBidi"/>
          <w:b/>
          <w:bCs/>
          <w:sz w:val="26"/>
          <w:szCs w:val="26"/>
        </w:rPr>
        <w:t xml:space="preserve">activities of Mining and Quarrying </w:t>
      </w:r>
      <w:r w:rsidRPr="004A1ECA">
        <w:rPr>
          <w:rFonts w:asciiTheme="majorBidi" w:hAnsiTheme="majorBidi" w:cstheme="majorBidi"/>
          <w:sz w:val="26"/>
          <w:szCs w:val="26"/>
        </w:rPr>
        <w:t xml:space="preserve">by </w:t>
      </w:r>
      <w:r w:rsidR="0033708C" w:rsidRPr="004A1ECA">
        <w:rPr>
          <w:rFonts w:asciiTheme="majorBidi" w:hAnsiTheme="majorBidi" w:cstheme="majorBidi"/>
          <w:sz w:val="26"/>
          <w:szCs w:val="26"/>
        </w:rPr>
        <w:t>1.68</w:t>
      </w:r>
      <w:r w:rsidRPr="004A1ECA">
        <w:rPr>
          <w:rFonts w:asciiTheme="majorBidi" w:hAnsiTheme="majorBidi" w:cstheme="majorBidi"/>
          <w:sz w:val="26"/>
          <w:szCs w:val="26"/>
        </w:rPr>
        <w:t xml:space="preserve">%, </w:t>
      </w:r>
      <w:r w:rsidR="00DD16C7" w:rsidRPr="004A1ECA">
        <w:rPr>
          <w:rFonts w:asciiTheme="majorBidi" w:hAnsiTheme="majorBidi" w:cstheme="majorBidi"/>
          <w:sz w:val="26"/>
          <w:szCs w:val="26"/>
        </w:rPr>
        <w:t xml:space="preserve">and </w:t>
      </w:r>
      <w:r w:rsidRPr="004A1ECA">
        <w:rPr>
          <w:rFonts w:asciiTheme="majorBidi" w:hAnsiTheme="majorBidi" w:cstheme="majorBidi"/>
          <w:sz w:val="26"/>
          <w:szCs w:val="26"/>
        </w:rPr>
        <w:t xml:space="preserve">the </w:t>
      </w:r>
      <w:r w:rsidRPr="004A1ECA">
        <w:rPr>
          <w:rFonts w:asciiTheme="majorBidi" w:hAnsiTheme="majorBidi" w:cstheme="majorBidi"/>
          <w:b/>
          <w:bCs/>
          <w:sz w:val="26"/>
          <w:szCs w:val="26"/>
        </w:rPr>
        <w:t xml:space="preserve">activities of </w:t>
      </w:r>
      <w:r w:rsidR="0033708C" w:rsidRPr="004A1ECA">
        <w:rPr>
          <w:rFonts w:asciiTheme="majorBidi" w:hAnsiTheme="majorBidi" w:cstheme="majorBidi"/>
          <w:b/>
          <w:bCs/>
          <w:sz w:val="26"/>
          <w:szCs w:val="26"/>
        </w:rPr>
        <w:t xml:space="preserve">Manufacturing </w:t>
      </w:r>
      <w:r w:rsidRPr="004A1ECA">
        <w:rPr>
          <w:rFonts w:asciiTheme="majorBidi" w:hAnsiTheme="majorBidi" w:cstheme="majorBidi"/>
          <w:sz w:val="26"/>
          <w:szCs w:val="26"/>
        </w:rPr>
        <w:t xml:space="preserve">by </w:t>
      </w:r>
      <w:r w:rsidR="0033708C" w:rsidRPr="004A1ECA">
        <w:rPr>
          <w:rFonts w:asciiTheme="majorBidi" w:hAnsiTheme="majorBidi" w:cstheme="majorBidi"/>
          <w:sz w:val="26"/>
          <w:szCs w:val="26"/>
        </w:rPr>
        <w:t>0.46</w:t>
      </w:r>
      <w:r w:rsidRPr="004A1ECA">
        <w:rPr>
          <w:rFonts w:asciiTheme="majorBidi" w:hAnsiTheme="majorBidi" w:cstheme="majorBidi"/>
          <w:sz w:val="26"/>
          <w:szCs w:val="26"/>
        </w:rPr>
        <w:t xml:space="preserve">%, </w:t>
      </w:r>
      <w:r w:rsidR="0033708C" w:rsidRPr="004A1ECA">
        <w:rPr>
          <w:rFonts w:asciiTheme="majorBidi" w:hAnsiTheme="majorBidi" w:cstheme="majorBidi"/>
          <w:sz w:val="26"/>
          <w:szCs w:val="26"/>
        </w:rPr>
        <w:t>while</w:t>
      </w:r>
      <w:r w:rsidRPr="004A1ECA">
        <w:rPr>
          <w:rFonts w:asciiTheme="majorBidi" w:hAnsiTheme="majorBidi" w:cstheme="majorBidi"/>
          <w:sz w:val="26"/>
          <w:szCs w:val="26"/>
        </w:rPr>
        <w:t xml:space="preserve"> the</w:t>
      </w:r>
      <w:r w:rsidRPr="004A1ECA">
        <w:rPr>
          <w:rFonts w:asciiTheme="majorBidi" w:hAnsiTheme="majorBidi" w:cstheme="majorBidi"/>
          <w:b/>
          <w:bCs/>
          <w:sz w:val="26"/>
          <w:szCs w:val="26"/>
        </w:rPr>
        <w:t xml:space="preserve"> activities of </w:t>
      </w:r>
      <w:r w:rsidR="0033708C" w:rsidRPr="004A1ECA">
        <w:rPr>
          <w:rFonts w:asciiTheme="majorBidi" w:hAnsiTheme="majorBidi" w:cstheme="majorBidi"/>
          <w:b/>
          <w:bCs/>
          <w:sz w:val="26"/>
          <w:szCs w:val="26"/>
        </w:rPr>
        <w:t>Fishing</w:t>
      </w:r>
      <w:r w:rsidR="0033708C" w:rsidRPr="004A1ECA">
        <w:rPr>
          <w:rFonts w:asciiTheme="majorBidi" w:hAnsiTheme="majorBidi" w:cstheme="majorBidi"/>
          <w:sz w:val="26"/>
          <w:szCs w:val="26"/>
        </w:rPr>
        <w:t xml:space="preserve"> increased </w:t>
      </w:r>
      <w:r w:rsidRPr="004A1ECA">
        <w:rPr>
          <w:rFonts w:asciiTheme="majorBidi" w:hAnsiTheme="majorBidi" w:cstheme="majorBidi"/>
          <w:sz w:val="26"/>
          <w:szCs w:val="26"/>
        </w:rPr>
        <w:t xml:space="preserve">by </w:t>
      </w:r>
      <w:r w:rsidR="0033708C" w:rsidRPr="004A1ECA">
        <w:rPr>
          <w:rFonts w:asciiTheme="majorBidi" w:hAnsiTheme="majorBidi" w:cstheme="majorBidi"/>
          <w:sz w:val="26"/>
          <w:szCs w:val="26"/>
        </w:rPr>
        <w:t>2.02</w:t>
      </w:r>
      <w:r w:rsidRPr="004A1ECA">
        <w:rPr>
          <w:rFonts w:asciiTheme="majorBidi" w:hAnsiTheme="majorBidi" w:cstheme="majorBidi"/>
          <w:sz w:val="26"/>
          <w:szCs w:val="26"/>
        </w:rPr>
        <w:t>%.</w:t>
      </w:r>
    </w:p>
    <w:p w:rsidR="00677C79" w:rsidRDefault="00677C79" w:rsidP="00677C79">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Default="004A1ECA" w:rsidP="004A1ECA">
      <w:pPr>
        <w:autoSpaceDE w:val="0"/>
        <w:autoSpaceDN w:val="0"/>
        <w:bidi w:val="0"/>
        <w:adjustRightInd w:val="0"/>
        <w:jc w:val="both"/>
        <w:rPr>
          <w:rFonts w:asciiTheme="majorBidi" w:hAnsiTheme="majorBidi" w:cstheme="majorBidi"/>
          <w:snapToGrid w:val="0"/>
          <w:sz w:val="16"/>
          <w:szCs w:val="16"/>
        </w:rPr>
      </w:pPr>
    </w:p>
    <w:p w:rsidR="004A1ECA" w:rsidRPr="004A1ECA" w:rsidRDefault="004A1ECA" w:rsidP="004A1ECA">
      <w:pPr>
        <w:autoSpaceDE w:val="0"/>
        <w:autoSpaceDN w:val="0"/>
        <w:bidi w:val="0"/>
        <w:adjustRightInd w:val="0"/>
        <w:jc w:val="both"/>
        <w:rPr>
          <w:rFonts w:asciiTheme="majorBidi" w:hAnsiTheme="majorBidi" w:cstheme="majorBidi"/>
          <w:snapToGrid w:val="0"/>
          <w:sz w:val="16"/>
          <w:szCs w:val="16"/>
        </w:rPr>
      </w:pPr>
    </w:p>
    <w:p w:rsidR="00647C1C" w:rsidRDefault="006507EC" w:rsidP="004A1ECA">
      <w:pPr>
        <w:autoSpaceDE w:val="0"/>
        <w:autoSpaceDN w:val="0"/>
        <w:bidi w:val="0"/>
        <w:adjustRightInd w:val="0"/>
        <w:jc w:val="both"/>
        <w:rPr>
          <w:rFonts w:asciiTheme="majorBidi" w:hAnsiTheme="majorBidi" w:cstheme="majorBidi"/>
          <w:sz w:val="26"/>
          <w:szCs w:val="26"/>
        </w:rPr>
      </w:pPr>
      <w:r w:rsidRPr="004A1ECA">
        <w:rPr>
          <w:rFonts w:asciiTheme="majorBidi" w:hAnsiTheme="majorBidi" w:cstheme="majorBidi"/>
          <w:snapToGrid w:val="0"/>
          <w:sz w:val="26"/>
          <w:szCs w:val="26"/>
        </w:rPr>
        <w:t>The t</w:t>
      </w:r>
      <w:r w:rsidR="0066695A" w:rsidRPr="004A1ECA">
        <w:rPr>
          <w:rFonts w:asciiTheme="majorBidi" w:hAnsiTheme="majorBidi" w:cstheme="majorBidi"/>
          <w:snapToGrid w:val="0"/>
          <w:sz w:val="26"/>
          <w:szCs w:val="26"/>
        </w:rPr>
        <w:t>able shows the relative share and the quarterly percent changes in WPI by major activities in Palestine for</w:t>
      </w:r>
      <w:r w:rsidR="000E048A" w:rsidRPr="004A1ECA">
        <w:rPr>
          <w:rFonts w:asciiTheme="majorBidi" w:hAnsiTheme="majorBidi" w:cstheme="majorBidi"/>
          <w:snapToGrid w:val="0"/>
          <w:color w:val="000000"/>
          <w:sz w:val="26"/>
          <w:szCs w:val="26"/>
        </w:rPr>
        <w:t xml:space="preserve"> the period</w:t>
      </w:r>
      <w:r w:rsidR="00AF79AE" w:rsidRPr="004A1ECA">
        <w:rPr>
          <w:rFonts w:asciiTheme="majorBidi" w:hAnsiTheme="majorBidi" w:cstheme="majorBidi"/>
          <w:snapToGrid w:val="0"/>
          <w:color w:val="000000"/>
          <w:sz w:val="26"/>
          <w:szCs w:val="26"/>
        </w:rPr>
        <w:t>:</w:t>
      </w:r>
      <w:r w:rsidR="000A30A5" w:rsidRPr="004A1ECA">
        <w:rPr>
          <w:rFonts w:asciiTheme="majorBidi" w:hAnsiTheme="majorBidi" w:cstheme="majorBidi"/>
          <w:snapToGrid w:val="0"/>
          <w:sz w:val="26"/>
          <w:szCs w:val="26"/>
        </w:rPr>
        <w:t xml:space="preserve"> </w:t>
      </w:r>
      <w:r w:rsidR="00DF74E6" w:rsidRPr="004A1ECA">
        <w:rPr>
          <w:rFonts w:asciiTheme="majorBidi" w:hAnsiTheme="majorBidi" w:cstheme="majorBidi"/>
          <w:snapToGrid w:val="0"/>
          <w:sz w:val="26"/>
          <w:szCs w:val="26"/>
        </w:rPr>
        <w:t>F</w:t>
      </w:r>
      <w:r w:rsidR="006B279C" w:rsidRPr="004A1ECA">
        <w:rPr>
          <w:rFonts w:asciiTheme="majorBidi" w:hAnsiTheme="majorBidi" w:cstheme="majorBidi"/>
          <w:snapToGrid w:val="0"/>
          <w:sz w:val="26"/>
          <w:szCs w:val="26"/>
        </w:rPr>
        <w:t>irst</w:t>
      </w:r>
      <w:r w:rsidR="000A3D33" w:rsidRPr="004A1ECA">
        <w:rPr>
          <w:rFonts w:asciiTheme="majorBidi" w:hAnsiTheme="majorBidi" w:cstheme="majorBidi"/>
          <w:snapToGrid w:val="0"/>
          <w:sz w:val="26"/>
          <w:szCs w:val="26"/>
        </w:rPr>
        <w:t xml:space="preserve"> </w:t>
      </w:r>
      <w:r w:rsidR="006B279C" w:rsidRPr="004A1ECA">
        <w:rPr>
          <w:rFonts w:asciiTheme="majorBidi" w:hAnsiTheme="majorBidi" w:cstheme="majorBidi"/>
          <w:snapToGrid w:val="0"/>
          <w:sz w:val="26"/>
          <w:szCs w:val="26"/>
        </w:rPr>
        <w:t xml:space="preserve">- </w:t>
      </w:r>
      <w:r w:rsidR="006B279C" w:rsidRPr="004A1ECA">
        <w:rPr>
          <w:rFonts w:asciiTheme="majorBidi" w:hAnsiTheme="majorBidi" w:cstheme="majorBidi"/>
          <w:sz w:val="26"/>
          <w:szCs w:val="26"/>
        </w:rPr>
        <w:t>Fourth</w:t>
      </w:r>
      <w:r w:rsidR="000A30A5" w:rsidRPr="004A1ECA">
        <w:rPr>
          <w:rFonts w:asciiTheme="majorBidi" w:hAnsiTheme="majorBidi" w:cstheme="majorBidi"/>
          <w:sz w:val="26"/>
          <w:szCs w:val="26"/>
        </w:rPr>
        <w:t xml:space="preserve"> </w:t>
      </w:r>
      <w:r w:rsidR="0066695A" w:rsidRPr="004A1ECA">
        <w:rPr>
          <w:rFonts w:asciiTheme="majorBidi" w:hAnsiTheme="majorBidi" w:cstheme="majorBidi"/>
          <w:snapToGrid w:val="0"/>
          <w:sz w:val="26"/>
          <w:szCs w:val="26"/>
        </w:rPr>
        <w:t xml:space="preserve">quarter </w:t>
      </w:r>
      <w:r w:rsidR="0033708C" w:rsidRPr="004A1ECA">
        <w:rPr>
          <w:rFonts w:asciiTheme="majorBidi" w:hAnsiTheme="majorBidi" w:cstheme="majorBidi"/>
          <w:snapToGrid w:val="0"/>
          <w:sz w:val="26"/>
          <w:szCs w:val="26"/>
        </w:rPr>
        <w:t>2020</w:t>
      </w:r>
    </w:p>
    <w:p w:rsidR="004A1ECA" w:rsidRPr="004A1ECA" w:rsidRDefault="004A1ECA" w:rsidP="004A1ECA">
      <w:pPr>
        <w:autoSpaceDE w:val="0"/>
        <w:autoSpaceDN w:val="0"/>
        <w:bidi w:val="0"/>
        <w:adjustRightInd w:val="0"/>
        <w:jc w:val="both"/>
        <w:rPr>
          <w:rFonts w:asciiTheme="majorBidi" w:hAnsiTheme="majorBidi" w:cstheme="majorBidi"/>
          <w:sz w:val="16"/>
          <w:szCs w:val="16"/>
        </w:rPr>
      </w:pPr>
    </w:p>
    <w:tbl>
      <w:tblPr>
        <w:tblpPr w:leftFromText="180" w:rightFromText="180" w:vertAnchor="text" w:horzAnchor="page" w:tblpXSpec="center" w:tblpY="70"/>
        <w:tblW w:w="6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900"/>
        <w:gridCol w:w="810"/>
        <w:gridCol w:w="905"/>
        <w:gridCol w:w="895"/>
      </w:tblGrid>
      <w:tr w:rsidR="006177C1" w:rsidRPr="004A1ECA" w:rsidTr="004A1ECA">
        <w:trPr>
          <w:trHeight w:val="249"/>
        </w:trPr>
        <w:tc>
          <w:tcPr>
            <w:tcW w:w="1620" w:type="dxa"/>
            <w:vMerge w:val="restart"/>
            <w:vAlign w:val="center"/>
          </w:tcPr>
          <w:p w:rsidR="006177C1" w:rsidRPr="004A1ECA" w:rsidRDefault="006177C1" w:rsidP="004A1ECA">
            <w:pPr>
              <w:autoSpaceDE w:val="0"/>
              <w:autoSpaceDN w:val="0"/>
              <w:bidi w:val="0"/>
              <w:adjustRightInd w:val="0"/>
              <w:ind w:right="-116"/>
              <w:jc w:val="center"/>
              <w:rPr>
                <w:rFonts w:asciiTheme="majorBidi" w:hAnsiTheme="majorBidi" w:cstheme="majorBidi"/>
                <w:b/>
                <w:bCs/>
                <w:snapToGrid w:val="0"/>
              </w:rPr>
            </w:pPr>
            <w:r w:rsidRPr="004A1ECA">
              <w:rPr>
                <w:rFonts w:asciiTheme="majorBidi" w:hAnsiTheme="majorBidi" w:cstheme="majorBidi"/>
                <w:b/>
                <w:bCs/>
                <w:snapToGrid w:val="0"/>
              </w:rPr>
              <w:t>Major Activities</w:t>
            </w:r>
          </w:p>
        </w:tc>
        <w:tc>
          <w:tcPr>
            <w:tcW w:w="1080" w:type="dxa"/>
            <w:vMerge w:val="restart"/>
            <w:vAlign w:val="center"/>
          </w:tcPr>
          <w:p w:rsidR="006177C1" w:rsidRPr="004A1ECA" w:rsidRDefault="006177C1" w:rsidP="004A1ECA">
            <w:pPr>
              <w:autoSpaceDE w:val="0"/>
              <w:autoSpaceDN w:val="0"/>
              <w:bidi w:val="0"/>
              <w:adjustRightInd w:val="0"/>
              <w:ind w:left="-100" w:right="-200"/>
              <w:jc w:val="center"/>
              <w:rPr>
                <w:rFonts w:asciiTheme="majorBidi" w:hAnsiTheme="majorBidi" w:cstheme="majorBidi"/>
                <w:b/>
                <w:bCs/>
                <w:snapToGrid w:val="0"/>
              </w:rPr>
            </w:pPr>
            <w:r w:rsidRPr="004A1ECA">
              <w:rPr>
                <w:rFonts w:asciiTheme="majorBidi" w:hAnsiTheme="majorBidi" w:cstheme="majorBidi"/>
                <w:b/>
                <w:bCs/>
                <w:snapToGrid w:val="0"/>
              </w:rPr>
              <w:t>Relative Share %</w:t>
            </w:r>
          </w:p>
        </w:tc>
        <w:tc>
          <w:tcPr>
            <w:tcW w:w="3510" w:type="dxa"/>
            <w:gridSpan w:val="4"/>
            <w:vAlign w:val="center"/>
          </w:tcPr>
          <w:p w:rsidR="006177C1" w:rsidRPr="004A1ECA" w:rsidRDefault="006177C1"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Quarterly Percent Change</w:t>
            </w:r>
          </w:p>
        </w:tc>
      </w:tr>
      <w:tr w:rsidR="006B279C" w:rsidRPr="004A1ECA" w:rsidTr="004A1ECA">
        <w:trPr>
          <w:trHeight w:val="150"/>
        </w:trPr>
        <w:tc>
          <w:tcPr>
            <w:tcW w:w="1620" w:type="dxa"/>
            <w:vMerge/>
            <w:vAlign w:val="center"/>
          </w:tcPr>
          <w:p w:rsidR="006B279C" w:rsidRPr="004A1ECA" w:rsidRDefault="006B279C" w:rsidP="004A1ECA">
            <w:pPr>
              <w:bidi w:val="0"/>
              <w:ind w:right="-116"/>
              <w:jc w:val="center"/>
              <w:rPr>
                <w:rFonts w:asciiTheme="majorBidi" w:hAnsiTheme="majorBidi" w:cstheme="majorBidi"/>
                <w:b/>
                <w:bCs/>
              </w:rPr>
            </w:pPr>
          </w:p>
        </w:tc>
        <w:tc>
          <w:tcPr>
            <w:tcW w:w="1080" w:type="dxa"/>
            <w:vMerge/>
            <w:vAlign w:val="center"/>
          </w:tcPr>
          <w:p w:rsidR="006B279C" w:rsidRPr="004A1ECA" w:rsidRDefault="006B279C" w:rsidP="004A1ECA">
            <w:pPr>
              <w:autoSpaceDE w:val="0"/>
              <w:autoSpaceDN w:val="0"/>
              <w:bidi w:val="0"/>
              <w:adjustRightInd w:val="0"/>
              <w:ind w:left="-100"/>
              <w:jc w:val="center"/>
              <w:rPr>
                <w:rFonts w:asciiTheme="majorBidi" w:hAnsiTheme="majorBidi" w:cstheme="majorBidi"/>
                <w:b/>
                <w:bCs/>
                <w:snapToGrid w:val="0"/>
              </w:rPr>
            </w:pPr>
          </w:p>
        </w:tc>
        <w:tc>
          <w:tcPr>
            <w:tcW w:w="3510" w:type="dxa"/>
            <w:gridSpan w:val="4"/>
            <w:vAlign w:val="center"/>
          </w:tcPr>
          <w:p w:rsidR="006B279C" w:rsidRPr="004A1ECA" w:rsidRDefault="0033708C"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2020</w:t>
            </w:r>
          </w:p>
        </w:tc>
      </w:tr>
      <w:tr w:rsidR="006B279C" w:rsidRPr="004A1ECA" w:rsidTr="004A1ECA">
        <w:trPr>
          <w:trHeight w:val="150"/>
        </w:trPr>
        <w:tc>
          <w:tcPr>
            <w:tcW w:w="1620" w:type="dxa"/>
            <w:vMerge/>
            <w:vAlign w:val="center"/>
          </w:tcPr>
          <w:p w:rsidR="006B279C" w:rsidRPr="004A1ECA" w:rsidRDefault="006B279C" w:rsidP="004A1ECA">
            <w:pPr>
              <w:bidi w:val="0"/>
              <w:ind w:right="-116"/>
              <w:jc w:val="center"/>
              <w:rPr>
                <w:rFonts w:asciiTheme="majorBidi" w:hAnsiTheme="majorBidi" w:cstheme="majorBidi"/>
                <w:b/>
                <w:bCs/>
              </w:rPr>
            </w:pPr>
          </w:p>
        </w:tc>
        <w:tc>
          <w:tcPr>
            <w:tcW w:w="1080" w:type="dxa"/>
            <w:vMerge/>
            <w:vAlign w:val="center"/>
          </w:tcPr>
          <w:p w:rsidR="006B279C" w:rsidRPr="004A1ECA" w:rsidRDefault="006B279C" w:rsidP="004A1ECA">
            <w:pPr>
              <w:autoSpaceDE w:val="0"/>
              <w:autoSpaceDN w:val="0"/>
              <w:bidi w:val="0"/>
              <w:adjustRightInd w:val="0"/>
              <w:ind w:left="-100"/>
              <w:jc w:val="center"/>
              <w:rPr>
                <w:rFonts w:asciiTheme="majorBidi" w:hAnsiTheme="majorBidi" w:cstheme="majorBidi"/>
                <w:b/>
                <w:bCs/>
                <w:snapToGrid w:val="0"/>
              </w:rPr>
            </w:pPr>
          </w:p>
        </w:tc>
        <w:tc>
          <w:tcPr>
            <w:tcW w:w="900" w:type="dxa"/>
          </w:tcPr>
          <w:p w:rsidR="006B279C" w:rsidRPr="004A1ECA" w:rsidRDefault="006B279C"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Q</w:t>
            </w:r>
            <w:r w:rsidRPr="004A1ECA">
              <w:rPr>
                <w:rFonts w:asciiTheme="majorBidi" w:hAnsiTheme="majorBidi" w:cstheme="majorBidi"/>
                <w:b/>
                <w:bCs/>
                <w:snapToGrid w:val="0"/>
                <w:rtl/>
              </w:rPr>
              <w:t>1</w:t>
            </w:r>
          </w:p>
        </w:tc>
        <w:tc>
          <w:tcPr>
            <w:tcW w:w="810" w:type="dxa"/>
          </w:tcPr>
          <w:p w:rsidR="006B279C" w:rsidRPr="004A1ECA" w:rsidRDefault="006B279C"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Q2</w:t>
            </w:r>
          </w:p>
        </w:tc>
        <w:tc>
          <w:tcPr>
            <w:tcW w:w="905" w:type="dxa"/>
          </w:tcPr>
          <w:p w:rsidR="006B279C" w:rsidRPr="004A1ECA" w:rsidRDefault="006B279C"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Q3</w:t>
            </w:r>
          </w:p>
        </w:tc>
        <w:tc>
          <w:tcPr>
            <w:tcW w:w="895" w:type="dxa"/>
          </w:tcPr>
          <w:p w:rsidR="006B279C" w:rsidRPr="004A1ECA" w:rsidRDefault="006B279C"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Q</w:t>
            </w:r>
            <w:r w:rsidRPr="004A1ECA">
              <w:rPr>
                <w:rFonts w:asciiTheme="majorBidi" w:hAnsiTheme="majorBidi" w:cstheme="majorBidi"/>
                <w:b/>
                <w:bCs/>
                <w:snapToGrid w:val="0"/>
                <w:rtl/>
              </w:rPr>
              <w:t>4</w:t>
            </w:r>
          </w:p>
        </w:tc>
      </w:tr>
      <w:tr w:rsidR="006B279C" w:rsidRPr="004A1ECA" w:rsidTr="004A1ECA">
        <w:trPr>
          <w:trHeight w:val="466"/>
        </w:trPr>
        <w:tc>
          <w:tcPr>
            <w:tcW w:w="1620" w:type="dxa"/>
            <w:vAlign w:val="center"/>
          </w:tcPr>
          <w:p w:rsidR="006B279C" w:rsidRPr="004A1ECA" w:rsidRDefault="006B279C" w:rsidP="004A1ECA">
            <w:pPr>
              <w:bidi w:val="0"/>
              <w:ind w:right="-116"/>
              <w:jc w:val="center"/>
              <w:rPr>
                <w:rFonts w:asciiTheme="majorBidi" w:hAnsiTheme="majorBidi" w:cstheme="majorBidi"/>
              </w:rPr>
            </w:pPr>
            <w:r w:rsidRPr="004A1ECA">
              <w:rPr>
                <w:rFonts w:asciiTheme="majorBidi" w:hAnsiTheme="majorBidi" w:cstheme="majorBidi"/>
              </w:rPr>
              <w:t>Agriculture</w:t>
            </w:r>
          </w:p>
        </w:tc>
        <w:tc>
          <w:tcPr>
            <w:tcW w:w="1080" w:type="dxa"/>
            <w:vAlign w:val="center"/>
          </w:tcPr>
          <w:p w:rsidR="006B279C" w:rsidRPr="004A1ECA" w:rsidRDefault="006B279C" w:rsidP="004A1ECA">
            <w:pPr>
              <w:autoSpaceDE w:val="0"/>
              <w:autoSpaceDN w:val="0"/>
              <w:bidi w:val="0"/>
              <w:adjustRightInd w:val="0"/>
              <w:ind w:left="-100"/>
              <w:jc w:val="center"/>
              <w:rPr>
                <w:rFonts w:asciiTheme="majorBidi" w:hAnsiTheme="majorBidi" w:cstheme="majorBidi"/>
                <w:snapToGrid w:val="0"/>
              </w:rPr>
            </w:pPr>
            <w:r w:rsidRPr="004A1ECA">
              <w:rPr>
                <w:rFonts w:asciiTheme="majorBidi" w:hAnsiTheme="majorBidi" w:cstheme="majorBidi"/>
                <w:snapToGrid w:val="0"/>
              </w:rPr>
              <w:t>29.0</w:t>
            </w:r>
          </w:p>
        </w:tc>
        <w:tc>
          <w:tcPr>
            <w:tcW w:w="900" w:type="dxa"/>
            <w:vAlign w:val="center"/>
          </w:tcPr>
          <w:p w:rsidR="006B279C" w:rsidRPr="004A1ECA" w:rsidRDefault="0031752F"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+1.80</w:t>
            </w:r>
          </w:p>
        </w:tc>
        <w:tc>
          <w:tcPr>
            <w:tcW w:w="810"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+0.35</w:t>
            </w:r>
          </w:p>
        </w:tc>
        <w:tc>
          <w:tcPr>
            <w:tcW w:w="905"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+8.03</w:t>
            </w:r>
          </w:p>
        </w:tc>
        <w:tc>
          <w:tcPr>
            <w:tcW w:w="895" w:type="dxa"/>
            <w:vAlign w:val="center"/>
          </w:tcPr>
          <w:p w:rsidR="006B279C" w:rsidRPr="004A1ECA" w:rsidRDefault="00C84A0B"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-3.97</w:t>
            </w:r>
          </w:p>
        </w:tc>
      </w:tr>
      <w:tr w:rsidR="006B279C" w:rsidRPr="004A1ECA" w:rsidTr="004A1ECA">
        <w:trPr>
          <w:trHeight w:val="601"/>
        </w:trPr>
        <w:tc>
          <w:tcPr>
            <w:tcW w:w="1620" w:type="dxa"/>
            <w:vAlign w:val="center"/>
          </w:tcPr>
          <w:p w:rsidR="006B279C" w:rsidRPr="004A1ECA" w:rsidRDefault="006B279C" w:rsidP="004A1ECA">
            <w:pPr>
              <w:bidi w:val="0"/>
              <w:ind w:right="-116"/>
              <w:jc w:val="center"/>
              <w:rPr>
                <w:rFonts w:asciiTheme="majorBidi" w:hAnsiTheme="majorBidi" w:cstheme="majorBidi"/>
              </w:rPr>
            </w:pPr>
            <w:r w:rsidRPr="004A1ECA">
              <w:rPr>
                <w:rFonts w:asciiTheme="majorBidi" w:hAnsiTheme="majorBidi" w:cstheme="majorBidi"/>
              </w:rPr>
              <w:t>Fishing</w:t>
            </w:r>
          </w:p>
        </w:tc>
        <w:tc>
          <w:tcPr>
            <w:tcW w:w="1080" w:type="dxa"/>
            <w:vAlign w:val="center"/>
          </w:tcPr>
          <w:p w:rsidR="006B279C" w:rsidRPr="004A1ECA" w:rsidRDefault="006B279C" w:rsidP="004A1ECA">
            <w:pPr>
              <w:autoSpaceDE w:val="0"/>
              <w:autoSpaceDN w:val="0"/>
              <w:bidi w:val="0"/>
              <w:adjustRightInd w:val="0"/>
              <w:ind w:left="-100"/>
              <w:jc w:val="center"/>
              <w:rPr>
                <w:rFonts w:asciiTheme="majorBidi" w:hAnsiTheme="majorBidi" w:cstheme="majorBidi"/>
                <w:snapToGrid w:val="0"/>
              </w:rPr>
            </w:pPr>
            <w:r w:rsidRPr="004A1ECA">
              <w:rPr>
                <w:rFonts w:asciiTheme="majorBidi" w:hAnsiTheme="majorBidi" w:cstheme="majorBidi"/>
                <w:snapToGrid w:val="0"/>
              </w:rPr>
              <w:t>0.10</w:t>
            </w:r>
          </w:p>
        </w:tc>
        <w:tc>
          <w:tcPr>
            <w:tcW w:w="900" w:type="dxa"/>
            <w:vAlign w:val="center"/>
          </w:tcPr>
          <w:p w:rsidR="006B279C" w:rsidRPr="004A1ECA" w:rsidRDefault="0031752F"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-11.35</w:t>
            </w:r>
          </w:p>
        </w:tc>
        <w:tc>
          <w:tcPr>
            <w:tcW w:w="810"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+7.41</w:t>
            </w:r>
          </w:p>
        </w:tc>
        <w:tc>
          <w:tcPr>
            <w:tcW w:w="905"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+4.86</w:t>
            </w:r>
          </w:p>
        </w:tc>
        <w:tc>
          <w:tcPr>
            <w:tcW w:w="895" w:type="dxa"/>
            <w:vAlign w:val="center"/>
          </w:tcPr>
          <w:p w:rsidR="006B279C" w:rsidRPr="004A1ECA" w:rsidRDefault="00C84A0B"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+2.02</w:t>
            </w:r>
          </w:p>
        </w:tc>
      </w:tr>
      <w:tr w:rsidR="006B279C" w:rsidRPr="004A1ECA" w:rsidTr="004A1ECA">
        <w:trPr>
          <w:trHeight w:val="570"/>
        </w:trPr>
        <w:tc>
          <w:tcPr>
            <w:tcW w:w="1620" w:type="dxa"/>
            <w:vAlign w:val="center"/>
          </w:tcPr>
          <w:p w:rsidR="006B279C" w:rsidRPr="004A1ECA" w:rsidRDefault="006B279C" w:rsidP="004A1ECA">
            <w:pPr>
              <w:bidi w:val="0"/>
              <w:ind w:right="-116"/>
              <w:jc w:val="center"/>
              <w:rPr>
                <w:rFonts w:asciiTheme="majorBidi" w:hAnsiTheme="majorBidi" w:cstheme="majorBidi"/>
              </w:rPr>
            </w:pPr>
            <w:r w:rsidRPr="004A1ECA">
              <w:rPr>
                <w:rFonts w:asciiTheme="majorBidi" w:hAnsiTheme="majorBidi" w:cstheme="majorBidi"/>
              </w:rPr>
              <w:t>Mining and quarrying</w:t>
            </w:r>
          </w:p>
        </w:tc>
        <w:tc>
          <w:tcPr>
            <w:tcW w:w="1080" w:type="dxa"/>
            <w:vAlign w:val="center"/>
          </w:tcPr>
          <w:p w:rsidR="006B279C" w:rsidRPr="004A1ECA" w:rsidRDefault="006B279C" w:rsidP="004A1ECA">
            <w:pPr>
              <w:autoSpaceDE w:val="0"/>
              <w:autoSpaceDN w:val="0"/>
              <w:bidi w:val="0"/>
              <w:adjustRightInd w:val="0"/>
              <w:ind w:left="-100"/>
              <w:jc w:val="center"/>
              <w:rPr>
                <w:rFonts w:asciiTheme="majorBidi" w:hAnsiTheme="majorBidi" w:cstheme="majorBidi"/>
                <w:snapToGrid w:val="0"/>
              </w:rPr>
            </w:pPr>
            <w:r w:rsidRPr="004A1ECA">
              <w:rPr>
                <w:rFonts w:asciiTheme="majorBidi" w:hAnsiTheme="majorBidi" w:cstheme="majorBidi"/>
                <w:snapToGrid w:val="0"/>
              </w:rPr>
              <w:t>0.90</w:t>
            </w:r>
          </w:p>
        </w:tc>
        <w:tc>
          <w:tcPr>
            <w:tcW w:w="900" w:type="dxa"/>
            <w:vAlign w:val="center"/>
          </w:tcPr>
          <w:p w:rsidR="006B279C" w:rsidRPr="004A1ECA" w:rsidRDefault="0031752F"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-1.44</w:t>
            </w:r>
          </w:p>
        </w:tc>
        <w:tc>
          <w:tcPr>
            <w:tcW w:w="810"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-1.76</w:t>
            </w:r>
          </w:p>
        </w:tc>
        <w:tc>
          <w:tcPr>
            <w:tcW w:w="905"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+5.93</w:t>
            </w:r>
          </w:p>
        </w:tc>
        <w:tc>
          <w:tcPr>
            <w:tcW w:w="895" w:type="dxa"/>
            <w:vAlign w:val="center"/>
          </w:tcPr>
          <w:p w:rsidR="006B279C" w:rsidRPr="004A1ECA" w:rsidRDefault="00C84A0B"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-1.68</w:t>
            </w:r>
          </w:p>
        </w:tc>
      </w:tr>
      <w:tr w:rsidR="006B279C" w:rsidRPr="004A1ECA" w:rsidTr="004A1ECA">
        <w:trPr>
          <w:trHeight w:val="578"/>
        </w:trPr>
        <w:tc>
          <w:tcPr>
            <w:tcW w:w="1620" w:type="dxa"/>
            <w:vAlign w:val="center"/>
          </w:tcPr>
          <w:p w:rsidR="006B279C" w:rsidRPr="004A1ECA" w:rsidRDefault="006B279C" w:rsidP="004A1ECA">
            <w:pPr>
              <w:bidi w:val="0"/>
              <w:ind w:right="-116"/>
              <w:jc w:val="center"/>
              <w:rPr>
                <w:rFonts w:asciiTheme="majorBidi" w:hAnsiTheme="majorBidi" w:cstheme="majorBidi"/>
              </w:rPr>
            </w:pPr>
            <w:r w:rsidRPr="004A1ECA">
              <w:rPr>
                <w:rFonts w:asciiTheme="majorBidi" w:hAnsiTheme="majorBidi" w:cstheme="majorBidi"/>
              </w:rPr>
              <w:t>Manufacturing</w:t>
            </w:r>
          </w:p>
        </w:tc>
        <w:tc>
          <w:tcPr>
            <w:tcW w:w="1080" w:type="dxa"/>
            <w:vAlign w:val="center"/>
          </w:tcPr>
          <w:p w:rsidR="006B279C" w:rsidRPr="004A1ECA" w:rsidRDefault="006B279C" w:rsidP="004A1ECA">
            <w:pPr>
              <w:autoSpaceDE w:val="0"/>
              <w:autoSpaceDN w:val="0"/>
              <w:bidi w:val="0"/>
              <w:adjustRightInd w:val="0"/>
              <w:ind w:left="-100"/>
              <w:jc w:val="center"/>
              <w:rPr>
                <w:rFonts w:asciiTheme="majorBidi" w:hAnsiTheme="majorBidi" w:cstheme="majorBidi"/>
                <w:snapToGrid w:val="0"/>
              </w:rPr>
            </w:pPr>
            <w:r w:rsidRPr="004A1ECA">
              <w:rPr>
                <w:rFonts w:asciiTheme="majorBidi" w:hAnsiTheme="majorBidi" w:cstheme="majorBidi"/>
                <w:snapToGrid w:val="0"/>
              </w:rPr>
              <w:t>70.0</w:t>
            </w:r>
          </w:p>
        </w:tc>
        <w:tc>
          <w:tcPr>
            <w:tcW w:w="900" w:type="dxa"/>
            <w:vAlign w:val="center"/>
          </w:tcPr>
          <w:p w:rsidR="006B279C" w:rsidRPr="004A1ECA" w:rsidRDefault="0031752F"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+0.22</w:t>
            </w:r>
          </w:p>
        </w:tc>
        <w:tc>
          <w:tcPr>
            <w:tcW w:w="810"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-1.06</w:t>
            </w:r>
          </w:p>
        </w:tc>
        <w:tc>
          <w:tcPr>
            <w:tcW w:w="905" w:type="dxa"/>
            <w:vAlign w:val="center"/>
          </w:tcPr>
          <w:p w:rsidR="006B279C" w:rsidRPr="004A1ECA" w:rsidRDefault="00C54C34"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+0.47</w:t>
            </w:r>
          </w:p>
        </w:tc>
        <w:tc>
          <w:tcPr>
            <w:tcW w:w="895" w:type="dxa"/>
            <w:vAlign w:val="center"/>
          </w:tcPr>
          <w:p w:rsidR="006B279C" w:rsidRPr="004A1ECA" w:rsidRDefault="00C84A0B"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-0.46</w:t>
            </w:r>
          </w:p>
        </w:tc>
      </w:tr>
      <w:tr w:rsidR="006B279C" w:rsidRPr="004A1ECA" w:rsidTr="004A1ECA">
        <w:trPr>
          <w:trHeight w:val="468"/>
        </w:trPr>
        <w:tc>
          <w:tcPr>
            <w:tcW w:w="1620" w:type="dxa"/>
            <w:vAlign w:val="center"/>
          </w:tcPr>
          <w:p w:rsidR="006B279C" w:rsidRPr="004A1ECA" w:rsidRDefault="006B279C" w:rsidP="004A1ECA">
            <w:pPr>
              <w:bidi w:val="0"/>
              <w:ind w:right="-116"/>
              <w:jc w:val="center"/>
              <w:rPr>
                <w:rFonts w:asciiTheme="majorBidi" w:hAnsiTheme="majorBidi" w:cstheme="majorBidi"/>
                <w:b/>
                <w:bCs/>
              </w:rPr>
            </w:pPr>
            <w:r w:rsidRPr="004A1ECA">
              <w:rPr>
                <w:rFonts w:asciiTheme="majorBidi" w:hAnsiTheme="majorBidi" w:cstheme="majorBidi"/>
                <w:b/>
                <w:bCs/>
              </w:rPr>
              <w:t>All Items Price Index</w:t>
            </w:r>
          </w:p>
        </w:tc>
        <w:tc>
          <w:tcPr>
            <w:tcW w:w="1080" w:type="dxa"/>
            <w:vAlign w:val="center"/>
          </w:tcPr>
          <w:p w:rsidR="006B279C" w:rsidRPr="004A1ECA" w:rsidRDefault="006B279C" w:rsidP="004A1ECA">
            <w:pPr>
              <w:autoSpaceDE w:val="0"/>
              <w:autoSpaceDN w:val="0"/>
              <w:bidi w:val="0"/>
              <w:adjustRightInd w:val="0"/>
              <w:ind w:left="-100"/>
              <w:jc w:val="center"/>
              <w:rPr>
                <w:rFonts w:asciiTheme="majorBidi" w:hAnsiTheme="majorBidi" w:cstheme="majorBidi"/>
                <w:b/>
                <w:bCs/>
                <w:snapToGrid w:val="0"/>
              </w:rPr>
            </w:pPr>
            <w:r w:rsidRPr="004A1ECA">
              <w:rPr>
                <w:rFonts w:asciiTheme="majorBidi" w:hAnsiTheme="majorBidi" w:cstheme="majorBidi"/>
                <w:b/>
                <w:bCs/>
                <w:snapToGrid w:val="0"/>
              </w:rPr>
              <w:t>100</w:t>
            </w:r>
          </w:p>
        </w:tc>
        <w:tc>
          <w:tcPr>
            <w:tcW w:w="900" w:type="dxa"/>
            <w:vAlign w:val="center"/>
          </w:tcPr>
          <w:p w:rsidR="006B279C" w:rsidRPr="004A1ECA" w:rsidRDefault="0031752F"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+0.68</w:t>
            </w:r>
          </w:p>
        </w:tc>
        <w:tc>
          <w:tcPr>
            <w:tcW w:w="810" w:type="dxa"/>
            <w:vAlign w:val="center"/>
          </w:tcPr>
          <w:p w:rsidR="006B279C" w:rsidRPr="004A1ECA" w:rsidRDefault="00C54C34"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-0.61</w:t>
            </w:r>
          </w:p>
        </w:tc>
        <w:tc>
          <w:tcPr>
            <w:tcW w:w="905" w:type="dxa"/>
            <w:vAlign w:val="center"/>
          </w:tcPr>
          <w:p w:rsidR="006B279C" w:rsidRPr="004A1ECA" w:rsidRDefault="00C54C34"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+2.91</w:t>
            </w:r>
          </w:p>
        </w:tc>
        <w:tc>
          <w:tcPr>
            <w:tcW w:w="895" w:type="dxa"/>
            <w:vAlign w:val="center"/>
          </w:tcPr>
          <w:p w:rsidR="006B279C" w:rsidRPr="004A1ECA" w:rsidRDefault="00C84A0B"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-1.63</w:t>
            </w:r>
          </w:p>
        </w:tc>
      </w:tr>
    </w:tbl>
    <w:p w:rsidR="006177C1" w:rsidRPr="004A1ECA" w:rsidRDefault="006177C1" w:rsidP="00080A64">
      <w:pPr>
        <w:pStyle w:val="BodyText2"/>
        <w:bidi w:val="0"/>
        <w:spacing w:after="0" w:line="240" w:lineRule="auto"/>
        <w:outlineLvl w:val="0"/>
        <w:rPr>
          <w:rFonts w:asciiTheme="majorBidi" w:hAnsiTheme="majorBidi" w:cstheme="majorBidi"/>
          <w:b/>
          <w:bCs/>
          <w:snapToGrid w:val="0"/>
          <w:color w:val="000000"/>
          <w:sz w:val="26"/>
          <w:szCs w:val="26"/>
        </w:rPr>
      </w:pPr>
    </w:p>
    <w:p w:rsidR="002A328E" w:rsidRPr="004A1ECA" w:rsidRDefault="002A328E" w:rsidP="00080A64">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2A328E" w:rsidRPr="004A1ECA" w:rsidRDefault="002A328E" w:rsidP="002A328E">
      <w:pPr>
        <w:pStyle w:val="BodyText2"/>
        <w:bidi w:val="0"/>
        <w:spacing w:after="0" w:line="240" w:lineRule="auto"/>
        <w:jc w:val="center"/>
        <w:outlineLvl w:val="0"/>
        <w:rPr>
          <w:rFonts w:asciiTheme="majorBidi" w:hAnsiTheme="majorBidi" w:cstheme="majorBidi"/>
          <w:b/>
          <w:bCs/>
          <w:snapToGrid w:val="0"/>
          <w:color w:val="000000"/>
          <w:sz w:val="26"/>
          <w:szCs w:val="26"/>
        </w:rPr>
      </w:pPr>
    </w:p>
    <w:p w:rsidR="004A1ECA" w:rsidRPr="004A1ECA" w:rsidRDefault="004A1ECA" w:rsidP="004A1ECA">
      <w:pPr>
        <w:pStyle w:val="BodyText2"/>
        <w:bidi w:val="0"/>
        <w:spacing w:after="0" w:line="240" w:lineRule="auto"/>
        <w:outlineLvl w:val="0"/>
        <w:rPr>
          <w:rFonts w:asciiTheme="majorBidi" w:hAnsiTheme="majorBidi" w:cstheme="majorBidi"/>
          <w:b/>
          <w:bCs/>
          <w:snapToGrid w:val="0"/>
          <w:color w:val="000000"/>
          <w:sz w:val="16"/>
          <w:szCs w:val="16"/>
        </w:rPr>
      </w:pPr>
    </w:p>
    <w:p w:rsidR="0066695A" w:rsidRPr="004A1ECA" w:rsidRDefault="00F025C1" w:rsidP="004A1ECA">
      <w:pPr>
        <w:pStyle w:val="BodyText2"/>
        <w:bidi w:val="0"/>
        <w:spacing w:after="0" w:line="240" w:lineRule="auto"/>
        <w:jc w:val="center"/>
        <w:outlineLvl w:val="0"/>
        <w:rPr>
          <w:rFonts w:asciiTheme="majorBidi" w:hAnsiTheme="majorBidi" w:cstheme="majorBidi"/>
          <w:sz w:val="26"/>
          <w:szCs w:val="26"/>
        </w:rPr>
      </w:pPr>
      <w:r w:rsidRPr="004A1ECA">
        <w:rPr>
          <w:rFonts w:asciiTheme="majorBidi" w:hAnsiTheme="majorBidi" w:cstheme="majorBidi"/>
          <w:b/>
          <w:bCs/>
          <w:snapToGrid w:val="0"/>
          <w:color w:val="000000"/>
          <w:sz w:val="26"/>
          <w:szCs w:val="26"/>
        </w:rPr>
        <w:t>The trend line of</w:t>
      </w:r>
      <w:r w:rsidRPr="004A1ECA">
        <w:rPr>
          <w:rFonts w:asciiTheme="majorBidi" w:hAnsiTheme="majorBidi" w:cstheme="majorBidi"/>
          <w:b/>
          <w:bCs/>
          <w:sz w:val="26"/>
          <w:szCs w:val="26"/>
        </w:rPr>
        <w:t xml:space="preserve"> </w:t>
      </w:r>
      <w:r w:rsidR="0066695A" w:rsidRPr="004A1ECA">
        <w:rPr>
          <w:rFonts w:asciiTheme="majorBidi" w:hAnsiTheme="majorBidi" w:cstheme="majorBidi"/>
          <w:b/>
          <w:bCs/>
          <w:sz w:val="26"/>
          <w:szCs w:val="26"/>
        </w:rPr>
        <w:t>Wholesale Price Index in Palestine for the</w:t>
      </w:r>
      <w:r w:rsidRPr="004A1ECA">
        <w:rPr>
          <w:rFonts w:asciiTheme="majorBidi" w:hAnsiTheme="majorBidi" w:cstheme="majorBidi"/>
          <w:b/>
          <w:bCs/>
          <w:snapToGrid w:val="0"/>
          <w:color w:val="000000"/>
          <w:sz w:val="26"/>
          <w:szCs w:val="26"/>
        </w:rPr>
        <w:t xml:space="preserve"> period:</w:t>
      </w:r>
      <w:r w:rsidR="0066695A" w:rsidRPr="004A1ECA">
        <w:rPr>
          <w:rFonts w:asciiTheme="majorBidi" w:hAnsiTheme="majorBidi" w:cstheme="majorBidi"/>
          <w:b/>
          <w:bCs/>
          <w:sz w:val="26"/>
          <w:szCs w:val="26"/>
        </w:rPr>
        <w:t xml:space="preserve"> </w:t>
      </w:r>
      <w:r w:rsidR="0014223D" w:rsidRPr="004A1ECA">
        <w:rPr>
          <w:rFonts w:asciiTheme="majorBidi" w:hAnsiTheme="majorBidi" w:cstheme="majorBidi"/>
          <w:b/>
          <w:bCs/>
          <w:kern w:val="36"/>
          <w:sz w:val="26"/>
          <w:szCs w:val="26"/>
        </w:rPr>
        <w:t xml:space="preserve">                                </w:t>
      </w:r>
      <w:r w:rsidR="000A3D33" w:rsidRPr="004A1ECA">
        <w:rPr>
          <w:rFonts w:asciiTheme="majorBidi" w:hAnsiTheme="majorBidi" w:cstheme="majorBidi"/>
          <w:b/>
          <w:bCs/>
          <w:kern w:val="36"/>
          <w:sz w:val="26"/>
          <w:szCs w:val="26"/>
        </w:rPr>
        <w:t xml:space="preserve">   </w:t>
      </w:r>
      <w:r w:rsidR="00080A64" w:rsidRPr="004A1ECA">
        <w:rPr>
          <w:rFonts w:asciiTheme="majorBidi" w:hAnsiTheme="majorBidi" w:cstheme="majorBidi"/>
          <w:b/>
          <w:bCs/>
          <w:kern w:val="36"/>
          <w:sz w:val="26"/>
          <w:szCs w:val="26"/>
        </w:rPr>
        <w:t>Fourth</w:t>
      </w:r>
      <w:r w:rsidR="00352CB9" w:rsidRPr="004A1ECA">
        <w:rPr>
          <w:rFonts w:asciiTheme="majorBidi" w:hAnsiTheme="majorBidi" w:cstheme="majorBidi"/>
          <w:b/>
          <w:bCs/>
          <w:kern w:val="36"/>
          <w:sz w:val="26"/>
          <w:szCs w:val="26"/>
        </w:rPr>
        <w:t xml:space="preserve"> </w:t>
      </w:r>
      <w:r w:rsidR="0066695A" w:rsidRPr="004A1ECA">
        <w:rPr>
          <w:rFonts w:asciiTheme="majorBidi" w:hAnsiTheme="majorBidi" w:cstheme="majorBidi"/>
          <w:b/>
          <w:bCs/>
          <w:sz w:val="26"/>
          <w:szCs w:val="26"/>
        </w:rPr>
        <w:t xml:space="preserve">quarter </w:t>
      </w:r>
      <w:r w:rsidR="000A3D33" w:rsidRPr="004A1ECA">
        <w:rPr>
          <w:rFonts w:asciiTheme="majorBidi" w:hAnsiTheme="majorBidi" w:cstheme="majorBidi"/>
          <w:b/>
          <w:bCs/>
          <w:sz w:val="26"/>
          <w:szCs w:val="26"/>
        </w:rPr>
        <w:t>2017</w:t>
      </w:r>
      <w:r w:rsidR="0066695A" w:rsidRPr="004A1ECA">
        <w:rPr>
          <w:rFonts w:asciiTheme="majorBidi" w:hAnsiTheme="majorBidi" w:cstheme="majorBidi"/>
          <w:b/>
          <w:bCs/>
          <w:sz w:val="26"/>
          <w:szCs w:val="26"/>
        </w:rPr>
        <w:t xml:space="preserve"> –</w:t>
      </w:r>
      <w:r w:rsidR="0066695A" w:rsidRPr="004A1ECA">
        <w:rPr>
          <w:rFonts w:asciiTheme="majorBidi" w:hAnsiTheme="majorBidi" w:cstheme="majorBidi"/>
          <w:b/>
          <w:bCs/>
          <w:color w:val="000000"/>
          <w:sz w:val="26"/>
          <w:szCs w:val="26"/>
        </w:rPr>
        <w:t xml:space="preserve"> </w:t>
      </w:r>
      <w:r w:rsidR="00080A64" w:rsidRPr="004A1ECA">
        <w:rPr>
          <w:rFonts w:asciiTheme="majorBidi" w:hAnsiTheme="majorBidi" w:cstheme="majorBidi"/>
          <w:b/>
          <w:bCs/>
          <w:kern w:val="36"/>
          <w:sz w:val="26"/>
          <w:szCs w:val="26"/>
        </w:rPr>
        <w:t>Fourth</w:t>
      </w:r>
      <w:r w:rsidR="0066695A" w:rsidRPr="004A1ECA">
        <w:rPr>
          <w:rFonts w:asciiTheme="majorBidi" w:hAnsiTheme="majorBidi" w:cstheme="majorBidi"/>
          <w:b/>
          <w:bCs/>
          <w:kern w:val="36"/>
          <w:sz w:val="26"/>
          <w:szCs w:val="26"/>
        </w:rPr>
        <w:t xml:space="preserve"> </w:t>
      </w:r>
      <w:r w:rsidR="0066695A" w:rsidRPr="004A1ECA">
        <w:rPr>
          <w:rFonts w:asciiTheme="majorBidi" w:hAnsiTheme="majorBidi" w:cstheme="majorBidi"/>
          <w:b/>
          <w:bCs/>
          <w:color w:val="000000"/>
          <w:sz w:val="26"/>
          <w:szCs w:val="26"/>
        </w:rPr>
        <w:t xml:space="preserve">quarter </w:t>
      </w:r>
      <w:r w:rsidR="002A328E" w:rsidRPr="004A1ECA">
        <w:rPr>
          <w:rFonts w:asciiTheme="majorBidi" w:hAnsiTheme="majorBidi" w:cstheme="majorBidi"/>
          <w:b/>
          <w:bCs/>
          <w:color w:val="000000"/>
          <w:sz w:val="26"/>
          <w:szCs w:val="26"/>
        </w:rPr>
        <w:t>2020</w:t>
      </w:r>
    </w:p>
    <w:p w:rsidR="0066695A" w:rsidRPr="004A1ECA" w:rsidRDefault="0066695A" w:rsidP="00377CD6">
      <w:pPr>
        <w:bidi w:val="0"/>
        <w:jc w:val="center"/>
        <w:rPr>
          <w:rFonts w:asciiTheme="majorBidi" w:hAnsiTheme="majorBidi" w:cstheme="majorBidi"/>
          <w:b/>
          <w:bCs/>
          <w:sz w:val="26"/>
          <w:szCs w:val="26"/>
        </w:rPr>
      </w:pPr>
      <w:r w:rsidRPr="004A1ECA">
        <w:rPr>
          <w:rFonts w:asciiTheme="majorBidi" w:hAnsiTheme="majorBidi" w:cstheme="majorBidi"/>
          <w:b/>
          <w:bCs/>
          <w:sz w:val="26"/>
          <w:szCs w:val="26"/>
        </w:rPr>
        <w:t>(Base year 2007</w:t>
      </w:r>
      <w:r w:rsidR="00647C1C" w:rsidRPr="004A1ECA">
        <w:rPr>
          <w:rFonts w:asciiTheme="majorBidi" w:hAnsiTheme="majorBidi" w:cstheme="majorBidi"/>
          <w:b/>
          <w:bCs/>
          <w:sz w:val="26"/>
          <w:szCs w:val="26"/>
        </w:rPr>
        <w:t xml:space="preserve"> </w:t>
      </w:r>
      <w:r w:rsidRPr="004A1ECA">
        <w:rPr>
          <w:rFonts w:asciiTheme="majorBidi" w:hAnsiTheme="majorBidi" w:cstheme="majorBidi"/>
          <w:b/>
          <w:bCs/>
          <w:sz w:val="26"/>
          <w:szCs w:val="26"/>
        </w:rPr>
        <w:t>=</w:t>
      </w:r>
      <w:r w:rsidR="00647C1C" w:rsidRPr="004A1ECA">
        <w:rPr>
          <w:rFonts w:asciiTheme="majorBidi" w:hAnsiTheme="majorBidi" w:cstheme="majorBidi"/>
          <w:b/>
          <w:bCs/>
          <w:sz w:val="26"/>
          <w:szCs w:val="26"/>
        </w:rPr>
        <w:t xml:space="preserve"> </w:t>
      </w:r>
      <w:r w:rsidRPr="004A1ECA">
        <w:rPr>
          <w:rFonts w:asciiTheme="majorBidi" w:hAnsiTheme="majorBidi" w:cstheme="majorBidi"/>
          <w:b/>
          <w:bCs/>
          <w:sz w:val="26"/>
          <w:szCs w:val="26"/>
        </w:rPr>
        <w:t>100)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1"/>
      </w:tblGrid>
      <w:tr w:rsidR="0066695A" w:rsidRPr="004A1ECA" w:rsidTr="004A1ECA">
        <w:trPr>
          <w:jc w:val="center"/>
        </w:trPr>
        <w:tc>
          <w:tcPr>
            <w:tcW w:w="4751" w:type="dxa"/>
          </w:tcPr>
          <w:p w:rsidR="0066695A" w:rsidRPr="004A1ECA" w:rsidRDefault="00A7058B" w:rsidP="0066695A">
            <w:pPr>
              <w:bidi w:val="0"/>
              <w:jc w:val="center"/>
              <w:rPr>
                <w:rFonts w:asciiTheme="majorBidi" w:hAnsiTheme="majorBidi" w:cstheme="majorBidi"/>
                <w:b/>
                <w:bCs/>
                <w:sz w:val="26"/>
                <w:szCs w:val="26"/>
              </w:rPr>
            </w:pPr>
            <w:r w:rsidRPr="004A1ECA">
              <w:rPr>
                <w:rFonts w:asciiTheme="majorBidi" w:hAnsiTheme="majorBidi" w:cstheme="majorBidi"/>
                <w:b/>
                <w:bCs/>
                <w:noProof/>
                <w:sz w:val="26"/>
                <w:szCs w:val="26"/>
                <w:lang w:eastAsia="en-US"/>
              </w:rPr>
              <w:drawing>
                <wp:inline distT="0" distB="0" distL="0" distR="0">
                  <wp:extent cx="2886075" cy="2390775"/>
                  <wp:effectExtent l="0" t="0" r="0" b="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080A64" w:rsidRPr="004A1ECA" w:rsidRDefault="00080A64" w:rsidP="00080A64">
      <w:pPr>
        <w:bidi w:val="0"/>
        <w:jc w:val="both"/>
        <w:rPr>
          <w:rFonts w:asciiTheme="majorBidi" w:hAnsiTheme="majorBidi" w:cstheme="majorBidi"/>
          <w:b/>
          <w:bCs/>
          <w:sz w:val="26"/>
          <w:szCs w:val="26"/>
        </w:rPr>
      </w:pPr>
    </w:p>
    <w:p w:rsidR="006A698D" w:rsidRPr="004A1ECA" w:rsidRDefault="006A698D" w:rsidP="006A698D">
      <w:pPr>
        <w:bidi w:val="0"/>
        <w:rPr>
          <w:rFonts w:asciiTheme="majorBidi" w:hAnsiTheme="majorBidi" w:cstheme="majorBidi"/>
          <w:b/>
          <w:bCs/>
        </w:rPr>
      </w:pPr>
      <w:r w:rsidRPr="004A1ECA">
        <w:rPr>
          <w:rFonts w:asciiTheme="majorBidi" w:hAnsiTheme="majorBidi" w:cstheme="majorBidi"/>
          <w:b/>
          <w:bCs/>
        </w:rPr>
        <w:t>Notice for Users:</w:t>
      </w:r>
    </w:p>
    <w:p w:rsidR="006A698D" w:rsidRDefault="006A698D" w:rsidP="006A698D">
      <w:pPr>
        <w:pStyle w:val="ListParagraph"/>
        <w:numPr>
          <w:ilvl w:val="0"/>
          <w:numId w:val="9"/>
        </w:numPr>
        <w:tabs>
          <w:tab w:val="right" w:pos="284"/>
        </w:tabs>
        <w:bidi w:val="0"/>
        <w:ind w:left="0" w:firstLine="0"/>
        <w:jc w:val="both"/>
        <w:rPr>
          <w:rFonts w:asciiTheme="majorBidi" w:hAnsiTheme="majorBidi" w:cstheme="majorBidi"/>
        </w:rPr>
      </w:pPr>
      <w:r w:rsidRPr="004A1ECA">
        <w:rPr>
          <w:rFonts w:asciiTheme="majorBidi" w:hAnsiTheme="majorBidi" w:cstheme="majorBidi"/>
        </w:rPr>
        <w:t>As a result of CORONAVIRUS (COVID-19) outbreak, and the implemented measures to limit its spread, the data collection process for Wholesale Price Index has been replaced with data collection via phone and websites for all sale outlets in all of the Palestinian Governorates instead of collecting data face to face from the field.</w:t>
      </w:r>
    </w:p>
    <w:p w:rsidR="004A1ECA" w:rsidRPr="00377CD6" w:rsidRDefault="004A1ECA" w:rsidP="004A1ECA">
      <w:pPr>
        <w:tabs>
          <w:tab w:val="right" w:pos="284"/>
        </w:tabs>
        <w:bidi w:val="0"/>
        <w:jc w:val="both"/>
        <w:rPr>
          <w:rFonts w:asciiTheme="majorBidi" w:hAnsiTheme="majorBidi" w:cstheme="majorBidi"/>
          <w:sz w:val="16"/>
          <w:szCs w:val="16"/>
        </w:rPr>
      </w:pPr>
    </w:p>
    <w:p w:rsidR="006A698D" w:rsidRPr="004A1ECA" w:rsidRDefault="006A698D" w:rsidP="006A698D">
      <w:pPr>
        <w:pStyle w:val="ListParagraph"/>
        <w:numPr>
          <w:ilvl w:val="0"/>
          <w:numId w:val="9"/>
        </w:numPr>
        <w:tabs>
          <w:tab w:val="right" w:pos="284"/>
        </w:tabs>
        <w:bidi w:val="0"/>
        <w:ind w:left="0" w:firstLine="0"/>
        <w:jc w:val="both"/>
        <w:rPr>
          <w:rFonts w:asciiTheme="majorBidi" w:hAnsiTheme="majorBidi" w:cstheme="majorBidi"/>
        </w:rPr>
      </w:pPr>
      <w:r w:rsidRPr="004A1ECA">
        <w:rPr>
          <w:rFonts w:asciiTheme="majorBidi" w:hAnsiTheme="majorBidi" w:cstheme="majorBidi"/>
        </w:rPr>
        <w:t>The number of sale outlets, from which Wholesale Prices are collected in Palestine, reached 430 outlets in the fourth quarter 2020. Thus and in light of the temporary closure of many outlets due to applying the Palestinian emergency plan, the completion of data collection process is as follows:</w:t>
      </w:r>
    </w:p>
    <w:p w:rsidR="006A698D" w:rsidRPr="004A1ECA" w:rsidRDefault="006A698D" w:rsidP="006A698D">
      <w:pPr>
        <w:pStyle w:val="ListParagraph"/>
        <w:tabs>
          <w:tab w:val="right" w:pos="284"/>
        </w:tabs>
        <w:bidi w:val="0"/>
        <w:ind w:left="0"/>
        <w:jc w:val="both"/>
        <w:rPr>
          <w:rFonts w:asciiTheme="majorBidi" w:hAnsiTheme="majorBidi" w:cstheme="majorBidi"/>
        </w:rPr>
      </w:pPr>
    </w:p>
    <w:tbl>
      <w:tblPr>
        <w:tblW w:w="65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38"/>
        <w:gridCol w:w="1980"/>
        <w:gridCol w:w="1799"/>
        <w:gridCol w:w="1621"/>
      </w:tblGrid>
      <w:tr w:rsidR="006A698D" w:rsidRPr="004A1ECA" w:rsidTr="004A1ECA">
        <w:trPr>
          <w:tblHeader/>
          <w:jc w:val="center"/>
        </w:trPr>
        <w:tc>
          <w:tcPr>
            <w:tcW w:w="1138"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Region</w:t>
            </w:r>
          </w:p>
        </w:tc>
        <w:tc>
          <w:tcPr>
            <w:tcW w:w="1980"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Number of Collected Outlets</w:t>
            </w:r>
          </w:p>
        </w:tc>
        <w:tc>
          <w:tcPr>
            <w:tcW w:w="1799"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Number of Non-Collected Outlets</w:t>
            </w:r>
          </w:p>
        </w:tc>
        <w:tc>
          <w:tcPr>
            <w:tcW w:w="1621"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Percentage of Collected Outlets</w:t>
            </w:r>
          </w:p>
        </w:tc>
      </w:tr>
      <w:tr w:rsidR="006A698D" w:rsidRPr="004A1ECA" w:rsidTr="004A1ECA">
        <w:trPr>
          <w:trHeight w:val="375"/>
          <w:jc w:val="center"/>
        </w:trPr>
        <w:tc>
          <w:tcPr>
            <w:tcW w:w="1138" w:type="dxa"/>
            <w:vAlign w:val="center"/>
          </w:tcPr>
          <w:p w:rsidR="006A698D" w:rsidRPr="004A1ECA" w:rsidRDefault="006A698D"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Palestine</w:t>
            </w:r>
          </w:p>
        </w:tc>
        <w:tc>
          <w:tcPr>
            <w:tcW w:w="1980" w:type="dxa"/>
            <w:vAlign w:val="center"/>
          </w:tcPr>
          <w:p w:rsidR="006A698D" w:rsidRPr="004A1ECA" w:rsidRDefault="003D3C6E"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399</w:t>
            </w:r>
          </w:p>
        </w:tc>
        <w:tc>
          <w:tcPr>
            <w:tcW w:w="1799" w:type="dxa"/>
            <w:vAlign w:val="center"/>
          </w:tcPr>
          <w:p w:rsidR="006A698D" w:rsidRPr="004A1ECA" w:rsidRDefault="003D3C6E"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31</w:t>
            </w:r>
          </w:p>
        </w:tc>
        <w:tc>
          <w:tcPr>
            <w:tcW w:w="1621" w:type="dxa"/>
            <w:vAlign w:val="center"/>
          </w:tcPr>
          <w:p w:rsidR="006A698D" w:rsidRPr="004A1ECA" w:rsidRDefault="003D3C6E"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93</w:t>
            </w:r>
            <w:r w:rsidR="006A698D" w:rsidRPr="004A1ECA">
              <w:rPr>
                <w:rFonts w:asciiTheme="majorBidi" w:hAnsiTheme="majorBidi" w:cstheme="majorBidi"/>
                <w:snapToGrid/>
                <w:sz w:val="24"/>
                <w:szCs w:val="24"/>
                <w:lang w:eastAsia="ar-SA"/>
              </w:rPr>
              <w:t>%</w:t>
            </w:r>
          </w:p>
        </w:tc>
      </w:tr>
    </w:tbl>
    <w:p w:rsidR="004A1ECA" w:rsidRDefault="004A1ECA" w:rsidP="004A1ECA">
      <w:pPr>
        <w:pStyle w:val="ListParagraph"/>
        <w:tabs>
          <w:tab w:val="right" w:pos="284"/>
        </w:tabs>
        <w:bidi w:val="0"/>
        <w:ind w:left="0"/>
        <w:jc w:val="both"/>
        <w:rPr>
          <w:rFonts w:asciiTheme="majorBidi" w:hAnsiTheme="majorBidi" w:cstheme="majorBidi"/>
          <w:sz w:val="16"/>
          <w:szCs w:val="16"/>
          <w:rtl/>
        </w:rPr>
      </w:pPr>
    </w:p>
    <w:p w:rsidR="00377CD6" w:rsidRDefault="00377CD6" w:rsidP="00377CD6">
      <w:pPr>
        <w:pStyle w:val="ListParagraph"/>
        <w:tabs>
          <w:tab w:val="right" w:pos="284"/>
        </w:tabs>
        <w:bidi w:val="0"/>
        <w:ind w:left="0"/>
        <w:jc w:val="both"/>
        <w:rPr>
          <w:rFonts w:asciiTheme="majorBidi" w:hAnsiTheme="majorBidi" w:cstheme="majorBidi"/>
          <w:sz w:val="16"/>
          <w:szCs w:val="16"/>
          <w:rtl/>
        </w:rPr>
      </w:pPr>
    </w:p>
    <w:p w:rsidR="00377CD6" w:rsidRPr="004A1ECA" w:rsidRDefault="00377CD6" w:rsidP="00377CD6">
      <w:pPr>
        <w:pStyle w:val="ListParagraph"/>
        <w:tabs>
          <w:tab w:val="right" w:pos="284"/>
        </w:tabs>
        <w:bidi w:val="0"/>
        <w:ind w:left="0"/>
        <w:jc w:val="both"/>
        <w:rPr>
          <w:rFonts w:asciiTheme="majorBidi" w:hAnsiTheme="majorBidi" w:cstheme="majorBidi"/>
          <w:sz w:val="16"/>
          <w:szCs w:val="16"/>
        </w:rPr>
      </w:pPr>
    </w:p>
    <w:p w:rsidR="006A698D" w:rsidRPr="004A1ECA" w:rsidRDefault="006A698D" w:rsidP="004A1ECA">
      <w:pPr>
        <w:pStyle w:val="ListParagraph"/>
        <w:numPr>
          <w:ilvl w:val="0"/>
          <w:numId w:val="9"/>
        </w:numPr>
        <w:tabs>
          <w:tab w:val="right" w:pos="284"/>
        </w:tabs>
        <w:bidi w:val="0"/>
        <w:ind w:left="0" w:firstLine="0"/>
        <w:jc w:val="both"/>
        <w:rPr>
          <w:rFonts w:asciiTheme="majorBidi" w:hAnsiTheme="majorBidi" w:cstheme="majorBidi"/>
        </w:rPr>
      </w:pPr>
      <w:r w:rsidRPr="004A1ECA">
        <w:rPr>
          <w:rFonts w:asciiTheme="majorBidi" w:hAnsiTheme="majorBidi" w:cstheme="majorBidi"/>
        </w:rPr>
        <w:lastRenderedPageBreak/>
        <w:t>The number of price observations collected to compile the Palestinian Wholesale Price index is 3,543 price observations; where 9</w:t>
      </w:r>
      <w:r w:rsidR="003D3C6E" w:rsidRPr="004A1ECA">
        <w:rPr>
          <w:rFonts w:asciiTheme="majorBidi" w:hAnsiTheme="majorBidi" w:cstheme="majorBidi"/>
        </w:rPr>
        <w:t>3</w:t>
      </w:r>
      <w:r w:rsidRPr="004A1ECA">
        <w:rPr>
          <w:rFonts w:asciiTheme="majorBidi" w:hAnsiTheme="majorBidi" w:cstheme="majorBidi"/>
        </w:rPr>
        <w:t xml:space="preserve">% was collected in the </w:t>
      </w:r>
      <w:r w:rsidR="003D3C6E" w:rsidRPr="004A1ECA">
        <w:rPr>
          <w:rFonts w:asciiTheme="majorBidi" w:hAnsiTheme="majorBidi" w:cstheme="majorBidi"/>
        </w:rPr>
        <w:t>fourth</w:t>
      </w:r>
      <w:r w:rsidRPr="004A1ECA">
        <w:rPr>
          <w:rFonts w:asciiTheme="majorBidi" w:hAnsiTheme="majorBidi" w:cstheme="majorBidi"/>
        </w:rPr>
        <w:t xml:space="preserve"> quarter 2020. Hence, the observations collected are as follows</w:t>
      </w:r>
      <w:r w:rsidRPr="004A1ECA">
        <w:rPr>
          <w:rFonts w:asciiTheme="majorBidi" w:hAnsiTheme="majorBidi" w:cstheme="majorBidi"/>
          <w:rtl/>
        </w:rPr>
        <w:t>:</w:t>
      </w:r>
    </w:p>
    <w:p w:rsidR="006A698D" w:rsidRPr="004A1ECA" w:rsidRDefault="006A698D" w:rsidP="006A698D">
      <w:pPr>
        <w:pStyle w:val="ListParagraph"/>
        <w:tabs>
          <w:tab w:val="right" w:pos="284"/>
        </w:tabs>
        <w:bidi w:val="0"/>
        <w:ind w:left="0"/>
        <w:jc w:val="both"/>
        <w:rPr>
          <w:rFonts w:asciiTheme="majorBidi" w:hAnsiTheme="majorBidi" w:cstheme="majorBidi"/>
        </w:rPr>
      </w:pPr>
    </w:p>
    <w:tbl>
      <w:tblPr>
        <w:tblW w:w="65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84"/>
        <w:gridCol w:w="1980"/>
        <w:gridCol w:w="1800"/>
        <w:gridCol w:w="1536"/>
      </w:tblGrid>
      <w:tr w:rsidR="006A698D" w:rsidRPr="004A1ECA" w:rsidTr="004A1ECA">
        <w:trPr>
          <w:tblHeader/>
          <w:jc w:val="center"/>
        </w:trPr>
        <w:tc>
          <w:tcPr>
            <w:tcW w:w="1184"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Region</w:t>
            </w:r>
          </w:p>
        </w:tc>
        <w:tc>
          <w:tcPr>
            <w:tcW w:w="1980"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Number of Actual Collected Observations</w:t>
            </w:r>
          </w:p>
        </w:tc>
        <w:tc>
          <w:tcPr>
            <w:tcW w:w="1800"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Estimated Number of Observations</w:t>
            </w:r>
          </w:p>
        </w:tc>
        <w:tc>
          <w:tcPr>
            <w:tcW w:w="1536" w:type="dxa"/>
          </w:tcPr>
          <w:p w:rsidR="006A698D" w:rsidRPr="004A1ECA" w:rsidRDefault="006A698D" w:rsidP="004A1ECA">
            <w:pPr>
              <w:autoSpaceDE w:val="0"/>
              <w:autoSpaceDN w:val="0"/>
              <w:bidi w:val="0"/>
              <w:adjustRightInd w:val="0"/>
              <w:jc w:val="center"/>
              <w:rPr>
                <w:rFonts w:asciiTheme="majorBidi" w:hAnsiTheme="majorBidi" w:cstheme="majorBidi"/>
                <w:b/>
                <w:bCs/>
                <w:snapToGrid w:val="0"/>
              </w:rPr>
            </w:pPr>
            <w:r w:rsidRPr="004A1ECA">
              <w:rPr>
                <w:rFonts w:asciiTheme="majorBidi" w:hAnsiTheme="majorBidi" w:cstheme="majorBidi"/>
                <w:b/>
                <w:bCs/>
                <w:snapToGrid w:val="0"/>
              </w:rPr>
              <w:t>Percentage of Actual Collected Observation</w:t>
            </w:r>
          </w:p>
        </w:tc>
      </w:tr>
      <w:tr w:rsidR="006A698D" w:rsidRPr="004A1ECA" w:rsidTr="004A1ECA">
        <w:trPr>
          <w:trHeight w:val="395"/>
          <w:jc w:val="center"/>
        </w:trPr>
        <w:tc>
          <w:tcPr>
            <w:tcW w:w="1184" w:type="dxa"/>
            <w:vAlign w:val="center"/>
          </w:tcPr>
          <w:p w:rsidR="006A698D" w:rsidRPr="004A1ECA" w:rsidRDefault="006A698D" w:rsidP="004A1ECA">
            <w:pPr>
              <w:autoSpaceDE w:val="0"/>
              <w:autoSpaceDN w:val="0"/>
              <w:bidi w:val="0"/>
              <w:adjustRightInd w:val="0"/>
              <w:jc w:val="center"/>
              <w:rPr>
                <w:rFonts w:asciiTheme="majorBidi" w:hAnsiTheme="majorBidi" w:cstheme="majorBidi"/>
                <w:snapToGrid w:val="0"/>
              </w:rPr>
            </w:pPr>
            <w:r w:rsidRPr="004A1ECA">
              <w:rPr>
                <w:rFonts w:asciiTheme="majorBidi" w:hAnsiTheme="majorBidi" w:cstheme="majorBidi"/>
                <w:snapToGrid w:val="0"/>
              </w:rPr>
              <w:t>Palestine</w:t>
            </w:r>
          </w:p>
        </w:tc>
        <w:tc>
          <w:tcPr>
            <w:tcW w:w="1980" w:type="dxa"/>
            <w:vAlign w:val="center"/>
          </w:tcPr>
          <w:p w:rsidR="006A698D" w:rsidRPr="004A1ECA" w:rsidRDefault="006A698D"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3,</w:t>
            </w:r>
            <w:r w:rsidR="003D3C6E" w:rsidRPr="004A1ECA">
              <w:rPr>
                <w:rFonts w:asciiTheme="majorBidi" w:hAnsiTheme="majorBidi" w:cstheme="majorBidi"/>
                <w:snapToGrid/>
                <w:sz w:val="24"/>
                <w:szCs w:val="24"/>
                <w:lang w:eastAsia="ar-SA"/>
              </w:rPr>
              <w:t>285</w:t>
            </w:r>
          </w:p>
        </w:tc>
        <w:tc>
          <w:tcPr>
            <w:tcW w:w="1800" w:type="dxa"/>
            <w:vAlign w:val="center"/>
          </w:tcPr>
          <w:p w:rsidR="006A698D" w:rsidRPr="004A1ECA" w:rsidRDefault="003D3C6E"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258</w:t>
            </w:r>
          </w:p>
        </w:tc>
        <w:tc>
          <w:tcPr>
            <w:tcW w:w="1536" w:type="dxa"/>
            <w:vAlign w:val="center"/>
          </w:tcPr>
          <w:p w:rsidR="006A698D" w:rsidRPr="004A1ECA" w:rsidRDefault="006A698D" w:rsidP="004A1ECA">
            <w:pPr>
              <w:pStyle w:val="Header"/>
              <w:bidi w:val="0"/>
              <w:ind w:right="-180"/>
              <w:jc w:val="center"/>
              <w:rPr>
                <w:rFonts w:asciiTheme="majorBidi" w:hAnsiTheme="majorBidi" w:cstheme="majorBidi"/>
                <w:snapToGrid/>
                <w:sz w:val="24"/>
                <w:szCs w:val="24"/>
                <w:lang w:eastAsia="ar-SA"/>
              </w:rPr>
            </w:pPr>
            <w:r w:rsidRPr="004A1ECA">
              <w:rPr>
                <w:rFonts w:asciiTheme="majorBidi" w:hAnsiTheme="majorBidi" w:cstheme="majorBidi"/>
                <w:snapToGrid/>
                <w:sz w:val="24"/>
                <w:szCs w:val="24"/>
                <w:lang w:eastAsia="ar-SA"/>
              </w:rPr>
              <w:t>9</w:t>
            </w:r>
            <w:r w:rsidR="003D3C6E" w:rsidRPr="004A1ECA">
              <w:rPr>
                <w:rFonts w:asciiTheme="majorBidi" w:hAnsiTheme="majorBidi" w:cstheme="majorBidi"/>
                <w:snapToGrid/>
                <w:sz w:val="24"/>
                <w:szCs w:val="24"/>
                <w:lang w:eastAsia="ar-SA"/>
              </w:rPr>
              <w:t>3</w:t>
            </w:r>
            <w:r w:rsidRPr="004A1ECA">
              <w:rPr>
                <w:rFonts w:asciiTheme="majorBidi" w:hAnsiTheme="majorBidi" w:cstheme="majorBidi"/>
                <w:snapToGrid/>
                <w:sz w:val="24"/>
                <w:szCs w:val="24"/>
                <w:lang w:eastAsia="ar-SA"/>
              </w:rPr>
              <w:t>%</w:t>
            </w:r>
          </w:p>
        </w:tc>
      </w:tr>
    </w:tbl>
    <w:p w:rsidR="004A1ECA" w:rsidRPr="004A1ECA" w:rsidRDefault="004A1ECA" w:rsidP="004A1ECA">
      <w:pPr>
        <w:pStyle w:val="ListParagraph"/>
        <w:tabs>
          <w:tab w:val="right" w:pos="284"/>
        </w:tabs>
        <w:bidi w:val="0"/>
        <w:ind w:left="0"/>
        <w:jc w:val="both"/>
        <w:rPr>
          <w:rFonts w:asciiTheme="majorBidi" w:hAnsiTheme="majorBidi" w:cstheme="majorBidi"/>
          <w:sz w:val="16"/>
          <w:szCs w:val="16"/>
        </w:rPr>
      </w:pPr>
    </w:p>
    <w:p w:rsidR="006A698D" w:rsidRPr="004A1ECA" w:rsidRDefault="006A698D" w:rsidP="004A1ECA">
      <w:pPr>
        <w:pStyle w:val="ListParagraph"/>
        <w:numPr>
          <w:ilvl w:val="0"/>
          <w:numId w:val="9"/>
        </w:numPr>
        <w:tabs>
          <w:tab w:val="right" w:pos="284"/>
        </w:tabs>
        <w:bidi w:val="0"/>
        <w:ind w:left="0" w:firstLine="0"/>
        <w:jc w:val="both"/>
        <w:rPr>
          <w:rFonts w:asciiTheme="majorBidi" w:hAnsiTheme="majorBidi" w:cstheme="majorBidi"/>
        </w:rPr>
      </w:pPr>
      <w:r w:rsidRPr="004A1ECA">
        <w:rPr>
          <w:rFonts w:asciiTheme="majorBidi" w:hAnsiTheme="majorBidi" w:cstheme="majorBidi"/>
        </w:rPr>
        <w:t xml:space="preserve">International recommendations were followed in estimating the missing data, which are mentioned in Price Index guide. Moreover, the </w:t>
      </w:r>
      <w:r w:rsidRPr="004A1ECA">
        <w:rPr>
          <w:rFonts w:asciiTheme="majorBidi" w:hAnsiTheme="majorBidi" w:cstheme="majorBidi"/>
          <w:b/>
          <w:bCs/>
        </w:rPr>
        <w:t>(Group Relative Method)</w:t>
      </w:r>
      <w:r w:rsidRPr="004A1ECA">
        <w:rPr>
          <w:rFonts w:asciiTheme="majorBidi" w:hAnsiTheme="majorBidi" w:cstheme="majorBidi"/>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4A1ECA" w:rsidRPr="004A1ECA" w:rsidRDefault="004A1ECA" w:rsidP="004A1ECA">
      <w:pPr>
        <w:pStyle w:val="ListParagraph"/>
        <w:tabs>
          <w:tab w:val="right" w:pos="284"/>
        </w:tabs>
        <w:bidi w:val="0"/>
        <w:ind w:left="0"/>
        <w:jc w:val="both"/>
        <w:rPr>
          <w:rFonts w:asciiTheme="majorBidi" w:hAnsiTheme="majorBidi" w:cstheme="majorBidi"/>
          <w:sz w:val="16"/>
          <w:szCs w:val="16"/>
        </w:rPr>
      </w:pPr>
    </w:p>
    <w:p w:rsidR="006A698D" w:rsidRPr="004A1ECA" w:rsidRDefault="006A698D" w:rsidP="004A1ECA">
      <w:pPr>
        <w:pStyle w:val="ListParagraph"/>
        <w:numPr>
          <w:ilvl w:val="0"/>
          <w:numId w:val="9"/>
        </w:numPr>
        <w:tabs>
          <w:tab w:val="right" w:pos="284"/>
        </w:tabs>
        <w:bidi w:val="0"/>
        <w:ind w:left="0" w:firstLine="0"/>
        <w:jc w:val="both"/>
        <w:rPr>
          <w:rFonts w:asciiTheme="majorBidi" w:hAnsiTheme="majorBidi" w:cstheme="majorBidi"/>
        </w:rPr>
      </w:pPr>
      <w:r w:rsidRPr="004A1ECA">
        <w:rPr>
          <w:rFonts w:asciiTheme="majorBidi" w:hAnsiTheme="majorBidi" w:cstheme="majorBidi"/>
        </w:rPr>
        <w:t xml:space="preserve">The estimate is also used at the </w:t>
      </w:r>
      <w:r w:rsidRPr="004A1ECA">
        <w:rPr>
          <w:rFonts w:asciiTheme="majorBidi" w:hAnsiTheme="majorBidi" w:cstheme="majorBidi"/>
          <w:b/>
          <w:bCs/>
        </w:rPr>
        <w:t>(Next Level Up in Aggregation)</w:t>
      </w:r>
      <w:r w:rsidRPr="004A1ECA">
        <w:rPr>
          <w:rFonts w:asciiTheme="majorBidi" w:hAnsiTheme="majorBidi" w:cstheme="majorBidi"/>
        </w:rPr>
        <w:t xml:space="preserve"> in case of the disappearance of the index for a whole sub-group or a higher group reaching up to the major groups that constitute the index.</w:t>
      </w:r>
    </w:p>
    <w:p w:rsidR="006A698D" w:rsidRDefault="006A698D" w:rsidP="006A698D">
      <w:pPr>
        <w:bidi w:val="0"/>
        <w:jc w:val="both"/>
        <w:rPr>
          <w:rFonts w:asciiTheme="majorBidi" w:hAnsiTheme="majorBidi" w:cstheme="majorBidi"/>
          <w:b/>
          <w:bCs/>
        </w:rPr>
      </w:pPr>
    </w:p>
    <w:p w:rsidR="004A1ECA" w:rsidRDefault="004A1ECA" w:rsidP="004A1ECA">
      <w:pPr>
        <w:bidi w:val="0"/>
        <w:jc w:val="both"/>
        <w:rPr>
          <w:rFonts w:asciiTheme="majorBidi" w:hAnsiTheme="majorBidi" w:cstheme="majorBidi"/>
          <w:b/>
          <w:bCs/>
        </w:rPr>
      </w:pPr>
    </w:p>
    <w:p w:rsidR="004A1ECA" w:rsidRDefault="004A1ECA" w:rsidP="004A1ECA">
      <w:pPr>
        <w:bidi w:val="0"/>
        <w:jc w:val="both"/>
        <w:rPr>
          <w:rFonts w:asciiTheme="majorBidi" w:hAnsiTheme="majorBidi" w:cstheme="majorBidi"/>
          <w:b/>
          <w:bCs/>
        </w:rPr>
      </w:pPr>
    </w:p>
    <w:p w:rsidR="004A1ECA" w:rsidRDefault="004A1ECA" w:rsidP="004A1ECA">
      <w:pPr>
        <w:bidi w:val="0"/>
        <w:jc w:val="both"/>
        <w:rPr>
          <w:rFonts w:asciiTheme="majorBidi" w:hAnsiTheme="majorBidi" w:cstheme="majorBidi"/>
          <w:b/>
          <w:bCs/>
        </w:rPr>
      </w:pPr>
    </w:p>
    <w:p w:rsidR="004A1ECA" w:rsidRPr="004A1ECA" w:rsidRDefault="004A1ECA" w:rsidP="004A1ECA">
      <w:pPr>
        <w:bidi w:val="0"/>
        <w:jc w:val="both"/>
        <w:rPr>
          <w:rFonts w:asciiTheme="majorBidi" w:hAnsiTheme="majorBidi" w:cstheme="majorBidi"/>
          <w:b/>
          <w:bCs/>
        </w:rPr>
      </w:pPr>
    </w:p>
    <w:p w:rsidR="006A698D" w:rsidRPr="004A1ECA" w:rsidRDefault="006A698D" w:rsidP="006A698D">
      <w:pPr>
        <w:pStyle w:val="ListParagraph"/>
        <w:bidi w:val="0"/>
        <w:ind w:left="0"/>
        <w:jc w:val="both"/>
        <w:rPr>
          <w:rFonts w:asciiTheme="majorBidi" w:hAnsiTheme="majorBidi" w:cstheme="majorBidi"/>
        </w:rPr>
      </w:pPr>
      <w:r w:rsidRPr="004A1ECA">
        <w:rPr>
          <w:rFonts w:asciiTheme="majorBidi" w:hAnsiTheme="majorBidi" w:cstheme="majorBidi"/>
        </w:rPr>
        <w:t>Please note that the press release in English is brief compared to the Arabic version.</w:t>
      </w:r>
    </w:p>
    <w:p w:rsidR="006A698D" w:rsidRPr="004A1ECA" w:rsidRDefault="006A698D" w:rsidP="006A698D">
      <w:pPr>
        <w:bidi w:val="0"/>
        <w:jc w:val="both"/>
        <w:rPr>
          <w:rFonts w:asciiTheme="majorBidi" w:hAnsiTheme="majorBidi" w:cstheme="majorBidi"/>
          <w:b/>
          <w:bCs/>
        </w:rPr>
      </w:pPr>
    </w:p>
    <w:p w:rsidR="00080A64" w:rsidRPr="004A1ECA" w:rsidRDefault="00080A64" w:rsidP="00080A64">
      <w:pPr>
        <w:bidi w:val="0"/>
        <w:jc w:val="both"/>
        <w:rPr>
          <w:rFonts w:asciiTheme="majorBidi" w:hAnsiTheme="majorBidi" w:cstheme="majorBidi"/>
          <w:b/>
          <w:bCs/>
          <w:sz w:val="26"/>
          <w:szCs w:val="26"/>
        </w:rPr>
      </w:pPr>
    </w:p>
    <w:p w:rsidR="0063279D" w:rsidRPr="004A1ECA" w:rsidRDefault="0063279D" w:rsidP="00080A64">
      <w:pPr>
        <w:bidi w:val="0"/>
        <w:jc w:val="both"/>
        <w:rPr>
          <w:rFonts w:asciiTheme="majorBidi" w:hAnsiTheme="majorBidi" w:cstheme="majorBidi"/>
          <w:b/>
          <w:bCs/>
          <w:noProof/>
          <w:sz w:val="26"/>
          <w:szCs w:val="26"/>
          <w:lang w:eastAsia="en-US"/>
        </w:rPr>
      </w:pPr>
    </w:p>
    <w:p w:rsidR="0063279D" w:rsidRPr="004A1ECA" w:rsidRDefault="0063279D" w:rsidP="0063279D">
      <w:pPr>
        <w:bidi w:val="0"/>
        <w:jc w:val="both"/>
        <w:rPr>
          <w:rFonts w:asciiTheme="majorBidi" w:hAnsiTheme="majorBidi" w:cstheme="majorBidi"/>
          <w:b/>
          <w:bCs/>
          <w:noProof/>
          <w:sz w:val="26"/>
          <w:szCs w:val="26"/>
          <w:lang w:eastAsia="en-US"/>
        </w:rPr>
      </w:pPr>
    </w:p>
    <w:p w:rsidR="0063279D" w:rsidRPr="004A1ECA" w:rsidRDefault="0063279D" w:rsidP="0063279D">
      <w:pPr>
        <w:bidi w:val="0"/>
        <w:jc w:val="both"/>
        <w:rPr>
          <w:rFonts w:asciiTheme="majorBidi" w:hAnsiTheme="majorBidi" w:cstheme="majorBidi"/>
          <w:b/>
          <w:bCs/>
          <w:noProof/>
          <w:sz w:val="26"/>
          <w:szCs w:val="26"/>
          <w:lang w:eastAsia="en-US"/>
        </w:rPr>
      </w:pPr>
    </w:p>
    <w:sectPr w:rsidR="0063279D" w:rsidRPr="004A1ECA" w:rsidSect="00377CD6">
      <w:footerReference w:type="even" r:id="rId10"/>
      <w:footerReference w:type="default" r:id="rId11"/>
      <w:pgSz w:w="11907" w:h="16840" w:code="9"/>
      <w:pgMar w:top="1134" w:right="851" w:bottom="900" w:left="851" w:header="720" w:footer="270" w:gutter="0"/>
      <w:pgNumType w:start="1"/>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6D3" w:rsidRDefault="008926D3">
      <w:r>
        <w:separator/>
      </w:r>
    </w:p>
  </w:endnote>
  <w:endnote w:type="continuationSeparator" w:id="0">
    <w:p w:rsidR="008926D3" w:rsidRDefault="0089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B32FF9">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92832618"/>
      <w:docPartObj>
        <w:docPartGallery w:val="Page Numbers (Bottom of Page)"/>
        <w:docPartUnique/>
      </w:docPartObj>
    </w:sdtPr>
    <w:sdtEndPr>
      <w:rPr>
        <w:noProof/>
      </w:rPr>
    </w:sdtEndPr>
    <w:sdtContent>
      <w:p w:rsidR="00377CD6" w:rsidRDefault="00377CD6">
        <w:pPr>
          <w:pStyle w:val="Footer"/>
          <w:jc w:val="center"/>
        </w:pPr>
        <w:r>
          <w:fldChar w:fldCharType="begin"/>
        </w:r>
        <w:r>
          <w:instrText xml:space="preserve"> PAGE   \* MERGEFORMAT </w:instrText>
        </w:r>
        <w:r>
          <w:fldChar w:fldCharType="separate"/>
        </w:r>
        <w:r w:rsidR="004E2459">
          <w:rPr>
            <w:noProof/>
            <w:rtl/>
          </w:rPr>
          <w:t>3</w:t>
        </w:r>
        <w:r>
          <w:rPr>
            <w:noProof/>
          </w:rPr>
          <w:fldChar w:fldCharType="end"/>
        </w:r>
      </w:p>
    </w:sdtContent>
  </w:sdt>
  <w:p w:rsidR="00377CD6" w:rsidRDefault="0037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6D3" w:rsidRDefault="008926D3">
      <w:r>
        <w:separator/>
      </w:r>
    </w:p>
  </w:footnote>
  <w:footnote w:type="continuationSeparator" w:id="0">
    <w:p w:rsidR="008926D3" w:rsidRDefault="008926D3">
      <w:r>
        <w:continuationSeparator/>
      </w:r>
    </w:p>
  </w:footnote>
  <w:footnote w:id="1">
    <w:p w:rsidR="006B279C" w:rsidRDefault="006B279C" w:rsidP="006B279C">
      <w:pPr>
        <w:pStyle w:val="FootnoteText"/>
        <w:bidi w:val="0"/>
        <w:jc w:val="both"/>
        <w:rPr>
          <w:rtl/>
        </w:rPr>
      </w:pPr>
      <w:r>
        <w:rPr>
          <w:rStyle w:val="FootnoteReference"/>
        </w:rPr>
        <w:footnoteRef/>
      </w:r>
      <w:r>
        <w:rPr>
          <w:rtl/>
        </w:rPr>
        <w:t xml:space="preserve"> </w:t>
      </w:r>
      <w:r w:rsidRPr="00022588">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4"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6"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7"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1E72"/>
    <w:rsid w:val="00022588"/>
    <w:rsid w:val="00023129"/>
    <w:rsid w:val="000316D4"/>
    <w:rsid w:val="00044088"/>
    <w:rsid w:val="000441A2"/>
    <w:rsid w:val="000532E1"/>
    <w:rsid w:val="000552B4"/>
    <w:rsid w:val="000558DB"/>
    <w:rsid w:val="00071BAF"/>
    <w:rsid w:val="00080A64"/>
    <w:rsid w:val="000A1722"/>
    <w:rsid w:val="000A1ACF"/>
    <w:rsid w:val="000A2857"/>
    <w:rsid w:val="000A30A5"/>
    <w:rsid w:val="000A3D33"/>
    <w:rsid w:val="000A51D9"/>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78C7"/>
    <w:rsid w:val="00150DB4"/>
    <w:rsid w:val="00151951"/>
    <w:rsid w:val="00157CB8"/>
    <w:rsid w:val="00164632"/>
    <w:rsid w:val="00170995"/>
    <w:rsid w:val="00174D07"/>
    <w:rsid w:val="001824FA"/>
    <w:rsid w:val="00193C65"/>
    <w:rsid w:val="001C1467"/>
    <w:rsid w:val="001D4610"/>
    <w:rsid w:val="001E67F1"/>
    <w:rsid w:val="001F59E1"/>
    <w:rsid w:val="001F5CA4"/>
    <w:rsid w:val="00234FC5"/>
    <w:rsid w:val="00246756"/>
    <w:rsid w:val="002475A7"/>
    <w:rsid w:val="002475D5"/>
    <w:rsid w:val="00273F97"/>
    <w:rsid w:val="00280B2F"/>
    <w:rsid w:val="002A328E"/>
    <w:rsid w:val="002A65DC"/>
    <w:rsid w:val="002A76E9"/>
    <w:rsid w:val="002B3917"/>
    <w:rsid w:val="002B6CC4"/>
    <w:rsid w:val="002B7A6D"/>
    <w:rsid w:val="002C1E7D"/>
    <w:rsid w:val="002C3FFF"/>
    <w:rsid w:val="002D247B"/>
    <w:rsid w:val="002D75BC"/>
    <w:rsid w:val="002D7C8B"/>
    <w:rsid w:val="002F099B"/>
    <w:rsid w:val="002F458F"/>
    <w:rsid w:val="002F652D"/>
    <w:rsid w:val="002F7973"/>
    <w:rsid w:val="00311BBA"/>
    <w:rsid w:val="00313E31"/>
    <w:rsid w:val="0031752F"/>
    <w:rsid w:val="00333192"/>
    <w:rsid w:val="0033494D"/>
    <w:rsid w:val="0033708C"/>
    <w:rsid w:val="00352CB9"/>
    <w:rsid w:val="0035475C"/>
    <w:rsid w:val="00357C0F"/>
    <w:rsid w:val="00362C56"/>
    <w:rsid w:val="0036330D"/>
    <w:rsid w:val="00373227"/>
    <w:rsid w:val="00373482"/>
    <w:rsid w:val="00377CD6"/>
    <w:rsid w:val="0038789F"/>
    <w:rsid w:val="003D1122"/>
    <w:rsid w:val="003D3C6E"/>
    <w:rsid w:val="003D6B61"/>
    <w:rsid w:val="003F6769"/>
    <w:rsid w:val="003F72A5"/>
    <w:rsid w:val="003F79E1"/>
    <w:rsid w:val="004011F9"/>
    <w:rsid w:val="00404AE1"/>
    <w:rsid w:val="00407964"/>
    <w:rsid w:val="00442803"/>
    <w:rsid w:val="004563AC"/>
    <w:rsid w:val="00470F79"/>
    <w:rsid w:val="004736AF"/>
    <w:rsid w:val="004814A7"/>
    <w:rsid w:val="004A1ECA"/>
    <w:rsid w:val="004B0471"/>
    <w:rsid w:val="004B49B8"/>
    <w:rsid w:val="004C0ABD"/>
    <w:rsid w:val="004D3224"/>
    <w:rsid w:val="004D7E42"/>
    <w:rsid w:val="004E07C4"/>
    <w:rsid w:val="004E2459"/>
    <w:rsid w:val="004E3DE8"/>
    <w:rsid w:val="004F25F7"/>
    <w:rsid w:val="004F37AD"/>
    <w:rsid w:val="004F6095"/>
    <w:rsid w:val="00512ADF"/>
    <w:rsid w:val="005222C8"/>
    <w:rsid w:val="005300FD"/>
    <w:rsid w:val="0054079E"/>
    <w:rsid w:val="00546DEB"/>
    <w:rsid w:val="00550823"/>
    <w:rsid w:val="00560859"/>
    <w:rsid w:val="00560D95"/>
    <w:rsid w:val="00566005"/>
    <w:rsid w:val="005843A5"/>
    <w:rsid w:val="0059251C"/>
    <w:rsid w:val="00592F97"/>
    <w:rsid w:val="005A114A"/>
    <w:rsid w:val="005A5C14"/>
    <w:rsid w:val="005B0328"/>
    <w:rsid w:val="005B5BA2"/>
    <w:rsid w:val="005C2E3B"/>
    <w:rsid w:val="005C4D5E"/>
    <w:rsid w:val="005C4EA7"/>
    <w:rsid w:val="005D0603"/>
    <w:rsid w:val="005D4495"/>
    <w:rsid w:val="005E333C"/>
    <w:rsid w:val="005F3E9F"/>
    <w:rsid w:val="0061046E"/>
    <w:rsid w:val="006123B9"/>
    <w:rsid w:val="006177C1"/>
    <w:rsid w:val="0063279D"/>
    <w:rsid w:val="00635C53"/>
    <w:rsid w:val="00640614"/>
    <w:rsid w:val="00647C1C"/>
    <w:rsid w:val="006507EC"/>
    <w:rsid w:val="0066695A"/>
    <w:rsid w:val="00674358"/>
    <w:rsid w:val="00677C79"/>
    <w:rsid w:val="0068763B"/>
    <w:rsid w:val="006A06A0"/>
    <w:rsid w:val="006A698D"/>
    <w:rsid w:val="006B020E"/>
    <w:rsid w:val="006B279C"/>
    <w:rsid w:val="006B68B2"/>
    <w:rsid w:val="006C41F9"/>
    <w:rsid w:val="006E16EE"/>
    <w:rsid w:val="006E2866"/>
    <w:rsid w:val="006E3F38"/>
    <w:rsid w:val="006E5FF4"/>
    <w:rsid w:val="007119C4"/>
    <w:rsid w:val="0071595E"/>
    <w:rsid w:val="00715D0B"/>
    <w:rsid w:val="00716266"/>
    <w:rsid w:val="00726D03"/>
    <w:rsid w:val="00735217"/>
    <w:rsid w:val="007413D9"/>
    <w:rsid w:val="00745238"/>
    <w:rsid w:val="00745348"/>
    <w:rsid w:val="00755C5C"/>
    <w:rsid w:val="00760F31"/>
    <w:rsid w:val="00765914"/>
    <w:rsid w:val="00772474"/>
    <w:rsid w:val="007731A1"/>
    <w:rsid w:val="007777B6"/>
    <w:rsid w:val="0078417A"/>
    <w:rsid w:val="007A3645"/>
    <w:rsid w:val="007A755D"/>
    <w:rsid w:val="007B0572"/>
    <w:rsid w:val="007B172F"/>
    <w:rsid w:val="007B1FA4"/>
    <w:rsid w:val="007B263A"/>
    <w:rsid w:val="007B4047"/>
    <w:rsid w:val="007B4844"/>
    <w:rsid w:val="007C086F"/>
    <w:rsid w:val="007C4F6A"/>
    <w:rsid w:val="007D4D26"/>
    <w:rsid w:val="007E0B36"/>
    <w:rsid w:val="007E27D1"/>
    <w:rsid w:val="007F16E0"/>
    <w:rsid w:val="00810B7C"/>
    <w:rsid w:val="00810FF6"/>
    <w:rsid w:val="0081177A"/>
    <w:rsid w:val="00821889"/>
    <w:rsid w:val="00826129"/>
    <w:rsid w:val="00832305"/>
    <w:rsid w:val="0084434B"/>
    <w:rsid w:val="008525E4"/>
    <w:rsid w:val="00872DE9"/>
    <w:rsid w:val="00874B95"/>
    <w:rsid w:val="00883471"/>
    <w:rsid w:val="0088607C"/>
    <w:rsid w:val="00886755"/>
    <w:rsid w:val="008910DB"/>
    <w:rsid w:val="008926D3"/>
    <w:rsid w:val="00893BE2"/>
    <w:rsid w:val="008977EC"/>
    <w:rsid w:val="008A3271"/>
    <w:rsid w:val="008A39D5"/>
    <w:rsid w:val="008C0D06"/>
    <w:rsid w:val="008D65BD"/>
    <w:rsid w:val="008E7801"/>
    <w:rsid w:val="008F0503"/>
    <w:rsid w:val="008F4D65"/>
    <w:rsid w:val="008F5B10"/>
    <w:rsid w:val="009100FC"/>
    <w:rsid w:val="0091203F"/>
    <w:rsid w:val="00916C4F"/>
    <w:rsid w:val="00922430"/>
    <w:rsid w:val="0092572E"/>
    <w:rsid w:val="00936337"/>
    <w:rsid w:val="00936FAF"/>
    <w:rsid w:val="009542BB"/>
    <w:rsid w:val="009577D1"/>
    <w:rsid w:val="0097781A"/>
    <w:rsid w:val="009856DC"/>
    <w:rsid w:val="009863E0"/>
    <w:rsid w:val="009923B4"/>
    <w:rsid w:val="00994EFC"/>
    <w:rsid w:val="009A333D"/>
    <w:rsid w:val="009B4D64"/>
    <w:rsid w:val="009B6ECF"/>
    <w:rsid w:val="009C2C1A"/>
    <w:rsid w:val="009D415E"/>
    <w:rsid w:val="009E6723"/>
    <w:rsid w:val="00A012EE"/>
    <w:rsid w:val="00A02AF4"/>
    <w:rsid w:val="00A16347"/>
    <w:rsid w:val="00A25696"/>
    <w:rsid w:val="00A4532A"/>
    <w:rsid w:val="00A45597"/>
    <w:rsid w:val="00A474FA"/>
    <w:rsid w:val="00A53F74"/>
    <w:rsid w:val="00A56B0C"/>
    <w:rsid w:val="00A57B14"/>
    <w:rsid w:val="00A62B39"/>
    <w:rsid w:val="00A673F4"/>
    <w:rsid w:val="00A7058B"/>
    <w:rsid w:val="00AB6BEB"/>
    <w:rsid w:val="00AC24DE"/>
    <w:rsid w:val="00AD2168"/>
    <w:rsid w:val="00AE0AD8"/>
    <w:rsid w:val="00AE304F"/>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1B13"/>
    <w:rsid w:val="00BA7D9E"/>
    <w:rsid w:val="00BC4555"/>
    <w:rsid w:val="00C14DB2"/>
    <w:rsid w:val="00C270A0"/>
    <w:rsid w:val="00C54C34"/>
    <w:rsid w:val="00C614BD"/>
    <w:rsid w:val="00C61DC3"/>
    <w:rsid w:val="00C64AD5"/>
    <w:rsid w:val="00C772F0"/>
    <w:rsid w:val="00C84A0B"/>
    <w:rsid w:val="00C867F9"/>
    <w:rsid w:val="00C927C2"/>
    <w:rsid w:val="00CA4E4B"/>
    <w:rsid w:val="00CB5EB3"/>
    <w:rsid w:val="00CB6736"/>
    <w:rsid w:val="00CC14ED"/>
    <w:rsid w:val="00CC5158"/>
    <w:rsid w:val="00CE3A28"/>
    <w:rsid w:val="00CE68DC"/>
    <w:rsid w:val="00CF1492"/>
    <w:rsid w:val="00D01A77"/>
    <w:rsid w:val="00D0313C"/>
    <w:rsid w:val="00D105A2"/>
    <w:rsid w:val="00D30D24"/>
    <w:rsid w:val="00D46644"/>
    <w:rsid w:val="00D475D8"/>
    <w:rsid w:val="00D61698"/>
    <w:rsid w:val="00D61D77"/>
    <w:rsid w:val="00D740E4"/>
    <w:rsid w:val="00D74755"/>
    <w:rsid w:val="00D91609"/>
    <w:rsid w:val="00D96C82"/>
    <w:rsid w:val="00DA3836"/>
    <w:rsid w:val="00DA68E3"/>
    <w:rsid w:val="00DB0789"/>
    <w:rsid w:val="00DB58BB"/>
    <w:rsid w:val="00DB7419"/>
    <w:rsid w:val="00DC1260"/>
    <w:rsid w:val="00DC141E"/>
    <w:rsid w:val="00DD16C7"/>
    <w:rsid w:val="00DD3467"/>
    <w:rsid w:val="00DD39CD"/>
    <w:rsid w:val="00DD7595"/>
    <w:rsid w:val="00DE2FE2"/>
    <w:rsid w:val="00DF74E6"/>
    <w:rsid w:val="00E073D7"/>
    <w:rsid w:val="00E24833"/>
    <w:rsid w:val="00E6048C"/>
    <w:rsid w:val="00E62B80"/>
    <w:rsid w:val="00E64FD0"/>
    <w:rsid w:val="00E66062"/>
    <w:rsid w:val="00E75999"/>
    <w:rsid w:val="00E80E52"/>
    <w:rsid w:val="00E8416D"/>
    <w:rsid w:val="00E84557"/>
    <w:rsid w:val="00E9284F"/>
    <w:rsid w:val="00EA09BA"/>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46874"/>
    <w:rsid w:val="00F53CA2"/>
    <w:rsid w:val="00F56B9E"/>
    <w:rsid w:val="00F61BC3"/>
    <w:rsid w:val="00F679D7"/>
    <w:rsid w:val="00F7525D"/>
    <w:rsid w:val="00F75BB5"/>
    <w:rsid w:val="00F77596"/>
    <w:rsid w:val="00F83D05"/>
    <w:rsid w:val="00F84185"/>
    <w:rsid w:val="00FB2238"/>
    <w:rsid w:val="00FC48A3"/>
    <w:rsid w:val="00FF4B57"/>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121996-D09B-42D8-8D12-EEE01278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iPriority w:val="99"/>
    <w:unhideWhenUsed/>
    <w:rsid w:val="008525E4"/>
    <w:pPr>
      <w:tabs>
        <w:tab w:val="center" w:pos="4153"/>
        <w:tab w:val="right" w:pos="8306"/>
      </w:tabs>
    </w:pPr>
  </w:style>
  <w:style w:type="character" w:customStyle="1" w:styleId="FooterChar">
    <w:name w:val="Footer Char"/>
    <w:uiPriority w:val="99"/>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15171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2884E-2"/>
          <c:w val="0.64454151711601471"/>
          <c:h val="0.76161705959775561"/>
        </c:manualLayout>
      </c:layout>
      <c:lineChart>
        <c:grouping val="standard"/>
        <c:varyColors val="0"/>
        <c:ser>
          <c:idx val="0"/>
          <c:order val="0"/>
          <c:tx>
            <c:strRef>
              <c:f>Sheet1!$A$2</c:f>
              <c:strCache>
                <c:ptCount val="1"/>
                <c:pt idx="0">
                  <c:v>inflation rate</c:v>
                </c:pt>
              </c:strCache>
            </c:strRef>
          </c:tx>
          <c:dLbls>
            <c:dLbl>
              <c:idx val="0"/>
              <c:layout>
                <c:manualLayout>
                  <c:x val="-4.2791574130156808E-2"/>
                  <c:y val="5.6022408963585436E-2"/>
                </c:manualLayout>
              </c:layout>
              <c:tx>
                <c:rich>
                  <a:bodyPr/>
                  <a:lstStyle/>
                  <a:p>
                    <a:fld id="{0C1B36FF-423A-4531-8941-376A25F8A093}" type="VALUE">
                      <a:rPr lang="en-US" sz="60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000-453E-AB0B-0161D99DA381}"/>
                </c:ext>
              </c:extLst>
            </c:dLbl>
            <c:dLbl>
              <c:idx val="1"/>
              <c:layout>
                <c:manualLayout>
                  <c:x val="-4.9535603715170309E-2"/>
                  <c:y val="-6.1624649859944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00-453E-AB0B-0161D99DA381}"/>
                </c:ext>
              </c:extLst>
            </c:dLbl>
            <c:dLbl>
              <c:idx val="2"/>
              <c:layout>
                <c:manualLayout>
                  <c:x val="-7.4074074074074084E-2"/>
                  <c:y val="3.9215686274509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00-453E-AB0B-0161D99DA381}"/>
                </c:ext>
              </c:extLst>
            </c:dLbl>
            <c:dLbl>
              <c:idx val="3"/>
              <c:layout>
                <c:manualLayout>
                  <c:x val="-8.6687306501548045E-2"/>
                  <c:y val="-7.8431372549019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00-453E-AB0B-0161D99DA381}"/>
                </c:ext>
              </c:extLst>
            </c:dLbl>
            <c:dLbl>
              <c:idx val="5"/>
              <c:layout>
                <c:manualLayout>
                  <c:x val="-4.5407636738906208E-2"/>
                  <c:y val="-8.9635854341736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00-453E-AB0B-0161D99DA381}"/>
                </c:ext>
              </c:extLst>
            </c:dLbl>
            <c:dLbl>
              <c:idx val="9"/>
              <c:layout>
                <c:manualLayout>
                  <c:x val="-8.5569407990667881E-2"/>
                  <c:y val="-6.7226890756302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00-453E-AB0B-0161D99DA381}"/>
                </c:ext>
              </c:extLst>
            </c:dLbl>
            <c:dLbl>
              <c:idx val="10"/>
              <c:layout>
                <c:manualLayout>
                  <c:x val="-2.0639834881321012E-2"/>
                  <c:y val="1.6806722689075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000-453E-AB0B-0161D99DA381}"/>
                </c:ext>
              </c:extLst>
            </c:dLbl>
            <c:dLbl>
              <c:idx val="11"/>
              <c:layout>
                <c:manualLayout>
                  <c:x val="-5.4185987168270638E-2"/>
                  <c:y val="-6.1624649859944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00-453E-AB0B-0161D99DA381}"/>
                </c:ext>
              </c:extLst>
            </c:dLbl>
            <c:dLbl>
              <c:idx val="13"/>
              <c:layout>
                <c:manualLayout>
                  <c:x val="-1.7907811035456693E-16"/>
                  <c:y val="3.36134453781511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000-453E-AB0B-0161D99DA381}"/>
                </c:ext>
              </c:extLst>
            </c:dLbl>
            <c:spPr>
              <a:noFill/>
              <a:ln>
                <a:noFill/>
              </a:ln>
              <a:effectLst/>
            </c:spPr>
            <c:txPr>
              <a:bodyPr/>
              <a:lstStyle/>
              <a:p>
                <a:pPr>
                  <a:defRPr sz="700" b="1"/>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Sheet1!$B$1:$O$1</c:f>
              <c:numCache>
                <c:formatCode>General</c:formatCode>
                <c:ptCount val="14"/>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Sheet1!$B$3:$O$3</c:f>
              <c:numCache>
                <c:formatCode>0.00%</c:formatCode>
                <c:ptCount val="14"/>
                <c:pt idx="0">
                  <c:v>3.0843279339540855E-2</c:v>
                </c:pt>
                <c:pt idx="1">
                  <c:v>0.10708656857849647</c:v>
                </c:pt>
                <c:pt idx="2">
                  <c:v>-6.692354814467478E-3</c:v>
                </c:pt>
                <c:pt idx="3">
                  <c:v>3.7019793883841315E-2</c:v>
                </c:pt>
                <c:pt idx="4">
                  <c:v>3.760240932546452E-2</c:v>
                </c:pt>
                <c:pt idx="5">
                  <c:v>9.2865108482622812E-3</c:v>
                </c:pt>
                <c:pt idx="6">
                  <c:v>7.8084822892499515E-3</c:v>
                </c:pt>
                <c:pt idx="7">
                  <c:v>1.4843629228618198E-2</c:v>
                </c:pt>
                <c:pt idx="8">
                  <c:v>1.2122729362056503E-2</c:v>
                </c:pt>
                <c:pt idx="9">
                  <c:v>1.620882219451019E-2</c:v>
                </c:pt>
                <c:pt idx="10">
                  <c:v>-1.170274160575218E-2</c:v>
                </c:pt>
                <c:pt idx="11">
                  <c:v>1.0523461850728354E-2</c:v>
                </c:pt>
                <c:pt idx="12">
                  <c:v>1.1123799878835427E-3</c:v>
                </c:pt>
                <c:pt idx="13">
                  <c:v>-1.0193081259541258E-3</c:v>
                </c:pt>
              </c:numCache>
            </c:numRef>
          </c:val>
          <c:smooth val="0"/>
          <c:extLst>
            <c:ext xmlns:c16="http://schemas.microsoft.com/office/drawing/2014/chart" uri="{C3380CC4-5D6E-409C-BE32-E72D297353CC}">
              <c16:uniqueId val="{00000009-5000-453E-AB0B-0161D99DA381}"/>
            </c:ext>
          </c:extLst>
        </c:ser>
        <c:dLbls>
          <c:showLegendKey val="0"/>
          <c:showVal val="0"/>
          <c:showCatName val="0"/>
          <c:showSerName val="0"/>
          <c:showPercent val="0"/>
          <c:showBubbleSize val="0"/>
        </c:dLbls>
        <c:marker val="1"/>
        <c:smooth val="0"/>
        <c:axId val="122675968"/>
        <c:axId val="122677504"/>
      </c:lineChart>
      <c:catAx>
        <c:axId val="122675968"/>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en-US"/>
          </a:p>
        </c:txPr>
        <c:crossAx val="122677504"/>
        <c:crosses val="autoZero"/>
        <c:auto val="1"/>
        <c:lblAlgn val="ctr"/>
        <c:lblOffset val="700"/>
        <c:tickLblSkip val="1"/>
        <c:noMultiLvlLbl val="0"/>
      </c:catAx>
      <c:valAx>
        <c:axId val="122677504"/>
        <c:scaling>
          <c:orientation val="minMax"/>
          <c:max val="0.13"/>
          <c:min val="-2.0000000000000035E-2"/>
        </c:scaling>
        <c:delete val="0"/>
        <c:axPos val="l"/>
        <c:title>
          <c:tx>
            <c:rich>
              <a:bodyPr/>
              <a:lstStyle/>
              <a:p>
                <a:pPr>
                  <a:defRPr lang="ar-SA" sz="799" b="0" i="0" u="none" strike="noStrike" baseline="0">
                    <a:solidFill>
                      <a:srgbClr val="000000"/>
                    </a:solidFill>
                    <a:latin typeface="Arial"/>
                    <a:ea typeface="Arial"/>
                    <a:cs typeface="Arial"/>
                  </a:defRPr>
                </a:pPr>
                <a:r>
                  <a:rPr lang="en-US"/>
                  <a:t>Yearly WPI Percent</a:t>
                </a:r>
                <a:r>
                  <a:rPr lang="en-US" baseline="0"/>
                  <a:t> Change</a:t>
                </a:r>
                <a:endParaRPr lang="en-US"/>
              </a:p>
            </c:rich>
          </c:tx>
          <c:layout>
            <c:manualLayout>
              <c:xMode val="edge"/>
              <c:yMode val="edge"/>
              <c:x val="4.769019257208235E-3"/>
              <c:y val="0.10686120117338277"/>
            </c:manualLayout>
          </c:layout>
          <c:overlay val="0"/>
        </c:title>
        <c:numFmt formatCode="0.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en-US"/>
          </a:p>
        </c:txPr>
        <c:crossAx val="122675968"/>
        <c:crosses val="autoZero"/>
        <c:crossBetween val="midCat"/>
        <c:majorUnit val="2.0000000000000035E-2"/>
        <c:minorUnit val="8.0000000000000227E-3"/>
      </c:valAx>
    </c:plotArea>
    <c:plotVisOnly val="1"/>
    <c:dispBlanksAs val="gap"/>
    <c:showDLblsOverMax val="0"/>
  </c:chart>
  <c:spPr>
    <a:ln>
      <a:noFill/>
    </a:ln>
  </c:spPr>
  <c:txPr>
    <a:bodyPr/>
    <a:lstStyle/>
    <a:p>
      <a:pPr>
        <a:defRPr sz="799"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1229630468872"/>
          <c:y val="5.5000000000000132E-2"/>
          <c:w val="0.71791461319133665"/>
          <c:h val="0.61634623010253264"/>
        </c:manualLayout>
      </c:layout>
      <c:lineChart>
        <c:grouping val="standard"/>
        <c:varyColors val="0"/>
        <c:ser>
          <c:idx val="0"/>
          <c:order val="0"/>
          <c:tx>
            <c:strRef>
              <c:f>Sheet1!$A$2</c:f>
              <c:strCache>
                <c:ptCount val="1"/>
                <c:pt idx="0">
                  <c:v>Price Index</c:v>
                </c:pt>
              </c:strCache>
            </c:strRef>
          </c:tx>
          <c:spPr>
            <a:ln w="10736">
              <a:solidFill>
                <a:srgbClr val="000080"/>
              </a:solidFill>
              <a:prstDash val="solid"/>
            </a:ln>
          </c:spPr>
          <c:marker>
            <c:symbol val="circle"/>
            <c:size val="3"/>
            <c:spPr>
              <a:solidFill>
                <a:srgbClr val="000080"/>
              </a:solidFill>
              <a:ln>
                <a:solidFill>
                  <a:srgbClr val="000080"/>
                </a:solidFill>
                <a:prstDash val="solid"/>
              </a:ln>
            </c:spPr>
          </c:marker>
          <c:dLbls>
            <c:dLbl>
              <c:idx val="0"/>
              <c:layout>
                <c:manualLayout>
                  <c:x val="-4.9061633253290188E-2"/>
                  <c:y val="-6.0720895943783923E-2"/>
                </c:manualLayout>
              </c:layout>
              <c:spPr/>
              <c:txPr>
                <a:bodyPr/>
                <a:lstStyle/>
                <a:p>
                  <a:pPr>
                    <a:defRPr sz="761"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D7-4BC0-B790-69454B20F57A}"/>
                </c:ext>
              </c:extLst>
            </c:dLbl>
            <c:dLbl>
              <c:idx val="12"/>
              <c:layout>
                <c:manualLayout>
                  <c:x val="0"/>
                  <c:y val="4.7808764940239043E-2"/>
                </c:manualLayout>
              </c:layout>
              <c:spPr>
                <a:noFill/>
                <a:ln>
                  <a:noFill/>
                </a:ln>
                <a:effectLst/>
              </c:spPr>
              <c:txPr>
                <a:bodyPr wrap="square" lIns="38100" tIns="19050" rIns="38100" bIns="19050" anchor="ctr">
                  <a:spAutoFit/>
                </a:bodyPr>
                <a:lstStyle/>
                <a:p>
                  <a:pPr>
                    <a:defRPr b="1"/>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D7-4BC0-B790-69454B20F57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strRef>
              <c:f>Sheet1!$B$1:$N$1</c:f>
              <c:strCache>
                <c:ptCount val="13"/>
                <c:pt idx="0">
                  <c:v>Q4.2017</c:v>
                </c:pt>
                <c:pt idx="1">
                  <c:v>Q1.2018</c:v>
                </c:pt>
                <c:pt idx="2">
                  <c:v>Q2.2018</c:v>
                </c:pt>
                <c:pt idx="3">
                  <c:v>Q3.2018</c:v>
                </c:pt>
                <c:pt idx="4">
                  <c:v>Q4.2018</c:v>
                </c:pt>
                <c:pt idx="5">
                  <c:v>Q1.2019</c:v>
                </c:pt>
                <c:pt idx="6">
                  <c:v>Q2.2019</c:v>
                </c:pt>
                <c:pt idx="7">
                  <c:v>Q3.2019</c:v>
                </c:pt>
                <c:pt idx="8">
                  <c:v>Q4.2019</c:v>
                </c:pt>
                <c:pt idx="9">
                  <c:v>Q1.2020</c:v>
                </c:pt>
                <c:pt idx="10">
                  <c:v>Q2.2020</c:v>
                </c:pt>
                <c:pt idx="11">
                  <c:v>Q3.2020</c:v>
                </c:pt>
                <c:pt idx="12">
                  <c:v>Q4.2020</c:v>
                </c:pt>
              </c:strCache>
            </c:strRef>
          </c:cat>
          <c:val>
            <c:numRef>
              <c:f>Sheet1!$B$2:$N$2</c:f>
              <c:numCache>
                <c:formatCode>0.00</c:formatCode>
                <c:ptCount val="13"/>
                <c:pt idx="0">
                  <c:v>124.30406209233909</c:v>
                </c:pt>
                <c:pt idx="1">
                  <c:v>122.51830702660253</c:v>
                </c:pt>
                <c:pt idx="2">
                  <c:v>125.87</c:v>
                </c:pt>
                <c:pt idx="3">
                  <c:v>126.4303266851219</c:v>
                </c:pt>
                <c:pt idx="4">
                  <c:v>127.04685107499441</c:v>
                </c:pt>
                <c:pt idx="5">
                  <c:v>127.1176715185687</c:v>
                </c:pt>
                <c:pt idx="6">
                  <c:v>125.10448386049551</c:v>
                </c:pt>
                <c:pt idx="7">
                  <c:v>126.27604286793586</c:v>
                </c:pt>
                <c:pt idx="8">
                  <c:v>123.92298204938899</c:v>
                </c:pt>
                <c:pt idx="9">
                  <c:v>124.76687026961241</c:v>
                </c:pt>
                <c:pt idx="10">
                  <c:v>124.00054235834523</c:v>
                </c:pt>
                <c:pt idx="11">
                  <c:v>127.61334031491842</c:v>
                </c:pt>
                <c:pt idx="12">
                  <c:v>125.52830536178539</c:v>
                </c:pt>
              </c:numCache>
            </c:numRef>
          </c:val>
          <c:smooth val="0"/>
          <c:extLst>
            <c:ext xmlns:c16="http://schemas.microsoft.com/office/drawing/2014/chart" uri="{C3380CC4-5D6E-409C-BE32-E72D297353CC}">
              <c16:uniqueId val="{00000002-B1D7-4BC0-B790-69454B20F57A}"/>
            </c:ext>
          </c:extLst>
        </c:ser>
        <c:dLbls>
          <c:showLegendKey val="0"/>
          <c:showVal val="0"/>
          <c:showCatName val="0"/>
          <c:showSerName val="0"/>
          <c:showPercent val="0"/>
          <c:showBubbleSize val="0"/>
        </c:dLbls>
        <c:marker val="1"/>
        <c:smooth val="0"/>
        <c:axId val="65924096"/>
        <c:axId val="122647296"/>
      </c:lineChart>
      <c:catAx>
        <c:axId val="65924096"/>
        <c:scaling>
          <c:orientation val="minMax"/>
        </c:scaling>
        <c:delete val="0"/>
        <c:axPos val="b"/>
        <c:numFmt formatCode="General" sourceLinked="1"/>
        <c:majorTickMark val="out"/>
        <c:minorTickMark val="out"/>
        <c:tickLblPos val="nextTo"/>
        <c:spPr>
          <a:ln w="2684">
            <a:solidFill>
              <a:srgbClr val="000000"/>
            </a:solidFill>
            <a:prstDash val="solid"/>
          </a:ln>
        </c:spPr>
        <c:txPr>
          <a:bodyPr rot="3900000" vert="horz"/>
          <a:lstStyle/>
          <a:p>
            <a:pPr>
              <a:defRPr sz="761" b="0" i="0" u="none" strike="noStrike" baseline="0">
                <a:solidFill>
                  <a:srgbClr val="000000"/>
                </a:solidFill>
                <a:latin typeface="Arial"/>
                <a:ea typeface="Arial"/>
                <a:cs typeface="Arial"/>
              </a:defRPr>
            </a:pPr>
            <a:endParaRPr lang="en-US"/>
          </a:p>
        </c:txPr>
        <c:crossAx val="122647296"/>
        <c:crosses val="autoZero"/>
        <c:auto val="1"/>
        <c:lblAlgn val="ctr"/>
        <c:lblOffset val="100"/>
        <c:tickLblSkip val="1"/>
        <c:tickMarkSkip val="2"/>
        <c:noMultiLvlLbl val="0"/>
      </c:catAx>
      <c:valAx>
        <c:axId val="122647296"/>
        <c:scaling>
          <c:orientation val="minMax"/>
          <c:max val="130"/>
          <c:min val="120"/>
        </c:scaling>
        <c:delete val="0"/>
        <c:axPos val="l"/>
        <c:title>
          <c:tx>
            <c:rich>
              <a:bodyPr/>
              <a:lstStyle/>
              <a:p>
                <a:pPr>
                  <a:defRPr sz="761" b="0" i="0" u="none" strike="noStrike" baseline="0">
                    <a:solidFill>
                      <a:srgbClr val="000000"/>
                    </a:solidFill>
                    <a:latin typeface="Arial"/>
                    <a:ea typeface="Arial"/>
                    <a:cs typeface="Arial"/>
                  </a:defRPr>
                </a:pPr>
                <a:r>
                  <a:rPr lang="en-US"/>
                  <a:t>Wholesale Price Index (WPI)</a:t>
                </a:r>
              </a:p>
            </c:rich>
          </c:tx>
          <c:layout>
            <c:manualLayout>
              <c:xMode val="edge"/>
              <c:yMode val="edge"/>
              <c:x val="4.1828166313159021E-3"/>
              <c:y val="9.0714324609838706E-2"/>
            </c:manualLayout>
          </c:layout>
          <c:overlay val="0"/>
          <c:spPr>
            <a:noFill/>
            <a:ln w="21474">
              <a:noFill/>
            </a:ln>
          </c:spPr>
        </c:title>
        <c:numFmt formatCode="0" sourceLinked="0"/>
        <c:majorTickMark val="out"/>
        <c:minorTickMark val="none"/>
        <c:tickLblPos val="nextTo"/>
        <c:spPr>
          <a:ln w="2684">
            <a:solidFill>
              <a:srgbClr val="000000"/>
            </a:solidFill>
            <a:prstDash val="solid"/>
          </a:ln>
        </c:spPr>
        <c:txPr>
          <a:bodyPr rot="0" vert="horz"/>
          <a:lstStyle/>
          <a:p>
            <a:pPr>
              <a:defRPr sz="761" b="0" i="0" u="none" strike="noStrike" baseline="0">
                <a:solidFill>
                  <a:srgbClr val="000000"/>
                </a:solidFill>
                <a:latin typeface="Arial"/>
                <a:ea typeface="Arial"/>
                <a:cs typeface="Arial"/>
              </a:defRPr>
            </a:pPr>
            <a:endParaRPr lang="en-US"/>
          </a:p>
        </c:txPr>
        <c:crossAx val="65924096"/>
        <c:crosses val="autoZero"/>
        <c:crossBetween val="between"/>
        <c:majorUnit val="2"/>
      </c:valAx>
      <c:spPr>
        <a:noFill/>
        <a:ln w="21475">
          <a:noFill/>
        </a:ln>
      </c:spPr>
    </c:plotArea>
    <c:plotVisOnly val="1"/>
    <c:dispBlanksAs val="gap"/>
    <c:showDLblsOverMax val="0"/>
  </c:chart>
  <c:spPr>
    <a:noFill/>
    <a:ln>
      <a:noFill/>
    </a:ln>
  </c:spPr>
  <c:txPr>
    <a:bodyPr/>
    <a:lstStyle/>
    <a:p>
      <a:pPr>
        <a:defRPr sz="76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D16EF-E6BC-4C9C-8E70-4CB911DBD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4307</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Hadeel Badran</cp:lastModifiedBy>
  <cp:revision>4</cp:revision>
  <cp:lastPrinted>2021-01-18T07:40:00Z</cp:lastPrinted>
  <dcterms:created xsi:type="dcterms:W3CDTF">2021-01-19T07:08:00Z</dcterms:created>
  <dcterms:modified xsi:type="dcterms:W3CDTF">2021-01-19T07:44:00Z</dcterms:modified>
</cp:coreProperties>
</file>