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156" w:rsidRPr="00401156" w:rsidRDefault="00401156" w:rsidP="00401156">
      <w:pPr>
        <w:jc w:val="center"/>
        <w:outlineLvl w:val="1"/>
        <w:rPr>
          <w:rFonts w:asciiTheme="majorBidi" w:hAnsiTheme="majorBidi" w:cstheme="majorBidi"/>
          <w:b/>
          <w:bCs/>
          <w:color w:val="000000"/>
          <w:sz w:val="32"/>
          <w:szCs w:val="32"/>
        </w:rPr>
      </w:pPr>
      <w:r w:rsidRPr="00401156">
        <w:rPr>
          <w:rFonts w:asciiTheme="majorBidi" w:hAnsiTheme="majorBidi" w:cstheme="majorBidi"/>
          <w:b/>
          <w:bCs/>
          <w:color w:val="000000"/>
          <w:sz w:val="32"/>
          <w:szCs w:val="32"/>
        </w:rPr>
        <w:t>Palestinian Central Bureau of Statistics (PCBS)</w:t>
      </w:r>
    </w:p>
    <w:p w:rsidR="00401156" w:rsidRPr="00401156" w:rsidRDefault="00401156" w:rsidP="00401156">
      <w:pPr>
        <w:jc w:val="center"/>
        <w:outlineLvl w:val="1"/>
        <w:rPr>
          <w:rFonts w:asciiTheme="majorBidi" w:hAnsiTheme="majorBidi" w:cstheme="majorBidi"/>
          <w:b/>
          <w:bCs/>
          <w:color w:val="000000"/>
          <w:sz w:val="16"/>
          <w:szCs w:val="16"/>
        </w:rPr>
      </w:pPr>
    </w:p>
    <w:p w:rsidR="00401156" w:rsidRPr="00401156" w:rsidRDefault="00401156" w:rsidP="00401156">
      <w:pPr>
        <w:bidi w:val="0"/>
        <w:jc w:val="center"/>
        <w:outlineLvl w:val="1"/>
        <w:rPr>
          <w:rFonts w:asciiTheme="majorBidi" w:hAnsiTheme="majorBidi" w:cstheme="majorBidi"/>
          <w:b/>
          <w:bCs/>
          <w:color w:val="000000"/>
          <w:sz w:val="30"/>
          <w:szCs w:val="30"/>
        </w:rPr>
      </w:pPr>
      <w:r w:rsidRPr="00401156">
        <w:rPr>
          <w:rFonts w:asciiTheme="majorBidi" w:hAnsiTheme="majorBidi" w:cstheme="majorBidi"/>
          <w:b/>
          <w:bCs/>
          <w:color w:val="000000"/>
          <w:sz w:val="30"/>
          <w:szCs w:val="30"/>
        </w:rPr>
        <w:t>Palestinian Wholesale Price Index during 2021 &amp; the Fourth Quarter of 2021</w:t>
      </w:r>
    </w:p>
    <w:p w:rsidR="00401156" w:rsidRDefault="00401156" w:rsidP="00401156">
      <w:pPr>
        <w:bidi w:val="0"/>
        <w:outlineLvl w:val="1"/>
        <w:rPr>
          <w:rFonts w:asciiTheme="majorBidi" w:hAnsiTheme="majorBidi" w:cstheme="majorBidi"/>
          <w:b/>
          <w:bCs/>
          <w:color w:val="000000"/>
          <w:sz w:val="28"/>
          <w:szCs w:val="28"/>
        </w:rPr>
      </w:pPr>
    </w:p>
    <w:p w:rsidR="003E1AED" w:rsidRDefault="003E1AED" w:rsidP="00A12287">
      <w:pPr>
        <w:bidi w:val="0"/>
        <w:jc w:val="center"/>
        <w:rPr>
          <w:rFonts w:asciiTheme="majorBidi" w:hAnsiTheme="majorBidi" w:cstheme="majorBidi"/>
          <w:b/>
          <w:bCs/>
          <w:color w:val="000000"/>
          <w:sz w:val="28"/>
          <w:szCs w:val="28"/>
        </w:rPr>
      </w:pPr>
    </w:p>
    <w:p w:rsidR="00A12287" w:rsidRDefault="00A12287" w:rsidP="003E1AED">
      <w:pPr>
        <w:bidi w:val="0"/>
        <w:jc w:val="center"/>
        <w:rPr>
          <w:rFonts w:asciiTheme="majorBidi" w:hAnsiTheme="majorBidi" w:cstheme="majorBidi"/>
          <w:sz w:val="28"/>
          <w:szCs w:val="28"/>
        </w:rPr>
      </w:pPr>
      <w:bookmarkStart w:id="0" w:name="_GoBack"/>
      <w:bookmarkEnd w:id="0"/>
      <w:r w:rsidRPr="00A12287">
        <w:rPr>
          <w:rFonts w:asciiTheme="majorBidi" w:hAnsiTheme="majorBidi" w:cstheme="majorBidi"/>
          <w:b/>
          <w:bCs/>
          <w:color w:val="000000"/>
          <w:sz w:val="28"/>
          <w:szCs w:val="28"/>
        </w:rPr>
        <w:t>Imported products lead the Wholesale Price Index (WPI) to Increase during 2021</w:t>
      </w:r>
    </w:p>
    <w:p w:rsidR="00A12287" w:rsidRPr="00A12287" w:rsidRDefault="00A12287" w:rsidP="00A12287">
      <w:pPr>
        <w:bidi w:val="0"/>
        <w:jc w:val="both"/>
        <w:rPr>
          <w:rFonts w:asciiTheme="majorBidi" w:hAnsiTheme="majorBidi" w:cstheme="majorBidi"/>
          <w:sz w:val="16"/>
          <w:szCs w:val="16"/>
        </w:rPr>
      </w:pPr>
    </w:p>
    <w:p w:rsidR="006177C1" w:rsidRPr="00A12287" w:rsidRDefault="006177C1" w:rsidP="00A12287">
      <w:pPr>
        <w:bidi w:val="0"/>
        <w:jc w:val="both"/>
        <w:rPr>
          <w:rFonts w:asciiTheme="majorBidi" w:hAnsiTheme="majorBidi" w:cstheme="majorBidi"/>
          <w:b/>
          <w:bCs/>
          <w:sz w:val="28"/>
          <w:szCs w:val="28"/>
        </w:rPr>
      </w:pPr>
      <w:r w:rsidRPr="00A12287">
        <w:rPr>
          <w:rFonts w:asciiTheme="majorBidi" w:hAnsiTheme="majorBidi" w:cstheme="majorBidi"/>
          <w:sz w:val="28"/>
          <w:szCs w:val="28"/>
        </w:rPr>
        <w:t xml:space="preserve">The </w:t>
      </w:r>
      <w:r w:rsidRPr="00401156">
        <w:rPr>
          <w:rFonts w:asciiTheme="majorBidi" w:hAnsiTheme="majorBidi" w:cstheme="majorBidi"/>
          <w:b/>
          <w:bCs/>
          <w:sz w:val="26"/>
          <w:szCs w:val="26"/>
        </w:rPr>
        <w:t>overall Wholesale Price Index (WPI) in Palestine</w:t>
      </w:r>
      <w:r w:rsidRPr="00401156">
        <w:rPr>
          <w:rFonts w:asciiTheme="majorBidi" w:hAnsiTheme="majorBidi" w:cstheme="majorBidi"/>
          <w:sz w:val="26"/>
          <w:szCs w:val="26"/>
        </w:rPr>
        <w:t xml:space="preserve"> with its base year (2007=100) reached </w:t>
      </w:r>
      <w:r w:rsidR="009A7C17" w:rsidRPr="00401156">
        <w:rPr>
          <w:rFonts w:asciiTheme="majorBidi" w:hAnsiTheme="majorBidi" w:cstheme="majorBidi"/>
          <w:sz w:val="26"/>
          <w:szCs w:val="26"/>
        </w:rPr>
        <w:t>126.99</w:t>
      </w:r>
      <w:r w:rsidRPr="00401156">
        <w:rPr>
          <w:rFonts w:asciiTheme="majorBidi" w:hAnsiTheme="majorBidi" w:cstheme="majorBidi"/>
          <w:sz w:val="26"/>
          <w:szCs w:val="26"/>
        </w:rPr>
        <w:t xml:space="preserve"> </w:t>
      </w:r>
      <w:r w:rsidRPr="00401156">
        <w:rPr>
          <w:rFonts w:asciiTheme="majorBidi" w:hAnsiTheme="majorBidi" w:cstheme="majorBidi"/>
          <w:b/>
          <w:bCs/>
          <w:sz w:val="26"/>
          <w:szCs w:val="26"/>
        </w:rPr>
        <w:t xml:space="preserve">in </w:t>
      </w:r>
      <w:r w:rsidR="009A7C17" w:rsidRPr="00401156">
        <w:rPr>
          <w:rFonts w:asciiTheme="majorBidi" w:hAnsiTheme="majorBidi" w:cstheme="majorBidi"/>
          <w:b/>
          <w:bCs/>
          <w:sz w:val="26"/>
          <w:szCs w:val="26"/>
        </w:rPr>
        <w:t>2021</w:t>
      </w:r>
      <w:r w:rsidRPr="00401156">
        <w:rPr>
          <w:rFonts w:asciiTheme="majorBidi" w:hAnsiTheme="majorBidi" w:cstheme="majorBidi"/>
          <w:sz w:val="26"/>
          <w:szCs w:val="26"/>
        </w:rPr>
        <w:t xml:space="preserve">, </w:t>
      </w:r>
      <w:r w:rsidR="00EB7D21" w:rsidRPr="00401156">
        <w:rPr>
          <w:rFonts w:asciiTheme="majorBidi" w:hAnsiTheme="majorBidi" w:cstheme="majorBidi"/>
          <w:sz w:val="26"/>
          <w:szCs w:val="26"/>
        </w:rPr>
        <w:t>which indicates a</w:t>
      </w:r>
      <w:r w:rsidR="009A7C17" w:rsidRPr="00401156">
        <w:rPr>
          <w:rFonts w:asciiTheme="majorBidi" w:hAnsiTheme="majorBidi" w:cstheme="majorBidi"/>
          <w:sz w:val="26"/>
          <w:szCs w:val="26"/>
        </w:rPr>
        <w:t>n</w:t>
      </w:r>
      <w:r w:rsidRPr="00401156">
        <w:rPr>
          <w:rFonts w:asciiTheme="majorBidi" w:hAnsiTheme="majorBidi" w:cstheme="majorBidi"/>
          <w:sz w:val="26"/>
          <w:szCs w:val="26"/>
        </w:rPr>
        <w:t xml:space="preserve"> </w:t>
      </w:r>
      <w:r w:rsidR="009A7C17" w:rsidRPr="00401156">
        <w:rPr>
          <w:rFonts w:asciiTheme="majorBidi" w:hAnsiTheme="majorBidi" w:cstheme="majorBidi"/>
          <w:b/>
          <w:bCs/>
          <w:sz w:val="26"/>
          <w:szCs w:val="26"/>
        </w:rPr>
        <w:t>in</w:t>
      </w:r>
      <w:r w:rsidRPr="00401156">
        <w:rPr>
          <w:rFonts w:asciiTheme="majorBidi" w:hAnsiTheme="majorBidi" w:cstheme="majorBidi"/>
          <w:b/>
          <w:bCs/>
          <w:sz w:val="26"/>
          <w:szCs w:val="26"/>
        </w:rPr>
        <w:t xml:space="preserve">crease </w:t>
      </w:r>
      <w:r w:rsidR="005D2B57" w:rsidRPr="00401156">
        <w:rPr>
          <w:rFonts w:asciiTheme="majorBidi" w:hAnsiTheme="majorBidi" w:cstheme="majorBidi"/>
          <w:b/>
          <w:bCs/>
          <w:sz w:val="26"/>
          <w:szCs w:val="26"/>
        </w:rPr>
        <w:t>of</w:t>
      </w:r>
      <w:r w:rsidRPr="00401156">
        <w:rPr>
          <w:rFonts w:asciiTheme="majorBidi" w:hAnsiTheme="majorBidi" w:cstheme="majorBidi"/>
          <w:b/>
          <w:bCs/>
          <w:sz w:val="26"/>
          <w:szCs w:val="26"/>
        </w:rPr>
        <w:t xml:space="preserve"> </w:t>
      </w:r>
      <w:r w:rsidR="009A7C17" w:rsidRPr="00401156">
        <w:rPr>
          <w:rFonts w:asciiTheme="majorBidi" w:hAnsiTheme="majorBidi" w:cstheme="majorBidi"/>
          <w:b/>
          <w:bCs/>
          <w:sz w:val="26"/>
          <w:szCs w:val="26"/>
        </w:rPr>
        <w:t>1.21</w:t>
      </w:r>
      <w:r w:rsidRPr="00401156">
        <w:rPr>
          <w:rFonts w:asciiTheme="majorBidi" w:hAnsiTheme="majorBidi" w:cstheme="majorBidi"/>
          <w:b/>
          <w:bCs/>
          <w:sz w:val="26"/>
          <w:szCs w:val="26"/>
        </w:rPr>
        <w:t>%</w:t>
      </w:r>
      <w:r w:rsidRPr="00401156">
        <w:rPr>
          <w:rFonts w:asciiTheme="majorBidi" w:hAnsiTheme="majorBidi" w:cstheme="majorBidi"/>
          <w:sz w:val="26"/>
          <w:szCs w:val="26"/>
        </w:rPr>
        <w:t xml:space="preserve"> </w:t>
      </w:r>
      <w:r w:rsidRPr="00401156">
        <w:rPr>
          <w:rFonts w:asciiTheme="majorBidi" w:hAnsiTheme="majorBidi" w:cstheme="majorBidi"/>
          <w:b/>
          <w:bCs/>
          <w:sz w:val="26"/>
          <w:szCs w:val="26"/>
        </w:rPr>
        <w:t xml:space="preserve">compared with </w:t>
      </w:r>
      <w:r w:rsidR="009A7C17" w:rsidRPr="00401156">
        <w:rPr>
          <w:rFonts w:asciiTheme="majorBidi" w:hAnsiTheme="majorBidi" w:cstheme="majorBidi"/>
          <w:b/>
          <w:bCs/>
          <w:sz w:val="26"/>
          <w:szCs w:val="26"/>
        </w:rPr>
        <w:t>2020</w:t>
      </w:r>
      <w:r w:rsidRPr="00401156">
        <w:rPr>
          <w:rFonts w:asciiTheme="majorBidi" w:hAnsiTheme="majorBidi" w:cstheme="majorBidi"/>
          <w:sz w:val="26"/>
          <w:szCs w:val="26"/>
        </w:rPr>
        <w:t>.</w:t>
      </w:r>
    </w:p>
    <w:p w:rsidR="006177C1" w:rsidRPr="00401156" w:rsidRDefault="006177C1" w:rsidP="006177C1">
      <w:pPr>
        <w:bidi w:val="0"/>
        <w:jc w:val="both"/>
        <w:outlineLvl w:val="1"/>
        <w:rPr>
          <w:rFonts w:asciiTheme="majorBidi" w:hAnsiTheme="majorBidi" w:cstheme="majorBidi"/>
          <w:b/>
          <w:bCs/>
          <w:color w:val="000000"/>
          <w:sz w:val="26"/>
          <w:szCs w:val="26"/>
        </w:rPr>
      </w:pPr>
    </w:p>
    <w:p w:rsidR="006177C1" w:rsidRPr="00401156" w:rsidRDefault="006177C1" w:rsidP="005D2B57">
      <w:pPr>
        <w:bidi w:val="0"/>
        <w:jc w:val="both"/>
        <w:rPr>
          <w:rFonts w:asciiTheme="majorBidi" w:hAnsiTheme="majorBidi" w:cstheme="majorBidi"/>
          <w:sz w:val="26"/>
          <w:szCs w:val="26"/>
        </w:rPr>
      </w:pPr>
      <w:r w:rsidRPr="00401156">
        <w:rPr>
          <w:rFonts w:asciiTheme="majorBidi" w:hAnsiTheme="majorBidi" w:cstheme="majorBidi"/>
          <w:sz w:val="26"/>
          <w:szCs w:val="26"/>
        </w:rPr>
        <w:t xml:space="preserve">Prices of WPI for </w:t>
      </w:r>
      <w:r w:rsidR="009A7C17" w:rsidRPr="00401156">
        <w:rPr>
          <w:rFonts w:asciiTheme="majorBidi" w:hAnsiTheme="majorBidi" w:cstheme="majorBidi"/>
          <w:sz w:val="26"/>
          <w:szCs w:val="26"/>
        </w:rPr>
        <w:t>2021</w:t>
      </w:r>
      <w:r w:rsidRPr="00401156">
        <w:rPr>
          <w:rFonts w:asciiTheme="majorBidi" w:hAnsiTheme="majorBidi" w:cstheme="majorBidi"/>
          <w:sz w:val="26"/>
          <w:szCs w:val="26"/>
        </w:rPr>
        <w:t xml:space="preserve"> </w:t>
      </w:r>
      <w:r w:rsidR="009A7C17" w:rsidRPr="00401156">
        <w:rPr>
          <w:rFonts w:asciiTheme="majorBidi" w:hAnsiTheme="majorBidi" w:cstheme="majorBidi"/>
          <w:sz w:val="26"/>
          <w:szCs w:val="26"/>
        </w:rPr>
        <w:t>in</w:t>
      </w:r>
      <w:r w:rsidRPr="00401156">
        <w:rPr>
          <w:rFonts w:asciiTheme="majorBidi" w:hAnsiTheme="majorBidi" w:cstheme="majorBidi"/>
          <w:sz w:val="26"/>
          <w:szCs w:val="26"/>
        </w:rPr>
        <w:t xml:space="preserve">creased due to the </w:t>
      </w:r>
      <w:r w:rsidR="009A7C17" w:rsidRPr="00401156">
        <w:rPr>
          <w:rFonts w:asciiTheme="majorBidi" w:hAnsiTheme="majorBidi" w:cstheme="majorBidi"/>
          <w:sz w:val="26"/>
          <w:szCs w:val="26"/>
        </w:rPr>
        <w:t>in</w:t>
      </w:r>
      <w:r w:rsidRPr="00401156">
        <w:rPr>
          <w:rFonts w:asciiTheme="majorBidi" w:hAnsiTheme="majorBidi" w:cstheme="majorBidi"/>
          <w:sz w:val="26"/>
          <w:szCs w:val="26"/>
        </w:rPr>
        <w:t xml:space="preserve">crease in the prices of </w:t>
      </w:r>
      <w:r w:rsidR="009A7C17" w:rsidRPr="00401156">
        <w:rPr>
          <w:rFonts w:asciiTheme="majorBidi" w:hAnsiTheme="majorBidi" w:cstheme="majorBidi"/>
          <w:b/>
          <w:bCs/>
          <w:sz w:val="26"/>
          <w:szCs w:val="26"/>
        </w:rPr>
        <w:t xml:space="preserve">Manufacturing </w:t>
      </w:r>
      <w:r w:rsidR="005D2B57" w:rsidRPr="00401156">
        <w:rPr>
          <w:rFonts w:asciiTheme="majorBidi" w:hAnsiTheme="majorBidi" w:cstheme="majorBidi"/>
          <w:b/>
          <w:bCs/>
          <w:sz w:val="26"/>
          <w:szCs w:val="26"/>
        </w:rPr>
        <w:t>activities</w:t>
      </w:r>
      <w:r w:rsidR="009A7C17" w:rsidRPr="00401156">
        <w:rPr>
          <w:rFonts w:asciiTheme="majorBidi" w:hAnsiTheme="majorBidi" w:cstheme="majorBidi"/>
          <w:b/>
          <w:bCs/>
          <w:sz w:val="26"/>
          <w:szCs w:val="26"/>
        </w:rPr>
        <w:t xml:space="preserve"> </w:t>
      </w:r>
      <w:r w:rsidRPr="00401156">
        <w:rPr>
          <w:rFonts w:asciiTheme="majorBidi" w:hAnsiTheme="majorBidi" w:cstheme="majorBidi"/>
          <w:b/>
          <w:bCs/>
          <w:sz w:val="26"/>
          <w:szCs w:val="26"/>
        </w:rPr>
        <w:t xml:space="preserve">by </w:t>
      </w:r>
      <w:r w:rsidR="009A7C17" w:rsidRPr="00401156">
        <w:rPr>
          <w:rFonts w:asciiTheme="majorBidi" w:hAnsiTheme="majorBidi" w:cstheme="majorBidi"/>
          <w:b/>
          <w:bCs/>
          <w:sz w:val="26"/>
          <w:szCs w:val="26"/>
        </w:rPr>
        <w:t>1.25</w:t>
      </w:r>
      <w:r w:rsidRPr="00401156">
        <w:rPr>
          <w:rFonts w:asciiTheme="majorBidi" w:hAnsiTheme="majorBidi" w:cstheme="majorBidi"/>
          <w:b/>
          <w:bCs/>
          <w:sz w:val="26"/>
          <w:szCs w:val="26"/>
        </w:rPr>
        <w:t>%</w:t>
      </w:r>
      <w:r w:rsidRPr="00401156">
        <w:rPr>
          <w:rFonts w:asciiTheme="majorBidi" w:hAnsiTheme="majorBidi" w:cstheme="majorBidi"/>
          <w:sz w:val="26"/>
          <w:szCs w:val="26"/>
        </w:rPr>
        <w:t xml:space="preserve">, </w:t>
      </w:r>
      <w:r w:rsidR="009A7C17" w:rsidRPr="00401156">
        <w:rPr>
          <w:rFonts w:asciiTheme="majorBidi" w:hAnsiTheme="majorBidi" w:cstheme="majorBidi"/>
          <w:b/>
          <w:bCs/>
          <w:sz w:val="26"/>
          <w:szCs w:val="26"/>
        </w:rPr>
        <w:t xml:space="preserve">Agricultural </w:t>
      </w:r>
      <w:r w:rsidR="005D2B57" w:rsidRPr="00401156">
        <w:rPr>
          <w:rFonts w:asciiTheme="majorBidi" w:hAnsiTheme="majorBidi" w:cstheme="majorBidi"/>
          <w:b/>
          <w:bCs/>
          <w:sz w:val="26"/>
          <w:szCs w:val="26"/>
        </w:rPr>
        <w:t>activities</w:t>
      </w:r>
      <w:r w:rsidR="009A7C17" w:rsidRPr="00401156">
        <w:rPr>
          <w:rFonts w:asciiTheme="majorBidi" w:hAnsiTheme="majorBidi" w:cstheme="majorBidi"/>
          <w:b/>
          <w:bCs/>
          <w:sz w:val="26"/>
          <w:szCs w:val="26"/>
        </w:rPr>
        <w:t xml:space="preserve"> by 1.16%, </w:t>
      </w:r>
      <w:r w:rsidR="009A7C17" w:rsidRPr="00401156">
        <w:rPr>
          <w:rFonts w:asciiTheme="majorBidi" w:hAnsiTheme="majorBidi" w:cstheme="majorBidi"/>
          <w:sz w:val="26"/>
          <w:szCs w:val="26"/>
        </w:rPr>
        <w:t>and</w:t>
      </w:r>
      <w:r w:rsidR="009A7C17" w:rsidRPr="00401156">
        <w:rPr>
          <w:rFonts w:asciiTheme="majorBidi" w:hAnsiTheme="majorBidi" w:cstheme="majorBidi"/>
          <w:b/>
          <w:bCs/>
          <w:sz w:val="26"/>
          <w:szCs w:val="26"/>
        </w:rPr>
        <w:t xml:space="preserve"> </w:t>
      </w:r>
      <w:r w:rsidRPr="00401156">
        <w:rPr>
          <w:rFonts w:asciiTheme="majorBidi" w:hAnsiTheme="majorBidi" w:cstheme="majorBidi"/>
          <w:b/>
          <w:bCs/>
          <w:sz w:val="26"/>
          <w:szCs w:val="26"/>
        </w:rPr>
        <w:t xml:space="preserve">Mining and quarrying </w:t>
      </w:r>
      <w:r w:rsidR="005D2B57" w:rsidRPr="00401156">
        <w:rPr>
          <w:rFonts w:asciiTheme="majorBidi" w:hAnsiTheme="majorBidi" w:cstheme="majorBidi"/>
          <w:b/>
          <w:bCs/>
          <w:sz w:val="26"/>
          <w:szCs w:val="26"/>
        </w:rPr>
        <w:t>activities</w:t>
      </w:r>
      <w:r w:rsidRPr="00401156">
        <w:rPr>
          <w:rFonts w:asciiTheme="majorBidi" w:hAnsiTheme="majorBidi" w:cstheme="majorBidi"/>
          <w:b/>
          <w:bCs/>
          <w:sz w:val="26"/>
          <w:szCs w:val="26"/>
        </w:rPr>
        <w:t xml:space="preserve"> by </w:t>
      </w:r>
      <w:r w:rsidR="009A7C17" w:rsidRPr="00401156">
        <w:rPr>
          <w:rFonts w:asciiTheme="majorBidi" w:hAnsiTheme="majorBidi" w:cstheme="majorBidi"/>
          <w:b/>
          <w:bCs/>
          <w:sz w:val="26"/>
          <w:szCs w:val="26"/>
        </w:rPr>
        <w:t>0.78</w:t>
      </w:r>
      <w:r w:rsidRPr="00401156">
        <w:rPr>
          <w:rFonts w:asciiTheme="majorBidi" w:hAnsiTheme="majorBidi" w:cstheme="majorBidi"/>
          <w:b/>
          <w:bCs/>
          <w:sz w:val="26"/>
          <w:szCs w:val="26"/>
        </w:rPr>
        <w:t xml:space="preserve">%, </w:t>
      </w:r>
      <w:r w:rsidR="009A7C17" w:rsidRPr="00401156">
        <w:rPr>
          <w:rFonts w:asciiTheme="majorBidi" w:hAnsiTheme="majorBidi" w:cstheme="majorBidi"/>
          <w:sz w:val="26"/>
          <w:szCs w:val="26"/>
        </w:rPr>
        <w:t>while the prices of</w:t>
      </w:r>
      <w:r w:rsidRPr="00401156">
        <w:rPr>
          <w:rFonts w:asciiTheme="majorBidi" w:hAnsiTheme="majorBidi" w:cstheme="majorBidi"/>
          <w:b/>
          <w:bCs/>
          <w:sz w:val="26"/>
          <w:szCs w:val="26"/>
        </w:rPr>
        <w:t xml:space="preserve"> </w:t>
      </w:r>
      <w:r w:rsidR="009A7C17" w:rsidRPr="00401156">
        <w:rPr>
          <w:rFonts w:asciiTheme="majorBidi" w:hAnsiTheme="majorBidi" w:cstheme="majorBidi"/>
          <w:b/>
          <w:bCs/>
          <w:sz w:val="26"/>
          <w:szCs w:val="26"/>
        </w:rPr>
        <w:t xml:space="preserve">Fishing </w:t>
      </w:r>
      <w:r w:rsidR="005D2B57" w:rsidRPr="00401156">
        <w:rPr>
          <w:rFonts w:asciiTheme="majorBidi" w:hAnsiTheme="majorBidi" w:cstheme="majorBidi"/>
          <w:b/>
          <w:bCs/>
          <w:sz w:val="26"/>
          <w:szCs w:val="26"/>
        </w:rPr>
        <w:t>activities</w:t>
      </w:r>
      <w:r w:rsidR="009A7C17" w:rsidRPr="00401156">
        <w:rPr>
          <w:rFonts w:asciiTheme="majorBidi" w:hAnsiTheme="majorBidi" w:cstheme="majorBidi"/>
          <w:b/>
          <w:bCs/>
          <w:sz w:val="26"/>
          <w:szCs w:val="26"/>
        </w:rPr>
        <w:t xml:space="preserve"> decreased </w:t>
      </w:r>
      <w:r w:rsidRPr="00401156">
        <w:rPr>
          <w:rFonts w:asciiTheme="majorBidi" w:hAnsiTheme="majorBidi" w:cstheme="majorBidi"/>
          <w:b/>
          <w:bCs/>
          <w:sz w:val="26"/>
          <w:szCs w:val="26"/>
        </w:rPr>
        <w:t xml:space="preserve">by </w:t>
      </w:r>
      <w:r w:rsidR="009A7C17" w:rsidRPr="00401156">
        <w:rPr>
          <w:rFonts w:asciiTheme="majorBidi" w:hAnsiTheme="majorBidi" w:cstheme="majorBidi"/>
          <w:b/>
          <w:bCs/>
          <w:sz w:val="26"/>
          <w:szCs w:val="26"/>
        </w:rPr>
        <w:t>4.40</w:t>
      </w:r>
      <w:r w:rsidRPr="00401156">
        <w:rPr>
          <w:rFonts w:asciiTheme="majorBidi" w:hAnsiTheme="majorBidi" w:cstheme="majorBidi"/>
          <w:b/>
          <w:bCs/>
          <w:sz w:val="26"/>
          <w:szCs w:val="26"/>
        </w:rPr>
        <w:t>%</w:t>
      </w:r>
      <w:r w:rsidRPr="00401156">
        <w:rPr>
          <w:rFonts w:asciiTheme="majorBidi" w:hAnsiTheme="majorBidi" w:cstheme="majorBidi"/>
          <w:sz w:val="26"/>
          <w:szCs w:val="26"/>
        </w:rPr>
        <w:t>.</w:t>
      </w:r>
    </w:p>
    <w:p w:rsidR="006177C1" w:rsidRPr="00401156" w:rsidRDefault="006177C1" w:rsidP="006177C1">
      <w:pPr>
        <w:jc w:val="both"/>
        <w:rPr>
          <w:rFonts w:asciiTheme="majorBidi" w:hAnsiTheme="majorBidi" w:cstheme="majorBidi"/>
          <w:sz w:val="26"/>
          <w:szCs w:val="26"/>
        </w:rPr>
      </w:pPr>
    </w:p>
    <w:p w:rsidR="006177C1" w:rsidRPr="00401156" w:rsidRDefault="006177C1" w:rsidP="009A7C17">
      <w:pPr>
        <w:bidi w:val="0"/>
        <w:jc w:val="both"/>
        <w:rPr>
          <w:rFonts w:asciiTheme="majorBidi" w:hAnsiTheme="majorBidi" w:cstheme="majorBidi"/>
          <w:b/>
          <w:bCs/>
          <w:sz w:val="26"/>
          <w:szCs w:val="26"/>
        </w:rPr>
      </w:pPr>
      <w:r w:rsidRPr="00401156">
        <w:rPr>
          <w:rFonts w:asciiTheme="majorBidi" w:hAnsiTheme="majorBidi" w:cstheme="majorBidi"/>
          <w:sz w:val="26"/>
          <w:szCs w:val="26"/>
        </w:rPr>
        <w:t xml:space="preserve">The prices of </w:t>
      </w:r>
      <w:r w:rsidR="00EB7D21" w:rsidRPr="00401156">
        <w:rPr>
          <w:rFonts w:asciiTheme="majorBidi" w:hAnsiTheme="majorBidi" w:cstheme="majorBidi"/>
          <w:b/>
          <w:bCs/>
          <w:sz w:val="26"/>
          <w:szCs w:val="26"/>
        </w:rPr>
        <w:t>imported products</w:t>
      </w:r>
      <w:r w:rsidR="00EB7D21" w:rsidRPr="00401156">
        <w:rPr>
          <w:rFonts w:asciiTheme="majorBidi" w:hAnsiTheme="majorBidi" w:cstheme="majorBidi"/>
          <w:sz w:val="26"/>
          <w:szCs w:val="26"/>
        </w:rPr>
        <w:t xml:space="preserve"> </w:t>
      </w:r>
      <w:r w:rsidR="009A7C17" w:rsidRPr="00401156">
        <w:rPr>
          <w:rFonts w:asciiTheme="majorBidi" w:hAnsiTheme="majorBidi" w:cstheme="majorBidi"/>
          <w:b/>
          <w:bCs/>
          <w:sz w:val="26"/>
          <w:szCs w:val="26"/>
        </w:rPr>
        <w:t>in</w:t>
      </w:r>
      <w:r w:rsidRPr="00401156">
        <w:rPr>
          <w:rFonts w:asciiTheme="majorBidi" w:hAnsiTheme="majorBidi" w:cstheme="majorBidi"/>
          <w:b/>
          <w:bCs/>
          <w:sz w:val="26"/>
          <w:szCs w:val="26"/>
        </w:rPr>
        <w:t xml:space="preserve">creased by </w:t>
      </w:r>
      <w:r w:rsidR="009A7C17" w:rsidRPr="00401156">
        <w:rPr>
          <w:rFonts w:asciiTheme="majorBidi" w:hAnsiTheme="majorBidi" w:cstheme="majorBidi"/>
          <w:b/>
          <w:bCs/>
          <w:sz w:val="26"/>
          <w:szCs w:val="26"/>
        </w:rPr>
        <w:t>2.78</w:t>
      </w:r>
      <w:r w:rsidRPr="00401156">
        <w:rPr>
          <w:rFonts w:asciiTheme="majorBidi" w:hAnsiTheme="majorBidi" w:cstheme="majorBidi"/>
          <w:b/>
          <w:bCs/>
          <w:sz w:val="26"/>
          <w:szCs w:val="26"/>
        </w:rPr>
        <w:t>%</w:t>
      </w:r>
      <w:r w:rsidRPr="00401156">
        <w:rPr>
          <w:rFonts w:asciiTheme="majorBidi" w:hAnsiTheme="majorBidi" w:cstheme="majorBidi"/>
          <w:sz w:val="26"/>
          <w:szCs w:val="26"/>
        </w:rPr>
        <w:t xml:space="preserve">, while the prices of </w:t>
      </w:r>
      <w:r w:rsidR="00EB7D21" w:rsidRPr="00401156">
        <w:rPr>
          <w:rFonts w:asciiTheme="majorBidi" w:hAnsiTheme="majorBidi" w:cstheme="majorBidi"/>
          <w:b/>
          <w:bCs/>
          <w:sz w:val="26"/>
          <w:szCs w:val="26"/>
        </w:rPr>
        <w:t xml:space="preserve">local products </w:t>
      </w:r>
      <w:r w:rsidR="009A7C17" w:rsidRPr="00401156">
        <w:rPr>
          <w:rFonts w:asciiTheme="majorBidi" w:hAnsiTheme="majorBidi" w:cstheme="majorBidi"/>
          <w:b/>
          <w:bCs/>
          <w:sz w:val="26"/>
          <w:szCs w:val="26"/>
        </w:rPr>
        <w:t>de</w:t>
      </w:r>
      <w:r w:rsidRPr="00401156">
        <w:rPr>
          <w:rFonts w:asciiTheme="majorBidi" w:hAnsiTheme="majorBidi" w:cstheme="majorBidi"/>
          <w:b/>
          <w:bCs/>
          <w:sz w:val="26"/>
          <w:szCs w:val="26"/>
        </w:rPr>
        <w:t xml:space="preserve">creased by </w:t>
      </w:r>
      <w:r w:rsidR="009A7C17" w:rsidRPr="00401156">
        <w:rPr>
          <w:rFonts w:asciiTheme="majorBidi" w:hAnsiTheme="majorBidi" w:cstheme="majorBidi"/>
          <w:b/>
          <w:bCs/>
          <w:sz w:val="26"/>
          <w:szCs w:val="26"/>
        </w:rPr>
        <w:t>0.80</w:t>
      </w:r>
      <w:r w:rsidRPr="00401156">
        <w:rPr>
          <w:rFonts w:asciiTheme="majorBidi" w:hAnsiTheme="majorBidi" w:cstheme="majorBidi"/>
          <w:b/>
          <w:bCs/>
          <w:sz w:val="26"/>
          <w:szCs w:val="26"/>
        </w:rPr>
        <w:t xml:space="preserve">% </w:t>
      </w:r>
      <w:r w:rsidRPr="00401156">
        <w:rPr>
          <w:rFonts w:asciiTheme="majorBidi" w:hAnsiTheme="majorBidi" w:cstheme="majorBidi"/>
          <w:sz w:val="26"/>
          <w:szCs w:val="26"/>
        </w:rPr>
        <w:t>compared with the previous year.</w:t>
      </w:r>
    </w:p>
    <w:p w:rsidR="006177C1" w:rsidRPr="00401156" w:rsidRDefault="006177C1" w:rsidP="006177C1">
      <w:pPr>
        <w:bidi w:val="0"/>
        <w:jc w:val="both"/>
        <w:outlineLvl w:val="1"/>
        <w:rPr>
          <w:rFonts w:asciiTheme="majorBidi" w:hAnsiTheme="majorBidi" w:cstheme="majorBidi"/>
          <w:b/>
          <w:bCs/>
          <w:color w:val="000000"/>
          <w:sz w:val="26"/>
          <w:szCs w:val="26"/>
        </w:rPr>
      </w:pPr>
    </w:p>
    <w:p w:rsidR="006177C1" w:rsidRDefault="006177C1" w:rsidP="00401156">
      <w:pPr>
        <w:bidi w:val="0"/>
        <w:jc w:val="center"/>
        <w:rPr>
          <w:rFonts w:asciiTheme="majorBidi" w:hAnsiTheme="majorBidi" w:cstheme="majorBidi"/>
          <w:b/>
          <w:bCs/>
          <w:sz w:val="26"/>
          <w:szCs w:val="26"/>
        </w:rPr>
      </w:pPr>
      <w:r w:rsidRPr="00401156">
        <w:rPr>
          <w:rFonts w:asciiTheme="majorBidi" w:hAnsiTheme="majorBidi" w:cstheme="majorBidi"/>
          <w:b/>
          <w:bCs/>
          <w:sz w:val="26"/>
          <w:szCs w:val="26"/>
        </w:rPr>
        <w:t>Yearly Percent Change</w:t>
      </w:r>
      <w:r w:rsidR="004F6095" w:rsidRPr="00401156">
        <w:rPr>
          <w:rFonts w:asciiTheme="majorBidi" w:hAnsiTheme="majorBidi" w:cstheme="majorBidi"/>
          <w:b/>
          <w:bCs/>
          <w:sz w:val="26"/>
          <w:szCs w:val="26"/>
        </w:rPr>
        <w:t>s</w:t>
      </w:r>
      <w:r w:rsidRPr="00401156">
        <w:rPr>
          <w:rFonts w:asciiTheme="majorBidi" w:hAnsiTheme="majorBidi" w:cstheme="majorBidi"/>
          <w:b/>
          <w:bCs/>
          <w:sz w:val="26"/>
          <w:szCs w:val="26"/>
        </w:rPr>
        <w:t xml:space="preserve"> in the Wholesale Price Index in Palestine for 2007 – </w:t>
      </w:r>
      <w:r w:rsidR="009A7C17" w:rsidRPr="00401156">
        <w:rPr>
          <w:rFonts w:asciiTheme="majorBidi" w:hAnsiTheme="majorBidi" w:cstheme="majorBidi"/>
          <w:b/>
          <w:bCs/>
          <w:sz w:val="26"/>
          <w:szCs w:val="26"/>
        </w:rPr>
        <w:t>2021</w:t>
      </w:r>
    </w:p>
    <w:p w:rsidR="00401156" w:rsidRPr="00401156" w:rsidRDefault="00401156" w:rsidP="00401156">
      <w:pPr>
        <w:bidi w:val="0"/>
        <w:jc w:val="center"/>
        <w:rPr>
          <w:rFonts w:asciiTheme="majorBidi" w:hAnsiTheme="majorBidi" w:cstheme="majorBidi"/>
          <w:b/>
          <w:bCs/>
          <w:sz w:val="8"/>
          <w:szCs w:val="8"/>
        </w:rPr>
      </w:pPr>
    </w:p>
    <w:tbl>
      <w:tblPr>
        <w:tblStyle w:val="TableGrid"/>
        <w:tblW w:w="0" w:type="auto"/>
        <w:jc w:val="center"/>
        <w:tblLayout w:type="fixed"/>
        <w:tblLook w:val="04A0" w:firstRow="1" w:lastRow="0" w:firstColumn="1" w:lastColumn="0" w:noHBand="0" w:noVBand="1"/>
      </w:tblPr>
      <w:tblGrid>
        <w:gridCol w:w="5599"/>
      </w:tblGrid>
      <w:tr w:rsidR="006177C1" w:rsidRPr="00401156" w:rsidTr="00401156">
        <w:trPr>
          <w:trHeight w:val="4003"/>
          <w:jc w:val="center"/>
        </w:trPr>
        <w:tc>
          <w:tcPr>
            <w:tcW w:w="5599" w:type="dxa"/>
          </w:tcPr>
          <w:p w:rsidR="006177C1" w:rsidRPr="00401156" w:rsidRDefault="006177C1" w:rsidP="006B279C">
            <w:pPr>
              <w:bidi w:val="0"/>
              <w:jc w:val="center"/>
              <w:rPr>
                <w:rFonts w:asciiTheme="majorBidi" w:hAnsiTheme="majorBidi" w:cstheme="majorBidi"/>
                <w:b/>
                <w:bCs/>
                <w:sz w:val="26"/>
                <w:szCs w:val="26"/>
              </w:rPr>
            </w:pPr>
            <w:r w:rsidRPr="00401156">
              <w:rPr>
                <w:rFonts w:asciiTheme="majorBidi" w:hAnsiTheme="majorBidi" w:cstheme="majorBidi"/>
                <w:b/>
                <w:bCs/>
                <w:noProof/>
                <w:sz w:val="26"/>
                <w:szCs w:val="26"/>
                <w:lang w:eastAsia="en-US"/>
              </w:rPr>
              <w:drawing>
                <wp:inline distT="0" distB="0" distL="0" distR="0">
                  <wp:extent cx="3267075" cy="2390775"/>
                  <wp:effectExtent l="0" t="0" r="0" b="0"/>
                  <wp:docPr id="4"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401156" w:rsidRDefault="00401156" w:rsidP="00401156">
      <w:pPr>
        <w:bidi w:val="0"/>
        <w:jc w:val="center"/>
        <w:outlineLvl w:val="1"/>
        <w:rPr>
          <w:rFonts w:asciiTheme="majorBidi" w:hAnsiTheme="majorBidi" w:cstheme="majorBidi"/>
          <w:b/>
          <w:bCs/>
          <w:color w:val="000000"/>
          <w:sz w:val="28"/>
          <w:szCs w:val="28"/>
        </w:rPr>
      </w:pPr>
    </w:p>
    <w:p w:rsidR="00ED16E5" w:rsidRPr="00401156" w:rsidRDefault="00A27453" w:rsidP="00401156">
      <w:pPr>
        <w:bidi w:val="0"/>
        <w:jc w:val="center"/>
        <w:outlineLvl w:val="1"/>
        <w:rPr>
          <w:rFonts w:asciiTheme="majorBidi" w:hAnsiTheme="majorBidi" w:cstheme="majorBidi"/>
          <w:b/>
          <w:bCs/>
          <w:sz w:val="28"/>
          <w:szCs w:val="28"/>
        </w:rPr>
      </w:pPr>
      <w:r w:rsidRPr="00401156">
        <w:rPr>
          <w:rFonts w:asciiTheme="majorBidi" w:hAnsiTheme="majorBidi" w:cstheme="majorBidi"/>
          <w:b/>
          <w:bCs/>
          <w:color w:val="000000"/>
          <w:sz w:val="28"/>
          <w:szCs w:val="28"/>
        </w:rPr>
        <w:t>In</w:t>
      </w:r>
      <w:r w:rsidR="00936FAF" w:rsidRPr="00401156">
        <w:rPr>
          <w:rFonts w:asciiTheme="majorBidi" w:hAnsiTheme="majorBidi" w:cstheme="majorBidi"/>
          <w:b/>
          <w:bCs/>
          <w:color w:val="000000"/>
          <w:sz w:val="28"/>
          <w:szCs w:val="28"/>
        </w:rPr>
        <w:t>crease</w:t>
      </w:r>
      <w:r w:rsidR="00ED16E5" w:rsidRPr="00401156">
        <w:rPr>
          <w:rFonts w:asciiTheme="majorBidi" w:hAnsiTheme="majorBidi" w:cstheme="majorBidi"/>
          <w:b/>
          <w:bCs/>
          <w:color w:val="000000"/>
          <w:sz w:val="28"/>
          <w:szCs w:val="28"/>
        </w:rPr>
        <w:t xml:space="preserve"> in</w:t>
      </w:r>
      <w:r w:rsidR="00ED16E5" w:rsidRPr="00401156">
        <w:rPr>
          <w:rFonts w:asciiTheme="majorBidi" w:hAnsiTheme="majorBidi" w:cstheme="majorBidi"/>
          <w:b/>
          <w:bCs/>
          <w:sz w:val="28"/>
          <w:szCs w:val="28"/>
        </w:rPr>
        <w:t xml:space="preserve"> the Wholesale Price Index (WPI) During</w:t>
      </w:r>
      <w:r w:rsidR="000A3D33" w:rsidRPr="00401156">
        <w:rPr>
          <w:rFonts w:asciiTheme="majorBidi" w:hAnsiTheme="majorBidi" w:cstheme="majorBidi"/>
          <w:b/>
          <w:bCs/>
          <w:sz w:val="28"/>
          <w:szCs w:val="28"/>
        </w:rPr>
        <w:t xml:space="preserve"> the </w:t>
      </w:r>
      <w:r w:rsidR="006B279C" w:rsidRPr="00401156">
        <w:rPr>
          <w:rFonts w:asciiTheme="majorBidi" w:hAnsiTheme="majorBidi" w:cstheme="majorBidi"/>
          <w:b/>
          <w:bCs/>
          <w:kern w:val="36"/>
          <w:sz w:val="28"/>
          <w:szCs w:val="28"/>
        </w:rPr>
        <w:t>Fourth</w:t>
      </w:r>
      <w:r w:rsidR="000A3D33" w:rsidRPr="00401156">
        <w:rPr>
          <w:rFonts w:asciiTheme="majorBidi" w:hAnsiTheme="majorBidi" w:cstheme="majorBidi"/>
          <w:b/>
          <w:bCs/>
          <w:kern w:val="36"/>
          <w:sz w:val="28"/>
          <w:szCs w:val="28"/>
        </w:rPr>
        <w:t xml:space="preserve"> Quarter of </w:t>
      </w:r>
      <w:r w:rsidRPr="00401156">
        <w:rPr>
          <w:rFonts w:asciiTheme="majorBidi" w:hAnsiTheme="majorBidi" w:cstheme="majorBidi"/>
          <w:b/>
          <w:bCs/>
          <w:kern w:val="36"/>
          <w:sz w:val="28"/>
          <w:szCs w:val="28"/>
        </w:rPr>
        <w:t>2021</w:t>
      </w:r>
    </w:p>
    <w:p w:rsidR="00401156" w:rsidRPr="00401156" w:rsidRDefault="00401156" w:rsidP="00A27453">
      <w:pPr>
        <w:bidi w:val="0"/>
        <w:jc w:val="both"/>
        <w:outlineLvl w:val="0"/>
        <w:rPr>
          <w:rFonts w:asciiTheme="majorBidi" w:hAnsiTheme="majorBidi" w:cstheme="majorBidi"/>
          <w:b/>
          <w:bCs/>
          <w:sz w:val="16"/>
          <w:szCs w:val="16"/>
        </w:rPr>
      </w:pPr>
    </w:p>
    <w:p w:rsidR="00936337" w:rsidRPr="00401156" w:rsidRDefault="00936337" w:rsidP="00401156">
      <w:pPr>
        <w:bidi w:val="0"/>
        <w:jc w:val="both"/>
        <w:outlineLvl w:val="0"/>
        <w:rPr>
          <w:rFonts w:asciiTheme="majorBidi" w:hAnsiTheme="majorBidi" w:cstheme="majorBidi"/>
          <w:sz w:val="26"/>
          <w:szCs w:val="26"/>
        </w:rPr>
      </w:pPr>
      <w:r w:rsidRPr="00401156">
        <w:rPr>
          <w:rFonts w:asciiTheme="majorBidi" w:hAnsiTheme="majorBidi" w:cstheme="majorBidi"/>
          <w:sz w:val="26"/>
          <w:szCs w:val="26"/>
        </w:rPr>
        <w:t xml:space="preserve">The overall WPI in Palestine with its base year (2007=100) reached </w:t>
      </w:r>
      <w:r w:rsidR="00A27453" w:rsidRPr="00401156">
        <w:rPr>
          <w:rFonts w:asciiTheme="majorBidi" w:hAnsiTheme="majorBidi" w:cstheme="majorBidi"/>
          <w:sz w:val="26"/>
          <w:szCs w:val="26"/>
        </w:rPr>
        <w:t>129.76</w:t>
      </w:r>
      <w:r w:rsidRPr="00401156">
        <w:rPr>
          <w:rFonts w:asciiTheme="majorBidi" w:hAnsiTheme="majorBidi" w:cstheme="majorBidi"/>
          <w:sz w:val="26"/>
          <w:szCs w:val="26"/>
        </w:rPr>
        <w:t xml:space="preserve"> in the Fourth quarter </w:t>
      </w:r>
      <w:r w:rsidR="00A27453" w:rsidRPr="00401156">
        <w:rPr>
          <w:rFonts w:asciiTheme="majorBidi" w:hAnsiTheme="majorBidi" w:cstheme="majorBidi"/>
          <w:sz w:val="26"/>
          <w:szCs w:val="26"/>
        </w:rPr>
        <w:t>2021</w:t>
      </w:r>
      <w:r w:rsidRPr="00401156">
        <w:rPr>
          <w:rFonts w:asciiTheme="majorBidi" w:hAnsiTheme="majorBidi" w:cstheme="majorBidi"/>
          <w:sz w:val="26"/>
          <w:szCs w:val="26"/>
        </w:rPr>
        <w:t xml:space="preserve">, which Recorded </w:t>
      </w:r>
      <w:r w:rsidR="00A27453" w:rsidRPr="00401156">
        <w:rPr>
          <w:rFonts w:asciiTheme="majorBidi" w:hAnsiTheme="majorBidi" w:cstheme="majorBidi"/>
          <w:sz w:val="26"/>
          <w:szCs w:val="26"/>
        </w:rPr>
        <w:t>an</w:t>
      </w:r>
      <w:r w:rsidRPr="00401156">
        <w:rPr>
          <w:rFonts w:asciiTheme="majorBidi" w:hAnsiTheme="majorBidi" w:cstheme="majorBidi"/>
          <w:sz w:val="26"/>
          <w:szCs w:val="26"/>
        </w:rPr>
        <w:t xml:space="preserve"> </w:t>
      </w:r>
      <w:r w:rsidR="00A27453" w:rsidRPr="00401156">
        <w:rPr>
          <w:rFonts w:asciiTheme="majorBidi" w:hAnsiTheme="majorBidi" w:cstheme="majorBidi"/>
          <w:sz w:val="26"/>
          <w:szCs w:val="26"/>
        </w:rPr>
        <w:t>in</w:t>
      </w:r>
      <w:r w:rsidRPr="00401156">
        <w:rPr>
          <w:rFonts w:asciiTheme="majorBidi" w:hAnsiTheme="majorBidi" w:cstheme="majorBidi"/>
          <w:sz w:val="26"/>
          <w:szCs w:val="26"/>
        </w:rPr>
        <w:t xml:space="preserve">crease of </w:t>
      </w:r>
      <w:r w:rsidR="00A27453" w:rsidRPr="00401156">
        <w:rPr>
          <w:rFonts w:asciiTheme="majorBidi" w:hAnsiTheme="majorBidi" w:cstheme="majorBidi"/>
          <w:sz w:val="26"/>
          <w:szCs w:val="26"/>
        </w:rPr>
        <w:t>0.32</w:t>
      </w:r>
      <w:r w:rsidRPr="00401156">
        <w:rPr>
          <w:rFonts w:asciiTheme="majorBidi" w:hAnsiTheme="majorBidi" w:cstheme="majorBidi"/>
          <w:sz w:val="26"/>
          <w:szCs w:val="26"/>
        </w:rPr>
        <w:t xml:space="preserve">% compared with the Third quarter </w:t>
      </w:r>
      <w:r w:rsidR="00A27453" w:rsidRPr="00401156">
        <w:rPr>
          <w:rFonts w:asciiTheme="majorBidi" w:hAnsiTheme="majorBidi" w:cstheme="majorBidi"/>
          <w:sz w:val="26"/>
          <w:szCs w:val="26"/>
        </w:rPr>
        <w:t>2021</w:t>
      </w:r>
      <w:r w:rsidRPr="00401156">
        <w:rPr>
          <w:rFonts w:asciiTheme="majorBidi" w:hAnsiTheme="majorBidi" w:cstheme="majorBidi"/>
          <w:sz w:val="26"/>
          <w:szCs w:val="26"/>
        </w:rPr>
        <w:t>.</w:t>
      </w:r>
    </w:p>
    <w:p w:rsidR="00726D03" w:rsidRPr="00401156" w:rsidRDefault="00726D03" w:rsidP="00936337">
      <w:pPr>
        <w:pStyle w:val="BodyText2"/>
        <w:bidi w:val="0"/>
        <w:spacing w:after="0" w:line="240" w:lineRule="auto"/>
        <w:jc w:val="both"/>
        <w:outlineLvl w:val="0"/>
        <w:rPr>
          <w:rFonts w:asciiTheme="majorBidi" w:hAnsiTheme="majorBidi" w:cstheme="majorBidi"/>
          <w:sz w:val="16"/>
          <w:szCs w:val="16"/>
        </w:rPr>
      </w:pPr>
    </w:p>
    <w:p w:rsidR="00A27453" w:rsidRPr="00401156" w:rsidRDefault="00A27453" w:rsidP="00A27453">
      <w:pPr>
        <w:pStyle w:val="BodyText2"/>
        <w:bidi w:val="0"/>
        <w:spacing w:after="0" w:line="240" w:lineRule="auto"/>
        <w:jc w:val="both"/>
        <w:outlineLvl w:val="0"/>
        <w:rPr>
          <w:rFonts w:asciiTheme="majorBidi" w:hAnsiTheme="majorBidi" w:cstheme="majorBidi"/>
          <w:sz w:val="26"/>
          <w:szCs w:val="26"/>
        </w:rPr>
      </w:pPr>
      <w:r w:rsidRPr="00401156">
        <w:rPr>
          <w:rFonts w:asciiTheme="majorBidi" w:hAnsiTheme="majorBidi" w:cstheme="majorBidi"/>
          <w:sz w:val="26"/>
          <w:szCs w:val="26"/>
        </w:rPr>
        <w:t>WPI for imported products (2007=100) reached 126.49 in the Fourth quarter 2021, which indicates an increase of 1.05% compared with the Third quarter 2021.</w:t>
      </w:r>
    </w:p>
    <w:p w:rsidR="00A27453" w:rsidRPr="00401156" w:rsidRDefault="00A27453" w:rsidP="00A27453">
      <w:pPr>
        <w:pStyle w:val="BodyText2"/>
        <w:bidi w:val="0"/>
        <w:spacing w:after="0" w:line="240" w:lineRule="auto"/>
        <w:jc w:val="both"/>
        <w:outlineLvl w:val="0"/>
        <w:rPr>
          <w:rFonts w:asciiTheme="majorBidi" w:hAnsiTheme="majorBidi" w:cstheme="majorBidi"/>
          <w:sz w:val="16"/>
          <w:szCs w:val="16"/>
        </w:rPr>
      </w:pPr>
    </w:p>
    <w:p w:rsidR="00936337" w:rsidRPr="00401156" w:rsidRDefault="00936337" w:rsidP="00A27453">
      <w:pPr>
        <w:pStyle w:val="BodyText2"/>
        <w:bidi w:val="0"/>
        <w:spacing w:after="0" w:line="240" w:lineRule="auto"/>
        <w:jc w:val="both"/>
        <w:outlineLvl w:val="0"/>
        <w:rPr>
          <w:rFonts w:asciiTheme="majorBidi" w:hAnsiTheme="majorBidi" w:cstheme="majorBidi"/>
          <w:sz w:val="26"/>
          <w:szCs w:val="26"/>
        </w:rPr>
      </w:pPr>
      <w:r w:rsidRPr="00401156">
        <w:rPr>
          <w:rFonts w:asciiTheme="majorBidi" w:hAnsiTheme="majorBidi" w:cstheme="majorBidi"/>
          <w:sz w:val="26"/>
          <w:szCs w:val="26"/>
        </w:rPr>
        <w:t xml:space="preserve">WPI for local products (2007=100) reached </w:t>
      </w:r>
      <w:r w:rsidR="00A27453" w:rsidRPr="00401156">
        <w:rPr>
          <w:rFonts w:asciiTheme="majorBidi" w:hAnsiTheme="majorBidi" w:cstheme="majorBidi"/>
          <w:sz w:val="26"/>
          <w:szCs w:val="26"/>
        </w:rPr>
        <w:t>132.43</w:t>
      </w:r>
      <w:r w:rsidRPr="00401156">
        <w:rPr>
          <w:rFonts w:asciiTheme="majorBidi" w:hAnsiTheme="majorBidi" w:cstheme="majorBidi"/>
          <w:sz w:val="26"/>
          <w:szCs w:val="26"/>
        </w:rPr>
        <w:t xml:space="preserve"> in the Fourth quarter </w:t>
      </w:r>
      <w:r w:rsidR="00A27453" w:rsidRPr="00401156">
        <w:rPr>
          <w:rFonts w:asciiTheme="majorBidi" w:hAnsiTheme="majorBidi" w:cstheme="majorBidi"/>
          <w:sz w:val="26"/>
          <w:szCs w:val="26"/>
        </w:rPr>
        <w:t>2021</w:t>
      </w:r>
      <w:r w:rsidRPr="00401156">
        <w:rPr>
          <w:rFonts w:asciiTheme="majorBidi" w:hAnsiTheme="majorBidi" w:cstheme="majorBidi"/>
          <w:sz w:val="26"/>
          <w:szCs w:val="26"/>
        </w:rPr>
        <w:t xml:space="preserve">, which indicates a decrease of </w:t>
      </w:r>
      <w:r w:rsidR="00A27453" w:rsidRPr="00401156">
        <w:rPr>
          <w:rFonts w:asciiTheme="majorBidi" w:hAnsiTheme="majorBidi" w:cstheme="majorBidi"/>
          <w:sz w:val="26"/>
          <w:szCs w:val="26"/>
        </w:rPr>
        <w:t>0.17</w:t>
      </w:r>
      <w:r w:rsidRPr="00401156">
        <w:rPr>
          <w:rFonts w:asciiTheme="majorBidi" w:hAnsiTheme="majorBidi" w:cstheme="majorBidi"/>
          <w:sz w:val="26"/>
          <w:szCs w:val="26"/>
        </w:rPr>
        <w:t xml:space="preserve">% compared with the Third quarter </w:t>
      </w:r>
      <w:r w:rsidR="00A27453" w:rsidRPr="00401156">
        <w:rPr>
          <w:rFonts w:asciiTheme="majorBidi" w:hAnsiTheme="majorBidi" w:cstheme="majorBidi"/>
          <w:sz w:val="26"/>
          <w:szCs w:val="26"/>
        </w:rPr>
        <w:t>2021</w:t>
      </w:r>
      <w:r w:rsidRPr="00401156">
        <w:rPr>
          <w:rFonts w:asciiTheme="majorBidi" w:hAnsiTheme="majorBidi" w:cstheme="majorBidi"/>
          <w:sz w:val="26"/>
          <w:szCs w:val="26"/>
        </w:rPr>
        <w:t xml:space="preserve">. </w:t>
      </w:r>
    </w:p>
    <w:p w:rsidR="00936337" w:rsidRPr="00401156" w:rsidRDefault="00936337" w:rsidP="00936337">
      <w:pPr>
        <w:pStyle w:val="BodyText2"/>
        <w:bidi w:val="0"/>
        <w:spacing w:after="0" w:line="240" w:lineRule="auto"/>
        <w:jc w:val="both"/>
        <w:outlineLvl w:val="0"/>
        <w:rPr>
          <w:rFonts w:asciiTheme="majorBidi" w:hAnsiTheme="majorBidi" w:cstheme="majorBidi"/>
          <w:sz w:val="16"/>
          <w:szCs w:val="16"/>
        </w:rPr>
      </w:pPr>
    </w:p>
    <w:p w:rsidR="00936337" w:rsidRPr="00401156" w:rsidRDefault="00936337" w:rsidP="009F537F">
      <w:pPr>
        <w:bidi w:val="0"/>
        <w:jc w:val="both"/>
        <w:rPr>
          <w:rFonts w:asciiTheme="majorBidi" w:hAnsiTheme="majorBidi" w:cstheme="majorBidi"/>
          <w:b/>
          <w:bCs/>
          <w:color w:val="FF0000"/>
          <w:sz w:val="26"/>
          <w:szCs w:val="26"/>
        </w:rPr>
      </w:pPr>
      <w:r w:rsidRPr="00401156">
        <w:rPr>
          <w:rFonts w:asciiTheme="majorBidi" w:hAnsiTheme="majorBidi" w:cstheme="majorBidi"/>
          <w:sz w:val="26"/>
          <w:szCs w:val="26"/>
        </w:rPr>
        <w:t xml:space="preserve">WPI for the </w:t>
      </w:r>
      <w:r w:rsidR="0033708C" w:rsidRPr="00401156">
        <w:rPr>
          <w:rFonts w:asciiTheme="majorBidi" w:hAnsiTheme="majorBidi" w:cstheme="majorBidi"/>
          <w:sz w:val="26"/>
          <w:szCs w:val="26"/>
        </w:rPr>
        <w:t>Fourth</w:t>
      </w:r>
      <w:r w:rsidRPr="00401156">
        <w:rPr>
          <w:rFonts w:asciiTheme="majorBidi" w:hAnsiTheme="majorBidi" w:cstheme="majorBidi"/>
          <w:sz w:val="26"/>
          <w:szCs w:val="26"/>
        </w:rPr>
        <w:t xml:space="preserve"> Quarter of </w:t>
      </w:r>
      <w:r w:rsidR="00A27453" w:rsidRPr="00401156">
        <w:rPr>
          <w:rFonts w:asciiTheme="majorBidi" w:hAnsiTheme="majorBidi" w:cstheme="majorBidi"/>
          <w:sz w:val="26"/>
          <w:szCs w:val="26"/>
        </w:rPr>
        <w:t>2021</w:t>
      </w:r>
      <w:r w:rsidRPr="00401156">
        <w:rPr>
          <w:rFonts w:asciiTheme="majorBidi" w:hAnsiTheme="majorBidi" w:cstheme="majorBidi"/>
          <w:sz w:val="26"/>
          <w:szCs w:val="26"/>
        </w:rPr>
        <w:t xml:space="preserve"> </w:t>
      </w:r>
      <w:r w:rsidR="00A27453" w:rsidRPr="00401156">
        <w:rPr>
          <w:rFonts w:asciiTheme="majorBidi" w:hAnsiTheme="majorBidi" w:cstheme="majorBidi"/>
          <w:sz w:val="26"/>
          <w:szCs w:val="26"/>
        </w:rPr>
        <w:t>in</w:t>
      </w:r>
      <w:r w:rsidRPr="00401156">
        <w:rPr>
          <w:rFonts w:asciiTheme="majorBidi" w:hAnsiTheme="majorBidi" w:cstheme="majorBidi"/>
          <w:sz w:val="26"/>
          <w:szCs w:val="26"/>
        </w:rPr>
        <w:t xml:space="preserve">creased due to the </w:t>
      </w:r>
      <w:r w:rsidR="00A27453" w:rsidRPr="00401156">
        <w:rPr>
          <w:rFonts w:asciiTheme="majorBidi" w:hAnsiTheme="majorBidi" w:cstheme="majorBidi"/>
          <w:sz w:val="26"/>
          <w:szCs w:val="26"/>
        </w:rPr>
        <w:t>in</w:t>
      </w:r>
      <w:r w:rsidRPr="00401156">
        <w:rPr>
          <w:rFonts w:asciiTheme="majorBidi" w:hAnsiTheme="majorBidi" w:cstheme="majorBidi"/>
          <w:sz w:val="26"/>
          <w:szCs w:val="26"/>
        </w:rPr>
        <w:t>crease in the</w:t>
      </w:r>
      <w:r w:rsidRPr="00401156">
        <w:rPr>
          <w:rFonts w:asciiTheme="majorBidi" w:hAnsiTheme="majorBidi" w:cstheme="majorBidi"/>
          <w:b/>
          <w:bCs/>
          <w:sz w:val="26"/>
          <w:szCs w:val="26"/>
        </w:rPr>
        <w:t xml:space="preserve"> activities of </w:t>
      </w:r>
      <w:r w:rsidR="00A27453" w:rsidRPr="00401156">
        <w:rPr>
          <w:rFonts w:asciiTheme="majorBidi" w:hAnsiTheme="majorBidi" w:cstheme="majorBidi"/>
          <w:b/>
          <w:bCs/>
          <w:sz w:val="26"/>
          <w:szCs w:val="26"/>
        </w:rPr>
        <w:t xml:space="preserve">Manufacturing </w:t>
      </w:r>
      <w:r w:rsidRPr="00401156">
        <w:rPr>
          <w:rFonts w:asciiTheme="majorBidi" w:hAnsiTheme="majorBidi" w:cstheme="majorBidi"/>
          <w:sz w:val="26"/>
          <w:szCs w:val="26"/>
        </w:rPr>
        <w:t xml:space="preserve">by </w:t>
      </w:r>
      <w:r w:rsidR="009F537F" w:rsidRPr="00401156">
        <w:rPr>
          <w:rFonts w:asciiTheme="majorBidi" w:hAnsiTheme="majorBidi" w:cstheme="majorBidi"/>
          <w:sz w:val="26"/>
          <w:szCs w:val="26"/>
        </w:rPr>
        <w:t>0.97</w:t>
      </w:r>
      <w:r w:rsidRPr="00401156">
        <w:rPr>
          <w:rFonts w:asciiTheme="majorBidi" w:hAnsiTheme="majorBidi" w:cstheme="majorBidi"/>
          <w:sz w:val="26"/>
          <w:szCs w:val="26"/>
        </w:rPr>
        <w:t>%</w:t>
      </w:r>
      <w:r w:rsidRPr="00401156">
        <w:rPr>
          <w:rFonts w:asciiTheme="majorBidi" w:hAnsiTheme="majorBidi" w:cstheme="majorBidi"/>
          <w:snapToGrid w:val="0"/>
          <w:color w:val="000000"/>
          <w:sz w:val="26"/>
          <w:szCs w:val="26"/>
        </w:rPr>
        <w:t xml:space="preserve">, </w:t>
      </w:r>
      <w:r w:rsidR="009F537F" w:rsidRPr="00401156">
        <w:rPr>
          <w:rFonts w:asciiTheme="majorBidi" w:hAnsiTheme="majorBidi" w:cstheme="majorBidi"/>
          <w:snapToGrid w:val="0"/>
          <w:color w:val="000000"/>
          <w:sz w:val="26"/>
          <w:szCs w:val="26"/>
        </w:rPr>
        <w:t xml:space="preserve">and </w:t>
      </w:r>
      <w:r w:rsidRPr="00401156">
        <w:rPr>
          <w:rFonts w:asciiTheme="majorBidi" w:hAnsiTheme="majorBidi" w:cstheme="majorBidi"/>
          <w:snapToGrid w:val="0"/>
          <w:color w:val="000000"/>
          <w:sz w:val="26"/>
          <w:szCs w:val="26"/>
        </w:rPr>
        <w:t xml:space="preserve">the </w:t>
      </w:r>
      <w:r w:rsidRPr="00401156">
        <w:rPr>
          <w:rFonts w:asciiTheme="majorBidi" w:hAnsiTheme="majorBidi" w:cstheme="majorBidi"/>
          <w:b/>
          <w:bCs/>
          <w:sz w:val="26"/>
          <w:szCs w:val="26"/>
        </w:rPr>
        <w:t xml:space="preserve">activities of Mining and Quarrying </w:t>
      </w:r>
      <w:r w:rsidRPr="00401156">
        <w:rPr>
          <w:rFonts w:asciiTheme="majorBidi" w:hAnsiTheme="majorBidi" w:cstheme="majorBidi"/>
          <w:sz w:val="26"/>
          <w:szCs w:val="26"/>
        </w:rPr>
        <w:t xml:space="preserve">by </w:t>
      </w:r>
      <w:r w:rsidR="009F537F" w:rsidRPr="00401156">
        <w:rPr>
          <w:rFonts w:asciiTheme="majorBidi" w:hAnsiTheme="majorBidi" w:cstheme="majorBidi"/>
          <w:sz w:val="26"/>
          <w:szCs w:val="26"/>
        </w:rPr>
        <w:t>0.25</w:t>
      </w:r>
      <w:r w:rsidRPr="00401156">
        <w:rPr>
          <w:rFonts w:asciiTheme="majorBidi" w:hAnsiTheme="majorBidi" w:cstheme="majorBidi"/>
          <w:sz w:val="26"/>
          <w:szCs w:val="26"/>
        </w:rPr>
        <w:t xml:space="preserve">%, </w:t>
      </w:r>
      <w:r w:rsidR="0033708C" w:rsidRPr="00401156">
        <w:rPr>
          <w:rFonts w:asciiTheme="majorBidi" w:hAnsiTheme="majorBidi" w:cstheme="majorBidi"/>
          <w:sz w:val="26"/>
          <w:szCs w:val="26"/>
        </w:rPr>
        <w:t>while</w:t>
      </w:r>
      <w:r w:rsidRPr="00401156">
        <w:rPr>
          <w:rFonts w:asciiTheme="majorBidi" w:hAnsiTheme="majorBidi" w:cstheme="majorBidi"/>
          <w:sz w:val="26"/>
          <w:szCs w:val="26"/>
        </w:rPr>
        <w:t xml:space="preserve"> the</w:t>
      </w:r>
      <w:r w:rsidRPr="00401156">
        <w:rPr>
          <w:rFonts w:asciiTheme="majorBidi" w:hAnsiTheme="majorBidi" w:cstheme="majorBidi"/>
          <w:b/>
          <w:bCs/>
          <w:sz w:val="26"/>
          <w:szCs w:val="26"/>
        </w:rPr>
        <w:t xml:space="preserve"> activities of </w:t>
      </w:r>
      <w:r w:rsidR="0033708C" w:rsidRPr="00401156">
        <w:rPr>
          <w:rFonts w:asciiTheme="majorBidi" w:hAnsiTheme="majorBidi" w:cstheme="majorBidi"/>
          <w:b/>
          <w:bCs/>
          <w:sz w:val="26"/>
          <w:szCs w:val="26"/>
        </w:rPr>
        <w:t>Fishing</w:t>
      </w:r>
      <w:r w:rsidR="0033708C" w:rsidRPr="00401156">
        <w:rPr>
          <w:rFonts w:asciiTheme="majorBidi" w:hAnsiTheme="majorBidi" w:cstheme="majorBidi"/>
          <w:sz w:val="26"/>
          <w:szCs w:val="26"/>
        </w:rPr>
        <w:t xml:space="preserve"> </w:t>
      </w:r>
      <w:r w:rsidR="009F537F" w:rsidRPr="00401156">
        <w:rPr>
          <w:rFonts w:asciiTheme="majorBidi" w:hAnsiTheme="majorBidi" w:cstheme="majorBidi"/>
          <w:sz w:val="26"/>
          <w:szCs w:val="26"/>
        </w:rPr>
        <w:t>de</w:t>
      </w:r>
      <w:r w:rsidR="0033708C" w:rsidRPr="00401156">
        <w:rPr>
          <w:rFonts w:asciiTheme="majorBidi" w:hAnsiTheme="majorBidi" w:cstheme="majorBidi"/>
          <w:sz w:val="26"/>
          <w:szCs w:val="26"/>
        </w:rPr>
        <w:t xml:space="preserve">creased </w:t>
      </w:r>
      <w:r w:rsidRPr="00401156">
        <w:rPr>
          <w:rFonts w:asciiTheme="majorBidi" w:hAnsiTheme="majorBidi" w:cstheme="majorBidi"/>
          <w:sz w:val="26"/>
          <w:szCs w:val="26"/>
        </w:rPr>
        <w:t xml:space="preserve">by </w:t>
      </w:r>
      <w:r w:rsidR="009F537F" w:rsidRPr="00401156">
        <w:rPr>
          <w:rFonts w:asciiTheme="majorBidi" w:hAnsiTheme="majorBidi" w:cstheme="majorBidi"/>
          <w:sz w:val="26"/>
          <w:szCs w:val="26"/>
        </w:rPr>
        <w:t>9.45</w:t>
      </w:r>
      <w:r w:rsidRPr="00401156">
        <w:rPr>
          <w:rFonts w:asciiTheme="majorBidi" w:hAnsiTheme="majorBidi" w:cstheme="majorBidi"/>
          <w:sz w:val="26"/>
          <w:szCs w:val="26"/>
        </w:rPr>
        <w:t>%</w:t>
      </w:r>
      <w:r w:rsidR="009F537F" w:rsidRPr="00401156">
        <w:rPr>
          <w:rFonts w:asciiTheme="majorBidi" w:hAnsiTheme="majorBidi" w:cstheme="majorBidi"/>
          <w:sz w:val="26"/>
          <w:szCs w:val="26"/>
        </w:rPr>
        <w:t>,</w:t>
      </w:r>
      <w:r w:rsidR="009F537F" w:rsidRPr="00401156">
        <w:rPr>
          <w:rFonts w:asciiTheme="majorBidi" w:hAnsiTheme="majorBidi" w:cstheme="majorBidi"/>
          <w:b/>
          <w:bCs/>
          <w:color w:val="FF0000"/>
          <w:sz w:val="26"/>
          <w:szCs w:val="26"/>
        </w:rPr>
        <w:t xml:space="preserve"> </w:t>
      </w:r>
      <w:r w:rsidR="009F537F" w:rsidRPr="00401156">
        <w:rPr>
          <w:rFonts w:asciiTheme="majorBidi" w:hAnsiTheme="majorBidi" w:cstheme="majorBidi"/>
          <w:sz w:val="26"/>
          <w:szCs w:val="26"/>
        </w:rPr>
        <w:t xml:space="preserve">and the </w:t>
      </w:r>
      <w:r w:rsidR="009F537F" w:rsidRPr="00401156">
        <w:rPr>
          <w:rFonts w:asciiTheme="majorBidi" w:hAnsiTheme="majorBidi" w:cstheme="majorBidi"/>
          <w:b/>
          <w:bCs/>
          <w:sz w:val="26"/>
          <w:szCs w:val="26"/>
        </w:rPr>
        <w:t>activities of Agriculture</w:t>
      </w:r>
      <w:r w:rsidR="005518A9" w:rsidRPr="00401156">
        <w:rPr>
          <w:rFonts w:asciiTheme="majorBidi" w:hAnsiTheme="majorBidi" w:cstheme="majorBidi"/>
          <w:b/>
          <w:bCs/>
          <w:sz w:val="26"/>
          <w:szCs w:val="26"/>
        </w:rPr>
        <w:t xml:space="preserve"> decreased</w:t>
      </w:r>
      <w:r w:rsidR="009F537F" w:rsidRPr="00401156">
        <w:rPr>
          <w:rFonts w:asciiTheme="majorBidi" w:hAnsiTheme="majorBidi" w:cstheme="majorBidi"/>
          <w:sz w:val="26"/>
          <w:szCs w:val="26"/>
        </w:rPr>
        <w:t xml:space="preserve"> by 0.96%.</w:t>
      </w:r>
    </w:p>
    <w:p w:rsidR="00677C79" w:rsidRDefault="00677C79" w:rsidP="00677C79">
      <w:pPr>
        <w:autoSpaceDE w:val="0"/>
        <w:autoSpaceDN w:val="0"/>
        <w:bidi w:val="0"/>
        <w:adjustRightInd w:val="0"/>
        <w:jc w:val="both"/>
        <w:rPr>
          <w:rFonts w:asciiTheme="majorBidi" w:hAnsiTheme="majorBidi" w:cstheme="majorBidi"/>
          <w:snapToGrid w:val="0"/>
          <w:sz w:val="16"/>
          <w:szCs w:val="16"/>
        </w:rPr>
      </w:pPr>
    </w:p>
    <w:p w:rsidR="00401156" w:rsidRDefault="00401156" w:rsidP="00401156">
      <w:pPr>
        <w:autoSpaceDE w:val="0"/>
        <w:autoSpaceDN w:val="0"/>
        <w:bidi w:val="0"/>
        <w:adjustRightInd w:val="0"/>
        <w:jc w:val="both"/>
        <w:rPr>
          <w:rFonts w:asciiTheme="majorBidi" w:hAnsiTheme="majorBidi" w:cstheme="majorBidi"/>
          <w:snapToGrid w:val="0"/>
          <w:sz w:val="16"/>
          <w:szCs w:val="16"/>
        </w:rPr>
      </w:pPr>
    </w:p>
    <w:p w:rsidR="00A12287" w:rsidRDefault="00A12287" w:rsidP="00401156">
      <w:pPr>
        <w:autoSpaceDE w:val="0"/>
        <w:autoSpaceDN w:val="0"/>
        <w:bidi w:val="0"/>
        <w:adjustRightInd w:val="0"/>
        <w:jc w:val="center"/>
        <w:rPr>
          <w:rFonts w:asciiTheme="majorBidi" w:hAnsiTheme="majorBidi" w:cstheme="majorBidi"/>
          <w:b/>
          <w:bCs/>
          <w:snapToGrid w:val="0"/>
          <w:sz w:val="26"/>
          <w:szCs w:val="26"/>
        </w:rPr>
      </w:pPr>
    </w:p>
    <w:p w:rsidR="00A12287" w:rsidRDefault="00A12287" w:rsidP="00A12287">
      <w:pPr>
        <w:autoSpaceDE w:val="0"/>
        <w:autoSpaceDN w:val="0"/>
        <w:bidi w:val="0"/>
        <w:adjustRightInd w:val="0"/>
        <w:jc w:val="center"/>
        <w:rPr>
          <w:rFonts w:asciiTheme="majorBidi" w:hAnsiTheme="majorBidi" w:cstheme="majorBidi"/>
          <w:b/>
          <w:bCs/>
          <w:snapToGrid w:val="0"/>
          <w:sz w:val="26"/>
          <w:szCs w:val="26"/>
        </w:rPr>
      </w:pPr>
    </w:p>
    <w:p w:rsidR="00401156" w:rsidRDefault="006507EC" w:rsidP="00A12287">
      <w:pPr>
        <w:autoSpaceDE w:val="0"/>
        <w:autoSpaceDN w:val="0"/>
        <w:bidi w:val="0"/>
        <w:adjustRightInd w:val="0"/>
        <w:jc w:val="center"/>
        <w:rPr>
          <w:rFonts w:asciiTheme="majorBidi" w:hAnsiTheme="majorBidi" w:cstheme="majorBidi"/>
          <w:b/>
          <w:bCs/>
          <w:snapToGrid w:val="0"/>
          <w:sz w:val="26"/>
          <w:szCs w:val="26"/>
        </w:rPr>
      </w:pPr>
      <w:r w:rsidRPr="00401156">
        <w:rPr>
          <w:rFonts w:asciiTheme="majorBidi" w:hAnsiTheme="majorBidi" w:cstheme="majorBidi"/>
          <w:b/>
          <w:bCs/>
          <w:snapToGrid w:val="0"/>
          <w:sz w:val="26"/>
          <w:szCs w:val="26"/>
        </w:rPr>
        <w:t>The t</w:t>
      </w:r>
      <w:r w:rsidR="0066695A" w:rsidRPr="00401156">
        <w:rPr>
          <w:rFonts w:asciiTheme="majorBidi" w:hAnsiTheme="majorBidi" w:cstheme="majorBidi"/>
          <w:b/>
          <w:bCs/>
          <w:snapToGrid w:val="0"/>
          <w:sz w:val="26"/>
          <w:szCs w:val="26"/>
        </w:rPr>
        <w:t>able shows the relative share and the quarterly percent changes in WPI by</w:t>
      </w:r>
    </w:p>
    <w:p w:rsidR="0066695A" w:rsidRPr="00401156" w:rsidRDefault="00401156" w:rsidP="00401156">
      <w:pPr>
        <w:autoSpaceDE w:val="0"/>
        <w:autoSpaceDN w:val="0"/>
        <w:bidi w:val="0"/>
        <w:adjustRightInd w:val="0"/>
        <w:jc w:val="center"/>
        <w:rPr>
          <w:rFonts w:asciiTheme="majorBidi" w:hAnsiTheme="majorBidi" w:cstheme="majorBidi"/>
          <w:b/>
          <w:bCs/>
          <w:sz w:val="26"/>
          <w:szCs w:val="26"/>
        </w:rPr>
      </w:pPr>
      <w:r w:rsidRPr="00401156">
        <w:rPr>
          <w:rFonts w:asciiTheme="majorBidi" w:hAnsiTheme="majorBidi" w:cstheme="majorBidi"/>
          <w:b/>
          <w:bCs/>
          <w:snapToGrid w:val="0"/>
          <w:sz w:val="26"/>
          <w:szCs w:val="26"/>
        </w:rPr>
        <w:t>Major</w:t>
      </w:r>
      <w:r w:rsidR="0066695A" w:rsidRPr="00401156">
        <w:rPr>
          <w:rFonts w:asciiTheme="majorBidi" w:hAnsiTheme="majorBidi" w:cstheme="majorBidi"/>
          <w:b/>
          <w:bCs/>
          <w:snapToGrid w:val="0"/>
          <w:sz w:val="26"/>
          <w:szCs w:val="26"/>
        </w:rPr>
        <w:t xml:space="preserve"> activities in Palestine for</w:t>
      </w:r>
      <w:r w:rsidR="000E048A" w:rsidRPr="00401156">
        <w:rPr>
          <w:rFonts w:asciiTheme="majorBidi" w:hAnsiTheme="majorBidi" w:cstheme="majorBidi"/>
          <w:b/>
          <w:bCs/>
          <w:snapToGrid w:val="0"/>
          <w:color w:val="000000"/>
          <w:sz w:val="26"/>
          <w:szCs w:val="26"/>
        </w:rPr>
        <w:t xml:space="preserve"> the period</w:t>
      </w:r>
      <w:r w:rsidR="00AF79AE" w:rsidRPr="00401156">
        <w:rPr>
          <w:rFonts w:asciiTheme="majorBidi" w:hAnsiTheme="majorBidi" w:cstheme="majorBidi"/>
          <w:b/>
          <w:bCs/>
          <w:snapToGrid w:val="0"/>
          <w:color w:val="000000"/>
          <w:sz w:val="26"/>
          <w:szCs w:val="26"/>
        </w:rPr>
        <w:t>:</w:t>
      </w:r>
      <w:r w:rsidR="000A30A5" w:rsidRPr="00401156">
        <w:rPr>
          <w:rFonts w:asciiTheme="majorBidi" w:hAnsiTheme="majorBidi" w:cstheme="majorBidi"/>
          <w:b/>
          <w:bCs/>
          <w:snapToGrid w:val="0"/>
          <w:sz w:val="26"/>
          <w:szCs w:val="26"/>
        </w:rPr>
        <w:t xml:space="preserve"> </w:t>
      </w:r>
      <w:r w:rsidR="00DF74E6" w:rsidRPr="00401156">
        <w:rPr>
          <w:rFonts w:asciiTheme="majorBidi" w:hAnsiTheme="majorBidi" w:cstheme="majorBidi"/>
          <w:b/>
          <w:bCs/>
          <w:snapToGrid w:val="0"/>
          <w:sz w:val="26"/>
          <w:szCs w:val="26"/>
        </w:rPr>
        <w:t>F</w:t>
      </w:r>
      <w:r w:rsidR="006B279C" w:rsidRPr="00401156">
        <w:rPr>
          <w:rFonts w:asciiTheme="majorBidi" w:hAnsiTheme="majorBidi" w:cstheme="majorBidi"/>
          <w:b/>
          <w:bCs/>
          <w:snapToGrid w:val="0"/>
          <w:sz w:val="26"/>
          <w:szCs w:val="26"/>
        </w:rPr>
        <w:t>irst</w:t>
      </w:r>
      <w:r w:rsidR="000A3D33" w:rsidRPr="00401156">
        <w:rPr>
          <w:rFonts w:asciiTheme="majorBidi" w:hAnsiTheme="majorBidi" w:cstheme="majorBidi"/>
          <w:b/>
          <w:bCs/>
          <w:snapToGrid w:val="0"/>
          <w:sz w:val="26"/>
          <w:szCs w:val="26"/>
        </w:rPr>
        <w:t xml:space="preserve"> </w:t>
      </w:r>
      <w:r w:rsidR="006B279C" w:rsidRPr="00401156">
        <w:rPr>
          <w:rFonts w:asciiTheme="majorBidi" w:hAnsiTheme="majorBidi" w:cstheme="majorBidi"/>
          <w:b/>
          <w:bCs/>
          <w:snapToGrid w:val="0"/>
          <w:sz w:val="26"/>
          <w:szCs w:val="26"/>
        </w:rPr>
        <w:t xml:space="preserve">- </w:t>
      </w:r>
      <w:r w:rsidR="006B279C" w:rsidRPr="00401156">
        <w:rPr>
          <w:rFonts w:asciiTheme="majorBidi" w:hAnsiTheme="majorBidi" w:cstheme="majorBidi"/>
          <w:b/>
          <w:bCs/>
          <w:sz w:val="26"/>
          <w:szCs w:val="26"/>
        </w:rPr>
        <w:t>Fourth</w:t>
      </w:r>
      <w:r w:rsidR="000A30A5" w:rsidRPr="00401156">
        <w:rPr>
          <w:rFonts w:asciiTheme="majorBidi" w:hAnsiTheme="majorBidi" w:cstheme="majorBidi"/>
          <w:b/>
          <w:bCs/>
          <w:sz w:val="26"/>
          <w:szCs w:val="26"/>
        </w:rPr>
        <w:t xml:space="preserve"> </w:t>
      </w:r>
      <w:r w:rsidR="0066695A" w:rsidRPr="00401156">
        <w:rPr>
          <w:rFonts w:asciiTheme="majorBidi" w:hAnsiTheme="majorBidi" w:cstheme="majorBidi"/>
          <w:b/>
          <w:bCs/>
          <w:snapToGrid w:val="0"/>
          <w:sz w:val="26"/>
          <w:szCs w:val="26"/>
        </w:rPr>
        <w:t xml:space="preserve">quarter </w:t>
      </w:r>
      <w:r w:rsidR="009F537F" w:rsidRPr="00401156">
        <w:rPr>
          <w:rFonts w:asciiTheme="majorBidi" w:hAnsiTheme="majorBidi" w:cstheme="majorBidi"/>
          <w:b/>
          <w:bCs/>
          <w:snapToGrid w:val="0"/>
          <w:sz w:val="26"/>
          <w:szCs w:val="26"/>
        </w:rPr>
        <w:t>2021</w:t>
      </w:r>
    </w:p>
    <w:p w:rsidR="00647C1C" w:rsidRPr="00401156" w:rsidRDefault="00647C1C" w:rsidP="00401156">
      <w:pPr>
        <w:autoSpaceDE w:val="0"/>
        <w:autoSpaceDN w:val="0"/>
        <w:bidi w:val="0"/>
        <w:adjustRightInd w:val="0"/>
        <w:jc w:val="center"/>
        <w:rPr>
          <w:rFonts w:asciiTheme="majorBidi" w:hAnsiTheme="majorBidi" w:cstheme="majorBidi"/>
          <w:sz w:val="8"/>
          <w:szCs w:val="8"/>
        </w:rPr>
      </w:pPr>
    </w:p>
    <w:tbl>
      <w:tblPr>
        <w:tblpPr w:leftFromText="180" w:rightFromText="180" w:vertAnchor="text" w:horzAnchor="page" w:tblpXSpec="center" w:tblpY="70"/>
        <w:tblW w:w="6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2"/>
        <w:gridCol w:w="1087"/>
        <w:gridCol w:w="896"/>
        <w:gridCol w:w="897"/>
        <w:gridCol w:w="897"/>
        <w:gridCol w:w="899"/>
      </w:tblGrid>
      <w:tr w:rsidR="006177C1" w:rsidRPr="00401156" w:rsidTr="00401156">
        <w:trPr>
          <w:trHeight w:val="217"/>
        </w:trPr>
        <w:tc>
          <w:tcPr>
            <w:tcW w:w="1742" w:type="dxa"/>
            <w:vMerge w:val="restart"/>
            <w:vAlign w:val="center"/>
          </w:tcPr>
          <w:p w:rsidR="006177C1" w:rsidRPr="00401156" w:rsidRDefault="006177C1" w:rsidP="006177C1">
            <w:pPr>
              <w:autoSpaceDE w:val="0"/>
              <w:autoSpaceDN w:val="0"/>
              <w:bidi w:val="0"/>
              <w:adjustRightInd w:val="0"/>
              <w:ind w:right="-116"/>
              <w:jc w:val="center"/>
              <w:rPr>
                <w:rFonts w:asciiTheme="majorBidi" w:hAnsiTheme="majorBidi" w:cstheme="majorBidi"/>
                <w:b/>
                <w:bCs/>
                <w:snapToGrid w:val="0"/>
              </w:rPr>
            </w:pPr>
            <w:r w:rsidRPr="00401156">
              <w:rPr>
                <w:rFonts w:asciiTheme="majorBidi" w:hAnsiTheme="majorBidi" w:cstheme="majorBidi"/>
                <w:b/>
                <w:bCs/>
                <w:snapToGrid w:val="0"/>
              </w:rPr>
              <w:t>Major Activities</w:t>
            </w:r>
          </w:p>
        </w:tc>
        <w:tc>
          <w:tcPr>
            <w:tcW w:w="1087" w:type="dxa"/>
            <w:vMerge w:val="restart"/>
            <w:vAlign w:val="center"/>
          </w:tcPr>
          <w:p w:rsidR="006177C1" w:rsidRPr="00401156" w:rsidRDefault="006177C1" w:rsidP="006177C1">
            <w:pPr>
              <w:autoSpaceDE w:val="0"/>
              <w:autoSpaceDN w:val="0"/>
              <w:bidi w:val="0"/>
              <w:adjustRightInd w:val="0"/>
              <w:ind w:left="-100" w:right="-200"/>
              <w:jc w:val="center"/>
              <w:rPr>
                <w:rFonts w:asciiTheme="majorBidi" w:hAnsiTheme="majorBidi" w:cstheme="majorBidi"/>
                <w:b/>
                <w:bCs/>
                <w:snapToGrid w:val="0"/>
              </w:rPr>
            </w:pPr>
            <w:r w:rsidRPr="00401156">
              <w:rPr>
                <w:rFonts w:asciiTheme="majorBidi" w:hAnsiTheme="majorBidi" w:cstheme="majorBidi"/>
                <w:b/>
                <w:bCs/>
                <w:snapToGrid w:val="0"/>
              </w:rPr>
              <w:t>Relative Share %</w:t>
            </w:r>
          </w:p>
        </w:tc>
        <w:tc>
          <w:tcPr>
            <w:tcW w:w="3589" w:type="dxa"/>
            <w:gridSpan w:val="4"/>
            <w:vAlign w:val="center"/>
          </w:tcPr>
          <w:p w:rsidR="006177C1" w:rsidRPr="00401156" w:rsidRDefault="006177C1" w:rsidP="006177C1">
            <w:pPr>
              <w:autoSpaceDE w:val="0"/>
              <w:autoSpaceDN w:val="0"/>
              <w:bidi w:val="0"/>
              <w:adjustRightInd w:val="0"/>
              <w:jc w:val="center"/>
              <w:rPr>
                <w:rFonts w:asciiTheme="majorBidi" w:hAnsiTheme="majorBidi" w:cstheme="majorBidi"/>
                <w:b/>
                <w:bCs/>
                <w:snapToGrid w:val="0"/>
              </w:rPr>
            </w:pPr>
            <w:r w:rsidRPr="00401156">
              <w:rPr>
                <w:rFonts w:asciiTheme="majorBidi" w:hAnsiTheme="majorBidi" w:cstheme="majorBidi"/>
                <w:b/>
                <w:bCs/>
                <w:snapToGrid w:val="0"/>
              </w:rPr>
              <w:t>Quarterly Percent Change</w:t>
            </w:r>
          </w:p>
        </w:tc>
      </w:tr>
      <w:tr w:rsidR="006B279C" w:rsidRPr="00401156" w:rsidTr="00401156">
        <w:trPr>
          <w:trHeight w:val="130"/>
        </w:trPr>
        <w:tc>
          <w:tcPr>
            <w:tcW w:w="1742" w:type="dxa"/>
            <w:vMerge/>
            <w:vAlign w:val="center"/>
          </w:tcPr>
          <w:p w:rsidR="006B279C" w:rsidRPr="00401156" w:rsidRDefault="006B279C" w:rsidP="006177C1">
            <w:pPr>
              <w:bidi w:val="0"/>
              <w:ind w:right="-116"/>
              <w:jc w:val="center"/>
              <w:rPr>
                <w:rFonts w:asciiTheme="majorBidi" w:hAnsiTheme="majorBidi" w:cstheme="majorBidi"/>
                <w:b/>
                <w:bCs/>
              </w:rPr>
            </w:pPr>
          </w:p>
        </w:tc>
        <w:tc>
          <w:tcPr>
            <w:tcW w:w="1087" w:type="dxa"/>
            <w:vMerge/>
            <w:vAlign w:val="center"/>
          </w:tcPr>
          <w:p w:rsidR="006B279C" w:rsidRPr="00401156" w:rsidRDefault="006B279C" w:rsidP="006177C1">
            <w:pPr>
              <w:autoSpaceDE w:val="0"/>
              <w:autoSpaceDN w:val="0"/>
              <w:bidi w:val="0"/>
              <w:adjustRightInd w:val="0"/>
              <w:ind w:left="-100"/>
              <w:jc w:val="center"/>
              <w:rPr>
                <w:rFonts w:asciiTheme="majorBidi" w:hAnsiTheme="majorBidi" w:cstheme="majorBidi"/>
                <w:b/>
                <w:bCs/>
                <w:snapToGrid w:val="0"/>
              </w:rPr>
            </w:pPr>
          </w:p>
        </w:tc>
        <w:tc>
          <w:tcPr>
            <w:tcW w:w="3589" w:type="dxa"/>
            <w:gridSpan w:val="4"/>
            <w:vAlign w:val="center"/>
          </w:tcPr>
          <w:p w:rsidR="006B279C" w:rsidRPr="00401156" w:rsidRDefault="005518A9" w:rsidP="006177C1">
            <w:pPr>
              <w:autoSpaceDE w:val="0"/>
              <w:autoSpaceDN w:val="0"/>
              <w:bidi w:val="0"/>
              <w:adjustRightInd w:val="0"/>
              <w:jc w:val="center"/>
              <w:rPr>
                <w:rFonts w:asciiTheme="majorBidi" w:hAnsiTheme="majorBidi" w:cstheme="majorBidi"/>
                <w:b/>
                <w:bCs/>
                <w:snapToGrid w:val="0"/>
              </w:rPr>
            </w:pPr>
            <w:r w:rsidRPr="00401156">
              <w:rPr>
                <w:rFonts w:asciiTheme="majorBidi" w:hAnsiTheme="majorBidi" w:cstheme="majorBidi"/>
                <w:b/>
                <w:bCs/>
                <w:snapToGrid w:val="0"/>
              </w:rPr>
              <w:t>2021</w:t>
            </w:r>
          </w:p>
        </w:tc>
      </w:tr>
      <w:tr w:rsidR="006B279C" w:rsidRPr="00401156" w:rsidTr="00401156">
        <w:trPr>
          <w:trHeight w:val="130"/>
        </w:trPr>
        <w:tc>
          <w:tcPr>
            <w:tcW w:w="1742" w:type="dxa"/>
            <w:vMerge/>
            <w:vAlign w:val="center"/>
          </w:tcPr>
          <w:p w:rsidR="006B279C" w:rsidRPr="00401156" w:rsidRDefault="006B279C" w:rsidP="006B279C">
            <w:pPr>
              <w:bidi w:val="0"/>
              <w:ind w:right="-116"/>
              <w:jc w:val="center"/>
              <w:rPr>
                <w:rFonts w:asciiTheme="majorBidi" w:hAnsiTheme="majorBidi" w:cstheme="majorBidi"/>
                <w:b/>
                <w:bCs/>
              </w:rPr>
            </w:pPr>
          </w:p>
        </w:tc>
        <w:tc>
          <w:tcPr>
            <w:tcW w:w="1087" w:type="dxa"/>
            <w:vMerge/>
            <w:vAlign w:val="center"/>
          </w:tcPr>
          <w:p w:rsidR="006B279C" w:rsidRPr="00401156" w:rsidRDefault="006B279C" w:rsidP="006B279C">
            <w:pPr>
              <w:autoSpaceDE w:val="0"/>
              <w:autoSpaceDN w:val="0"/>
              <w:bidi w:val="0"/>
              <w:adjustRightInd w:val="0"/>
              <w:ind w:left="-100"/>
              <w:jc w:val="center"/>
              <w:rPr>
                <w:rFonts w:asciiTheme="majorBidi" w:hAnsiTheme="majorBidi" w:cstheme="majorBidi"/>
                <w:b/>
                <w:bCs/>
                <w:snapToGrid w:val="0"/>
              </w:rPr>
            </w:pPr>
          </w:p>
        </w:tc>
        <w:tc>
          <w:tcPr>
            <w:tcW w:w="896" w:type="dxa"/>
          </w:tcPr>
          <w:p w:rsidR="006B279C" w:rsidRPr="00401156" w:rsidRDefault="006B279C" w:rsidP="006B279C">
            <w:pPr>
              <w:autoSpaceDE w:val="0"/>
              <w:autoSpaceDN w:val="0"/>
              <w:bidi w:val="0"/>
              <w:adjustRightInd w:val="0"/>
              <w:jc w:val="center"/>
              <w:rPr>
                <w:rFonts w:asciiTheme="majorBidi" w:hAnsiTheme="majorBidi" w:cstheme="majorBidi"/>
                <w:b/>
                <w:bCs/>
                <w:snapToGrid w:val="0"/>
              </w:rPr>
            </w:pPr>
            <w:r w:rsidRPr="00401156">
              <w:rPr>
                <w:rFonts w:asciiTheme="majorBidi" w:hAnsiTheme="majorBidi" w:cstheme="majorBidi"/>
                <w:b/>
                <w:bCs/>
                <w:snapToGrid w:val="0"/>
              </w:rPr>
              <w:t>Q</w:t>
            </w:r>
            <w:r w:rsidRPr="00401156">
              <w:rPr>
                <w:rFonts w:asciiTheme="majorBidi" w:hAnsiTheme="majorBidi" w:cstheme="majorBidi"/>
                <w:b/>
                <w:bCs/>
                <w:snapToGrid w:val="0"/>
                <w:rtl/>
              </w:rPr>
              <w:t>1</w:t>
            </w:r>
          </w:p>
        </w:tc>
        <w:tc>
          <w:tcPr>
            <w:tcW w:w="897" w:type="dxa"/>
          </w:tcPr>
          <w:p w:rsidR="006B279C" w:rsidRPr="00401156" w:rsidRDefault="006B279C" w:rsidP="006B279C">
            <w:pPr>
              <w:autoSpaceDE w:val="0"/>
              <w:autoSpaceDN w:val="0"/>
              <w:bidi w:val="0"/>
              <w:adjustRightInd w:val="0"/>
              <w:jc w:val="center"/>
              <w:rPr>
                <w:rFonts w:asciiTheme="majorBidi" w:hAnsiTheme="majorBidi" w:cstheme="majorBidi"/>
                <w:b/>
                <w:bCs/>
                <w:snapToGrid w:val="0"/>
              </w:rPr>
            </w:pPr>
            <w:r w:rsidRPr="00401156">
              <w:rPr>
                <w:rFonts w:asciiTheme="majorBidi" w:hAnsiTheme="majorBidi" w:cstheme="majorBidi"/>
                <w:b/>
                <w:bCs/>
                <w:snapToGrid w:val="0"/>
              </w:rPr>
              <w:t>Q2</w:t>
            </w:r>
          </w:p>
        </w:tc>
        <w:tc>
          <w:tcPr>
            <w:tcW w:w="897" w:type="dxa"/>
          </w:tcPr>
          <w:p w:rsidR="006B279C" w:rsidRPr="00401156" w:rsidRDefault="006B279C" w:rsidP="006B279C">
            <w:pPr>
              <w:autoSpaceDE w:val="0"/>
              <w:autoSpaceDN w:val="0"/>
              <w:bidi w:val="0"/>
              <w:adjustRightInd w:val="0"/>
              <w:jc w:val="center"/>
              <w:rPr>
                <w:rFonts w:asciiTheme="majorBidi" w:hAnsiTheme="majorBidi" w:cstheme="majorBidi"/>
                <w:b/>
                <w:bCs/>
                <w:snapToGrid w:val="0"/>
              </w:rPr>
            </w:pPr>
            <w:r w:rsidRPr="00401156">
              <w:rPr>
                <w:rFonts w:asciiTheme="majorBidi" w:hAnsiTheme="majorBidi" w:cstheme="majorBidi"/>
                <w:b/>
                <w:bCs/>
                <w:snapToGrid w:val="0"/>
              </w:rPr>
              <w:t>Q3</w:t>
            </w:r>
          </w:p>
        </w:tc>
        <w:tc>
          <w:tcPr>
            <w:tcW w:w="897" w:type="dxa"/>
          </w:tcPr>
          <w:p w:rsidR="006B279C" w:rsidRPr="00401156" w:rsidRDefault="006B279C" w:rsidP="006B279C">
            <w:pPr>
              <w:autoSpaceDE w:val="0"/>
              <w:autoSpaceDN w:val="0"/>
              <w:bidi w:val="0"/>
              <w:adjustRightInd w:val="0"/>
              <w:jc w:val="center"/>
              <w:rPr>
                <w:rFonts w:asciiTheme="majorBidi" w:hAnsiTheme="majorBidi" w:cstheme="majorBidi"/>
                <w:b/>
                <w:bCs/>
                <w:snapToGrid w:val="0"/>
              </w:rPr>
            </w:pPr>
            <w:r w:rsidRPr="00401156">
              <w:rPr>
                <w:rFonts w:asciiTheme="majorBidi" w:hAnsiTheme="majorBidi" w:cstheme="majorBidi"/>
                <w:b/>
                <w:bCs/>
                <w:snapToGrid w:val="0"/>
              </w:rPr>
              <w:t>Q</w:t>
            </w:r>
            <w:r w:rsidRPr="00401156">
              <w:rPr>
                <w:rFonts w:asciiTheme="majorBidi" w:hAnsiTheme="majorBidi" w:cstheme="majorBidi"/>
                <w:b/>
                <w:bCs/>
                <w:snapToGrid w:val="0"/>
                <w:rtl/>
              </w:rPr>
              <w:t>4</w:t>
            </w:r>
          </w:p>
        </w:tc>
      </w:tr>
      <w:tr w:rsidR="006B279C" w:rsidRPr="00401156" w:rsidTr="00401156">
        <w:trPr>
          <w:trHeight w:val="406"/>
        </w:trPr>
        <w:tc>
          <w:tcPr>
            <w:tcW w:w="1742" w:type="dxa"/>
            <w:vAlign w:val="center"/>
          </w:tcPr>
          <w:p w:rsidR="006B279C" w:rsidRPr="00401156" w:rsidRDefault="006B279C" w:rsidP="006B279C">
            <w:pPr>
              <w:bidi w:val="0"/>
              <w:ind w:right="-116"/>
              <w:rPr>
                <w:rFonts w:asciiTheme="majorBidi" w:hAnsiTheme="majorBidi" w:cstheme="majorBidi"/>
              </w:rPr>
            </w:pPr>
            <w:r w:rsidRPr="00401156">
              <w:rPr>
                <w:rFonts w:asciiTheme="majorBidi" w:hAnsiTheme="majorBidi" w:cstheme="majorBidi"/>
              </w:rPr>
              <w:t>Agriculture</w:t>
            </w:r>
          </w:p>
        </w:tc>
        <w:tc>
          <w:tcPr>
            <w:tcW w:w="1087" w:type="dxa"/>
            <w:vAlign w:val="center"/>
          </w:tcPr>
          <w:p w:rsidR="006B279C" w:rsidRPr="00401156" w:rsidRDefault="006B279C" w:rsidP="00401156">
            <w:pPr>
              <w:autoSpaceDE w:val="0"/>
              <w:autoSpaceDN w:val="0"/>
              <w:bidi w:val="0"/>
              <w:adjustRightInd w:val="0"/>
              <w:ind w:left="-100"/>
              <w:jc w:val="center"/>
              <w:rPr>
                <w:rFonts w:asciiTheme="majorBidi" w:hAnsiTheme="majorBidi" w:cstheme="majorBidi"/>
                <w:snapToGrid w:val="0"/>
              </w:rPr>
            </w:pPr>
            <w:r w:rsidRPr="00401156">
              <w:rPr>
                <w:rFonts w:asciiTheme="majorBidi" w:hAnsiTheme="majorBidi" w:cstheme="majorBidi"/>
                <w:snapToGrid w:val="0"/>
              </w:rPr>
              <w:t>29.0</w:t>
            </w:r>
          </w:p>
        </w:tc>
        <w:tc>
          <w:tcPr>
            <w:tcW w:w="896" w:type="dxa"/>
            <w:vAlign w:val="center"/>
          </w:tcPr>
          <w:p w:rsidR="006B279C" w:rsidRPr="00401156" w:rsidRDefault="009F537F" w:rsidP="00401156">
            <w:pPr>
              <w:autoSpaceDE w:val="0"/>
              <w:autoSpaceDN w:val="0"/>
              <w:bidi w:val="0"/>
              <w:adjustRightInd w:val="0"/>
              <w:jc w:val="center"/>
              <w:rPr>
                <w:rFonts w:asciiTheme="majorBidi" w:hAnsiTheme="majorBidi" w:cstheme="majorBidi"/>
                <w:snapToGrid w:val="0"/>
              </w:rPr>
            </w:pPr>
            <w:r w:rsidRPr="00401156">
              <w:rPr>
                <w:rFonts w:asciiTheme="majorBidi" w:hAnsiTheme="majorBidi" w:cstheme="majorBidi"/>
                <w:snapToGrid w:val="0"/>
              </w:rPr>
              <w:t>-0.29</w:t>
            </w:r>
          </w:p>
        </w:tc>
        <w:tc>
          <w:tcPr>
            <w:tcW w:w="897" w:type="dxa"/>
            <w:vAlign w:val="center"/>
          </w:tcPr>
          <w:p w:rsidR="006B279C" w:rsidRPr="00401156" w:rsidRDefault="009F537F" w:rsidP="00401156">
            <w:pPr>
              <w:autoSpaceDE w:val="0"/>
              <w:autoSpaceDN w:val="0"/>
              <w:bidi w:val="0"/>
              <w:adjustRightInd w:val="0"/>
              <w:jc w:val="center"/>
              <w:rPr>
                <w:rFonts w:asciiTheme="majorBidi" w:hAnsiTheme="majorBidi" w:cstheme="majorBidi"/>
                <w:snapToGrid w:val="0"/>
              </w:rPr>
            </w:pPr>
            <w:r w:rsidRPr="00401156">
              <w:rPr>
                <w:rFonts w:asciiTheme="majorBidi" w:hAnsiTheme="majorBidi" w:cstheme="majorBidi"/>
                <w:snapToGrid w:val="0"/>
              </w:rPr>
              <w:t>-6.27</w:t>
            </w:r>
          </w:p>
        </w:tc>
        <w:tc>
          <w:tcPr>
            <w:tcW w:w="897" w:type="dxa"/>
            <w:vAlign w:val="center"/>
          </w:tcPr>
          <w:p w:rsidR="006B279C" w:rsidRPr="00401156" w:rsidRDefault="009F537F" w:rsidP="00401156">
            <w:pPr>
              <w:autoSpaceDE w:val="0"/>
              <w:autoSpaceDN w:val="0"/>
              <w:bidi w:val="0"/>
              <w:adjustRightInd w:val="0"/>
              <w:jc w:val="center"/>
              <w:rPr>
                <w:rFonts w:asciiTheme="majorBidi" w:hAnsiTheme="majorBidi" w:cstheme="majorBidi"/>
                <w:snapToGrid w:val="0"/>
              </w:rPr>
            </w:pPr>
            <w:r w:rsidRPr="00401156">
              <w:rPr>
                <w:rFonts w:asciiTheme="majorBidi" w:hAnsiTheme="majorBidi" w:cstheme="majorBidi"/>
                <w:snapToGrid w:val="0"/>
              </w:rPr>
              <w:t>+11.83</w:t>
            </w:r>
          </w:p>
        </w:tc>
        <w:tc>
          <w:tcPr>
            <w:tcW w:w="897" w:type="dxa"/>
            <w:vAlign w:val="center"/>
          </w:tcPr>
          <w:p w:rsidR="006B279C" w:rsidRPr="00401156" w:rsidRDefault="009F537F" w:rsidP="00401156">
            <w:pPr>
              <w:autoSpaceDE w:val="0"/>
              <w:autoSpaceDN w:val="0"/>
              <w:bidi w:val="0"/>
              <w:adjustRightInd w:val="0"/>
              <w:jc w:val="center"/>
              <w:rPr>
                <w:rFonts w:asciiTheme="majorBidi" w:hAnsiTheme="majorBidi" w:cstheme="majorBidi"/>
                <w:snapToGrid w:val="0"/>
              </w:rPr>
            </w:pPr>
            <w:r w:rsidRPr="00401156">
              <w:rPr>
                <w:rFonts w:asciiTheme="majorBidi" w:hAnsiTheme="majorBidi" w:cstheme="majorBidi"/>
                <w:snapToGrid w:val="0"/>
              </w:rPr>
              <w:t>-0.96</w:t>
            </w:r>
          </w:p>
        </w:tc>
      </w:tr>
      <w:tr w:rsidR="006B279C" w:rsidRPr="00401156" w:rsidTr="00401156">
        <w:trPr>
          <w:trHeight w:val="524"/>
        </w:trPr>
        <w:tc>
          <w:tcPr>
            <w:tcW w:w="1742" w:type="dxa"/>
            <w:vAlign w:val="center"/>
          </w:tcPr>
          <w:p w:rsidR="006B279C" w:rsidRPr="00401156" w:rsidRDefault="006B279C" w:rsidP="006B279C">
            <w:pPr>
              <w:bidi w:val="0"/>
              <w:ind w:right="-116"/>
              <w:rPr>
                <w:rFonts w:asciiTheme="majorBidi" w:hAnsiTheme="majorBidi" w:cstheme="majorBidi"/>
              </w:rPr>
            </w:pPr>
            <w:r w:rsidRPr="00401156">
              <w:rPr>
                <w:rFonts w:asciiTheme="majorBidi" w:hAnsiTheme="majorBidi" w:cstheme="majorBidi"/>
              </w:rPr>
              <w:t>Fishing</w:t>
            </w:r>
          </w:p>
        </w:tc>
        <w:tc>
          <w:tcPr>
            <w:tcW w:w="1087" w:type="dxa"/>
            <w:vAlign w:val="center"/>
          </w:tcPr>
          <w:p w:rsidR="006B279C" w:rsidRPr="00401156" w:rsidRDefault="006B279C" w:rsidP="00401156">
            <w:pPr>
              <w:autoSpaceDE w:val="0"/>
              <w:autoSpaceDN w:val="0"/>
              <w:bidi w:val="0"/>
              <w:adjustRightInd w:val="0"/>
              <w:ind w:left="-100"/>
              <w:jc w:val="center"/>
              <w:rPr>
                <w:rFonts w:asciiTheme="majorBidi" w:hAnsiTheme="majorBidi" w:cstheme="majorBidi"/>
                <w:snapToGrid w:val="0"/>
              </w:rPr>
            </w:pPr>
            <w:r w:rsidRPr="00401156">
              <w:rPr>
                <w:rFonts w:asciiTheme="majorBidi" w:hAnsiTheme="majorBidi" w:cstheme="majorBidi"/>
                <w:snapToGrid w:val="0"/>
              </w:rPr>
              <w:t>0.10</w:t>
            </w:r>
          </w:p>
        </w:tc>
        <w:tc>
          <w:tcPr>
            <w:tcW w:w="896" w:type="dxa"/>
            <w:vAlign w:val="center"/>
          </w:tcPr>
          <w:p w:rsidR="006B279C" w:rsidRPr="00401156" w:rsidRDefault="009F537F" w:rsidP="00401156">
            <w:pPr>
              <w:autoSpaceDE w:val="0"/>
              <w:autoSpaceDN w:val="0"/>
              <w:bidi w:val="0"/>
              <w:adjustRightInd w:val="0"/>
              <w:jc w:val="center"/>
              <w:rPr>
                <w:rFonts w:asciiTheme="majorBidi" w:hAnsiTheme="majorBidi" w:cstheme="majorBidi"/>
                <w:snapToGrid w:val="0"/>
              </w:rPr>
            </w:pPr>
            <w:r w:rsidRPr="00401156">
              <w:rPr>
                <w:rFonts w:asciiTheme="majorBidi" w:hAnsiTheme="majorBidi" w:cstheme="majorBidi"/>
                <w:snapToGrid w:val="0"/>
              </w:rPr>
              <w:t>-10.11</w:t>
            </w:r>
          </w:p>
        </w:tc>
        <w:tc>
          <w:tcPr>
            <w:tcW w:w="897" w:type="dxa"/>
            <w:vAlign w:val="center"/>
          </w:tcPr>
          <w:p w:rsidR="006B279C" w:rsidRPr="00401156" w:rsidRDefault="009F537F" w:rsidP="00401156">
            <w:pPr>
              <w:autoSpaceDE w:val="0"/>
              <w:autoSpaceDN w:val="0"/>
              <w:bidi w:val="0"/>
              <w:adjustRightInd w:val="0"/>
              <w:jc w:val="center"/>
              <w:rPr>
                <w:rFonts w:asciiTheme="majorBidi" w:hAnsiTheme="majorBidi" w:cstheme="majorBidi"/>
                <w:snapToGrid w:val="0"/>
              </w:rPr>
            </w:pPr>
            <w:r w:rsidRPr="00401156">
              <w:rPr>
                <w:rFonts w:asciiTheme="majorBidi" w:hAnsiTheme="majorBidi" w:cstheme="majorBidi"/>
                <w:snapToGrid w:val="0"/>
              </w:rPr>
              <w:t>-0.37</w:t>
            </w:r>
          </w:p>
        </w:tc>
        <w:tc>
          <w:tcPr>
            <w:tcW w:w="897" w:type="dxa"/>
            <w:vAlign w:val="center"/>
          </w:tcPr>
          <w:p w:rsidR="006B279C" w:rsidRPr="00401156" w:rsidRDefault="009F537F" w:rsidP="00401156">
            <w:pPr>
              <w:autoSpaceDE w:val="0"/>
              <w:autoSpaceDN w:val="0"/>
              <w:bidi w:val="0"/>
              <w:adjustRightInd w:val="0"/>
              <w:jc w:val="center"/>
              <w:rPr>
                <w:rFonts w:asciiTheme="majorBidi" w:hAnsiTheme="majorBidi" w:cstheme="majorBidi"/>
                <w:snapToGrid w:val="0"/>
              </w:rPr>
            </w:pPr>
            <w:r w:rsidRPr="00401156">
              <w:rPr>
                <w:rFonts w:asciiTheme="majorBidi" w:hAnsiTheme="majorBidi" w:cstheme="majorBidi"/>
                <w:snapToGrid w:val="0"/>
              </w:rPr>
              <w:t>+6.90</w:t>
            </w:r>
          </w:p>
        </w:tc>
        <w:tc>
          <w:tcPr>
            <w:tcW w:w="897" w:type="dxa"/>
            <w:vAlign w:val="center"/>
          </w:tcPr>
          <w:p w:rsidR="006B279C" w:rsidRPr="00401156" w:rsidRDefault="009F537F" w:rsidP="00401156">
            <w:pPr>
              <w:autoSpaceDE w:val="0"/>
              <w:autoSpaceDN w:val="0"/>
              <w:bidi w:val="0"/>
              <w:adjustRightInd w:val="0"/>
              <w:jc w:val="center"/>
              <w:rPr>
                <w:rFonts w:asciiTheme="majorBidi" w:hAnsiTheme="majorBidi" w:cstheme="majorBidi"/>
                <w:snapToGrid w:val="0"/>
              </w:rPr>
            </w:pPr>
            <w:r w:rsidRPr="00401156">
              <w:rPr>
                <w:rFonts w:asciiTheme="majorBidi" w:hAnsiTheme="majorBidi" w:cstheme="majorBidi"/>
                <w:snapToGrid w:val="0"/>
              </w:rPr>
              <w:t>-9.4</w:t>
            </w:r>
            <w:r w:rsidR="005D2B57" w:rsidRPr="00401156">
              <w:rPr>
                <w:rFonts w:asciiTheme="majorBidi" w:hAnsiTheme="majorBidi" w:cstheme="majorBidi"/>
                <w:snapToGrid w:val="0"/>
              </w:rPr>
              <w:t>5</w:t>
            </w:r>
          </w:p>
        </w:tc>
      </w:tr>
      <w:tr w:rsidR="006B279C" w:rsidRPr="00401156" w:rsidTr="00401156">
        <w:trPr>
          <w:trHeight w:val="497"/>
        </w:trPr>
        <w:tc>
          <w:tcPr>
            <w:tcW w:w="1742" w:type="dxa"/>
            <w:vAlign w:val="center"/>
          </w:tcPr>
          <w:p w:rsidR="006B279C" w:rsidRPr="00401156" w:rsidRDefault="006B279C" w:rsidP="006B279C">
            <w:pPr>
              <w:bidi w:val="0"/>
              <w:ind w:right="-116"/>
              <w:rPr>
                <w:rFonts w:asciiTheme="majorBidi" w:hAnsiTheme="majorBidi" w:cstheme="majorBidi"/>
              </w:rPr>
            </w:pPr>
            <w:r w:rsidRPr="00401156">
              <w:rPr>
                <w:rFonts w:asciiTheme="majorBidi" w:hAnsiTheme="majorBidi" w:cstheme="majorBidi"/>
              </w:rPr>
              <w:t>Mining and quarrying</w:t>
            </w:r>
          </w:p>
        </w:tc>
        <w:tc>
          <w:tcPr>
            <w:tcW w:w="1087" w:type="dxa"/>
            <w:vAlign w:val="center"/>
          </w:tcPr>
          <w:p w:rsidR="006B279C" w:rsidRPr="00401156" w:rsidRDefault="006B279C" w:rsidP="00401156">
            <w:pPr>
              <w:autoSpaceDE w:val="0"/>
              <w:autoSpaceDN w:val="0"/>
              <w:bidi w:val="0"/>
              <w:adjustRightInd w:val="0"/>
              <w:ind w:left="-100"/>
              <w:jc w:val="center"/>
              <w:rPr>
                <w:rFonts w:asciiTheme="majorBidi" w:hAnsiTheme="majorBidi" w:cstheme="majorBidi"/>
                <w:snapToGrid w:val="0"/>
              </w:rPr>
            </w:pPr>
            <w:r w:rsidRPr="00401156">
              <w:rPr>
                <w:rFonts w:asciiTheme="majorBidi" w:hAnsiTheme="majorBidi" w:cstheme="majorBidi"/>
                <w:snapToGrid w:val="0"/>
              </w:rPr>
              <w:t>0.90</w:t>
            </w:r>
          </w:p>
        </w:tc>
        <w:tc>
          <w:tcPr>
            <w:tcW w:w="896" w:type="dxa"/>
            <w:vAlign w:val="center"/>
          </w:tcPr>
          <w:p w:rsidR="006B279C" w:rsidRPr="00401156" w:rsidRDefault="009F537F" w:rsidP="00401156">
            <w:pPr>
              <w:autoSpaceDE w:val="0"/>
              <w:autoSpaceDN w:val="0"/>
              <w:bidi w:val="0"/>
              <w:adjustRightInd w:val="0"/>
              <w:jc w:val="center"/>
              <w:rPr>
                <w:rFonts w:asciiTheme="majorBidi" w:hAnsiTheme="majorBidi" w:cstheme="majorBidi"/>
                <w:snapToGrid w:val="0"/>
              </w:rPr>
            </w:pPr>
            <w:r w:rsidRPr="00401156">
              <w:rPr>
                <w:rFonts w:asciiTheme="majorBidi" w:hAnsiTheme="majorBidi" w:cstheme="majorBidi"/>
                <w:snapToGrid w:val="0"/>
              </w:rPr>
              <w:t>-0.15</w:t>
            </w:r>
          </w:p>
        </w:tc>
        <w:tc>
          <w:tcPr>
            <w:tcW w:w="897" w:type="dxa"/>
            <w:vAlign w:val="center"/>
          </w:tcPr>
          <w:p w:rsidR="006B279C" w:rsidRPr="00401156" w:rsidRDefault="009F537F" w:rsidP="00401156">
            <w:pPr>
              <w:autoSpaceDE w:val="0"/>
              <w:autoSpaceDN w:val="0"/>
              <w:bidi w:val="0"/>
              <w:adjustRightInd w:val="0"/>
              <w:jc w:val="center"/>
              <w:rPr>
                <w:rFonts w:asciiTheme="majorBidi" w:hAnsiTheme="majorBidi" w:cstheme="majorBidi"/>
                <w:snapToGrid w:val="0"/>
              </w:rPr>
            </w:pPr>
            <w:r w:rsidRPr="00401156">
              <w:rPr>
                <w:rFonts w:asciiTheme="majorBidi" w:hAnsiTheme="majorBidi" w:cstheme="majorBidi"/>
                <w:snapToGrid w:val="0"/>
              </w:rPr>
              <w:t>-0.13</w:t>
            </w:r>
          </w:p>
        </w:tc>
        <w:tc>
          <w:tcPr>
            <w:tcW w:w="897" w:type="dxa"/>
            <w:vAlign w:val="center"/>
          </w:tcPr>
          <w:p w:rsidR="006B279C" w:rsidRPr="00401156" w:rsidRDefault="009F537F" w:rsidP="00401156">
            <w:pPr>
              <w:autoSpaceDE w:val="0"/>
              <w:autoSpaceDN w:val="0"/>
              <w:bidi w:val="0"/>
              <w:adjustRightInd w:val="0"/>
              <w:jc w:val="center"/>
              <w:rPr>
                <w:rFonts w:asciiTheme="majorBidi" w:hAnsiTheme="majorBidi" w:cstheme="majorBidi"/>
                <w:snapToGrid w:val="0"/>
              </w:rPr>
            </w:pPr>
            <w:r w:rsidRPr="00401156">
              <w:rPr>
                <w:rFonts w:asciiTheme="majorBidi" w:hAnsiTheme="majorBidi" w:cstheme="majorBidi"/>
                <w:snapToGrid w:val="0"/>
              </w:rPr>
              <w:t>-0.36</w:t>
            </w:r>
          </w:p>
        </w:tc>
        <w:tc>
          <w:tcPr>
            <w:tcW w:w="897" w:type="dxa"/>
            <w:vAlign w:val="center"/>
          </w:tcPr>
          <w:p w:rsidR="006B279C" w:rsidRPr="00401156" w:rsidRDefault="009F537F" w:rsidP="00401156">
            <w:pPr>
              <w:autoSpaceDE w:val="0"/>
              <w:autoSpaceDN w:val="0"/>
              <w:bidi w:val="0"/>
              <w:adjustRightInd w:val="0"/>
              <w:jc w:val="center"/>
              <w:rPr>
                <w:rFonts w:asciiTheme="majorBidi" w:hAnsiTheme="majorBidi" w:cstheme="majorBidi"/>
                <w:snapToGrid w:val="0"/>
              </w:rPr>
            </w:pPr>
            <w:r w:rsidRPr="00401156">
              <w:rPr>
                <w:rFonts w:asciiTheme="majorBidi" w:hAnsiTheme="majorBidi" w:cstheme="majorBidi"/>
                <w:snapToGrid w:val="0"/>
              </w:rPr>
              <w:t>+0.25</w:t>
            </w:r>
          </w:p>
        </w:tc>
      </w:tr>
      <w:tr w:rsidR="006B279C" w:rsidRPr="00401156" w:rsidTr="00401156">
        <w:trPr>
          <w:trHeight w:val="504"/>
        </w:trPr>
        <w:tc>
          <w:tcPr>
            <w:tcW w:w="1742" w:type="dxa"/>
            <w:vAlign w:val="center"/>
          </w:tcPr>
          <w:p w:rsidR="006B279C" w:rsidRPr="00401156" w:rsidRDefault="006B279C" w:rsidP="006B279C">
            <w:pPr>
              <w:bidi w:val="0"/>
              <w:ind w:right="-116"/>
              <w:rPr>
                <w:rFonts w:asciiTheme="majorBidi" w:hAnsiTheme="majorBidi" w:cstheme="majorBidi"/>
              </w:rPr>
            </w:pPr>
            <w:r w:rsidRPr="00401156">
              <w:rPr>
                <w:rFonts w:asciiTheme="majorBidi" w:hAnsiTheme="majorBidi" w:cstheme="majorBidi"/>
              </w:rPr>
              <w:t>Manufacturing</w:t>
            </w:r>
          </w:p>
        </w:tc>
        <w:tc>
          <w:tcPr>
            <w:tcW w:w="1087" w:type="dxa"/>
            <w:vAlign w:val="center"/>
          </w:tcPr>
          <w:p w:rsidR="006B279C" w:rsidRPr="00401156" w:rsidRDefault="006B279C" w:rsidP="00401156">
            <w:pPr>
              <w:autoSpaceDE w:val="0"/>
              <w:autoSpaceDN w:val="0"/>
              <w:bidi w:val="0"/>
              <w:adjustRightInd w:val="0"/>
              <w:ind w:left="-100"/>
              <w:jc w:val="center"/>
              <w:rPr>
                <w:rFonts w:asciiTheme="majorBidi" w:hAnsiTheme="majorBidi" w:cstheme="majorBidi"/>
                <w:snapToGrid w:val="0"/>
              </w:rPr>
            </w:pPr>
            <w:r w:rsidRPr="00401156">
              <w:rPr>
                <w:rFonts w:asciiTheme="majorBidi" w:hAnsiTheme="majorBidi" w:cstheme="majorBidi"/>
                <w:snapToGrid w:val="0"/>
              </w:rPr>
              <w:t>70.0</w:t>
            </w:r>
          </w:p>
        </w:tc>
        <w:tc>
          <w:tcPr>
            <w:tcW w:w="896" w:type="dxa"/>
            <w:vAlign w:val="center"/>
          </w:tcPr>
          <w:p w:rsidR="006B279C" w:rsidRPr="00401156" w:rsidRDefault="009F537F" w:rsidP="00401156">
            <w:pPr>
              <w:autoSpaceDE w:val="0"/>
              <w:autoSpaceDN w:val="0"/>
              <w:bidi w:val="0"/>
              <w:adjustRightInd w:val="0"/>
              <w:jc w:val="center"/>
              <w:rPr>
                <w:rFonts w:asciiTheme="majorBidi" w:hAnsiTheme="majorBidi" w:cstheme="majorBidi"/>
                <w:snapToGrid w:val="0"/>
              </w:rPr>
            </w:pPr>
            <w:r w:rsidRPr="00401156">
              <w:rPr>
                <w:rFonts w:asciiTheme="majorBidi" w:hAnsiTheme="majorBidi" w:cstheme="majorBidi"/>
                <w:snapToGrid w:val="0"/>
              </w:rPr>
              <w:t>-0.79</w:t>
            </w:r>
          </w:p>
        </w:tc>
        <w:tc>
          <w:tcPr>
            <w:tcW w:w="897" w:type="dxa"/>
            <w:vAlign w:val="center"/>
          </w:tcPr>
          <w:p w:rsidR="006B279C" w:rsidRPr="00401156" w:rsidRDefault="009F537F" w:rsidP="00401156">
            <w:pPr>
              <w:autoSpaceDE w:val="0"/>
              <w:autoSpaceDN w:val="0"/>
              <w:bidi w:val="0"/>
              <w:adjustRightInd w:val="0"/>
              <w:jc w:val="center"/>
              <w:rPr>
                <w:rFonts w:asciiTheme="majorBidi" w:hAnsiTheme="majorBidi" w:cstheme="majorBidi"/>
                <w:snapToGrid w:val="0"/>
              </w:rPr>
            </w:pPr>
            <w:r w:rsidRPr="00401156">
              <w:rPr>
                <w:rFonts w:asciiTheme="majorBidi" w:hAnsiTheme="majorBidi" w:cstheme="majorBidi"/>
                <w:snapToGrid w:val="0"/>
              </w:rPr>
              <w:t>+2.35</w:t>
            </w:r>
          </w:p>
        </w:tc>
        <w:tc>
          <w:tcPr>
            <w:tcW w:w="897" w:type="dxa"/>
            <w:vAlign w:val="center"/>
          </w:tcPr>
          <w:p w:rsidR="006B279C" w:rsidRPr="00401156" w:rsidRDefault="009F537F" w:rsidP="00401156">
            <w:pPr>
              <w:autoSpaceDE w:val="0"/>
              <w:autoSpaceDN w:val="0"/>
              <w:bidi w:val="0"/>
              <w:adjustRightInd w:val="0"/>
              <w:jc w:val="center"/>
              <w:rPr>
                <w:rFonts w:asciiTheme="majorBidi" w:hAnsiTheme="majorBidi" w:cstheme="majorBidi"/>
                <w:snapToGrid w:val="0"/>
              </w:rPr>
            </w:pPr>
            <w:r w:rsidRPr="00401156">
              <w:rPr>
                <w:rFonts w:asciiTheme="majorBidi" w:hAnsiTheme="majorBidi" w:cstheme="majorBidi"/>
                <w:snapToGrid w:val="0"/>
              </w:rPr>
              <w:t>+0.84</w:t>
            </w:r>
          </w:p>
        </w:tc>
        <w:tc>
          <w:tcPr>
            <w:tcW w:w="897" w:type="dxa"/>
            <w:vAlign w:val="center"/>
          </w:tcPr>
          <w:p w:rsidR="006B279C" w:rsidRPr="00401156" w:rsidRDefault="009F537F" w:rsidP="00401156">
            <w:pPr>
              <w:autoSpaceDE w:val="0"/>
              <w:autoSpaceDN w:val="0"/>
              <w:bidi w:val="0"/>
              <w:adjustRightInd w:val="0"/>
              <w:jc w:val="center"/>
              <w:rPr>
                <w:rFonts w:asciiTheme="majorBidi" w:hAnsiTheme="majorBidi" w:cstheme="majorBidi"/>
                <w:snapToGrid w:val="0"/>
              </w:rPr>
            </w:pPr>
            <w:r w:rsidRPr="00401156">
              <w:rPr>
                <w:rFonts w:asciiTheme="majorBidi" w:hAnsiTheme="majorBidi" w:cstheme="majorBidi"/>
                <w:snapToGrid w:val="0"/>
              </w:rPr>
              <w:t>+0.97</w:t>
            </w:r>
          </w:p>
        </w:tc>
      </w:tr>
      <w:tr w:rsidR="006B279C" w:rsidRPr="00401156" w:rsidTr="00401156">
        <w:trPr>
          <w:trHeight w:val="408"/>
        </w:trPr>
        <w:tc>
          <w:tcPr>
            <w:tcW w:w="1742" w:type="dxa"/>
            <w:vAlign w:val="center"/>
          </w:tcPr>
          <w:p w:rsidR="006B279C" w:rsidRPr="00401156" w:rsidRDefault="006B279C" w:rsidP="006B279C">
            <w:pPr>
              <w:bidi w:val="0"/>
              <w:ind w:right="-116"/>
              <w:rPr>
                <w:rFonts w:asciiTheme="majorBidi" w:hAnsiTheme="majorBidi" w:cstheme="majorBidi"/>
                <w:b/>
                <w:bCs/>
              </w:rPr>
            </w:pPr>
            <w:r w:rsidRPr="00401156">
              <w:rPr>
                <w:rFonts w:asciiTheme="majorBidi" w:hAnsiTheme="majorBidi" w:cstheme="majorBidi"/>
                <w:b/>
                <w:bCs/>
              </w:rPr>
              <w:t>All Items Price Index</w:t>
            </w:r>
          </w:p>
        </w:tc>
        <w:tc>
          <w:tcPr>
            <w:tcW w:w="1087" w:type="dxa"/>
            <w:vAlign w:val="center"/>
          </w:tcPr>
          <w:p w:rsidR="006B279C" w:rsidRPr="00401156" w:rsidRDefault="006B279C" w:rsidP="00401156">
            <w:pPr>
              <w:autoSpaceDE w:val="0"/>
              <w:autoSpaceDN w:val="0"/>
              <w:bidi w:val="0"/>
              <w:adjustRightInd w:val="0"/>
              <w:ind w:left="-100"/>
              <w:jc w:val="center"/>
              <w:rPr>
                <w:rFonts w:asciiTheme="majorBidi" w:hAnsiTheme="majorBidi" w:cstheme="majorBidi"/>
                <w:b/>
                <w:bCs/>
                <w:snapToGrid w:val="0"/>
              </w:rPr>
            </w:pPr>
            <w:r w:rsidRPr="00401156">
              <w:rPr>
                <w:rFonts w:asciiTheme="majorBidi" w:hAnsiTheme="majorBidi" w:cstheme="majorBidi"/>
                <w:b/>
                <w:bCs/>
                <w:snapToGrid w:val="0"/>
              </w:rPr>
              <w:t>100</w:t>
            </w:r>
          </w:p>
        </w:tc>
        <w:tc>
          <w:tcPr>
            <w:tcW w:w="896" w:type="dxa"/>
            <w:vAlign w:val="center"/>
          </w:tcPr>
          <w:p w:rsidR="006B279C" w:rsidRPr="00401156" w:rsidRDefault="009F537F" w:rsidP="00401156">
            <w:pPr>
              <w:autoSpaceDE w:val="0"/>
              <w:autoSpaceDN w:val="0"/>
              <w:bidi w:val="0"/>
              <w:adjustRightInd w:val="0"/>
              <w:jc w:val="center"/>
              <w:rPr>
                <w:rFonts w:asciiTheme="majorBidi" w:hAnsiTheme="majorBidi" w:cstheme="majorBidi"/>
                <w:b/>
                <w:bCs/>
                <w:snapToGrid w:val="0"/>
              </w:rPr>
            </w:pPr>
            <w:r w:rsidRPr="00401156">
              <w:rPr>
                <w:rFonts w:asciiTheme="majorBidi" w:hAnsiTheme="majorBidi" w:cstheme="majorBidi"/>
                <w:b/>
                <w:bCs/>
                <w:snapToGrid w:val="0"/>
              </w:rPr>
              <w:t>-0.64</w:t>
            </w:r>
          </w:p>
        </w:tc>
        <w:tc>
          <w:tcPr>
            <w:tcW w:w="897" w:type="dxa"/>
            <w:vAlign w:val="center"/>
          </w:tcPr>
          <w:p w:rsidR="006B279C" w:rsidRPr="00401156" w:rsidRDefault="009F537F" w:rsidP="00401156">
            <w:pPr>
              <w:autoSpaceDE w:val="0"/>
              <w:autoSpaceDN w:val="0"/>
              <w:bidi w:val="0"/>
              <w:adjustRightInd w:val="0"/>
              <w:jc w:val="center"/>
              <w:rPr>
                <w:rFonts w:asciiTheme="majorBidi" w:hAnsiTheme="majorBidi" w:cstheme="majorBidi"/>
                <w:b/>
                <w:bCs/>
                <w:snapToGrid w:val="0"/>
              </w:rPr>
            </w:pPr>
            <w:r w:rsidRPr="00401156">
              <w:rPr>
                <w:rFonts w:asciiTheme="majorBidi" w:hAnsiTheme="majorBidi" w:cstheme="majorBidi"/>
                <w:b/>
                <w:bCs/>
                <w:snapToGrid w:val="0"/>
              </w:rPr>
              <w:t>-0.49</w:t>
            </w:r>
          </w:p>
        </w:tc>
        <w:tc>
          <w:tcPr>
            <w:tcW w:w="897" w:type="dxa"/>
            <w:vAlign w:val="center"/>
          </w:tcPr>
          <w:p w:rsidR="006B279C" w:rsidRPr="00401156" w:rsidRDefault="009F537F" w:rsidP="00401156">
            <w:pPr>
              <w:autoSpaceDE w:val="0"/>
              <w:autoSpaceDN w:val="0"/>
              <w:bidi w:val="0"/>
              <w:adjustRightInd w:val="0"/>
              <w:jc w:val="center"/>
              <w:rPr>
                <w:rFonts w:asciiTheme="majorBidi" w:hAnsiTheme="majorBidi" w:cstheme="majorBidi"/>
                <w:b/>
                <w:bCs/>
                <w:snapToGrid w:val="0"/>
              </w:rPr>
            </w:pPr>
            <w:r w:rsidRPr="00401156">
              <w:rPr>
                <w:rFonts w:asciiTheme="majorBidi" w:hAnsiTheme="majorBidi" w:cstheme="majorBidi"/>
                <w:b/>
                <w:bCs/>
                <w:snapToGrid w:val="0"/>
              </w:rPr>
              <w:t>+4.21</w:t>
            </w:r>
          </w:p>
        </w:tc>
        <w:tc>
          <w:tcPr>
            <w:tcW w:w="897" w:type="dxa"/>
            <w:vAlign w:val="center"/>
          </w:tcPr>
          <w:p w:rsidR="006B279C" w:rsidRPr="00401156" w:rsidRDefault="009F537F" w:rsidP="00401156">
            <w:pPr>
              <w:autoSpaceDE w:val="0"/>
              <w:autoSpaceDN w:val="0"/>
              <w:bidi w:val="0"/>
              <w:adjustRightInd w:val="0"/>
              <w:jc w:val="center"/>
              <w:rPr>
                <w:rFonts w:asciiTheme="majorBidi" w:hAnsiTheme="majorBidi" w:cstheme="majorBidi"/>
                <w:b/>
                <w:bCs/>
                <w:snapToGrid w:val="0"/>
              </w:rPr>
            </w:pPr>
            <w:r w:rsidRPr="00401156">
              <w:rPr>
                <w:rFonts w:asciiTheme="majorBidi" w:hAnsiTheme="majorBidi" w:cstheme="majorBidi"/>
                <w:b/>
                <w:bCs/>
                <w:snapToGrid w:val="0"/>
              </w:rPr>
              <w:t>+0.32</w:t>
            </w:r>
          </w:p>
        </w:tc>
      </w:tr>
    </w:tbl>
    <w:p w:rsidR="006177C1" w:rsidRPr="00401156" w:rsidRDefault="006177C1" w:rsidP="00080A64">
      <w:pPr>
        <w:pStyle w:val="BodyText2"/>
        <w:bidi w:val="0"/>
        <w:spacing w:after="0" w:line="240" w:lineRule="auto"/>
        <w:outlineLvl w:val="0"/>
        <w:rPr>
          <w:rFonts w:asciiTheme="majorBidi" w:hAnsiTheme="majorBidi" w:cstheme="majorBidi"/>
          <w:b/>
          <w:bCs/>
          <w:snapToGrid w:val="0"/>
          <w:color w:val="000000"/>
          <w:sz w:val="26"/>
          <w:szCs w:val="26"/>
        </w:rPr>
      </w:pPr>
    </w:p>
    <w:p w:rsidR="002A328E" w:rsidRPr="00401156" w:rsidRDefault="002A328E" w:rsidP="00080A64">
      <w:pPr>
        <w:pStyle w:val="BodyText2"/>
        <w:bidi w:val="0"/>
        <w:spacing w:after="0" w:line="240" w:lineRule="auto"/>
        <w:jc w:val="center"/>
        <w:outlineLvl w:val="0"/>
        <w:rPr>
          <w:rFonts w:asciiTheme="majorBidi" w:hAnsiTheme="majorBidi" w:cstheme="majorBidi"/>
          <w:b/>
          <w:bCs/>
          <w:snapToGrid w:val="0"/>
          <w:color w:val="000000"/>
          <w:sz w:val="26"/>
          <w:szCs w:val="26"/>
        </w:rPr>
      </w:pPr>
    </w:p>
    <w:p w:rsidR="002A328E" w:rsidRPr="00401156" w:rsidRDefault="002A328E" w:rsidP="002A328E">
      <w:pPr>
        <w:pStyle w:val="BodyText2"/>
        <w:bidi w:val="0"/>
        <w:spacing w:after="0" w:line="240" w:lineRule="auto"/>
        <w:jc w:val="center"/>
        <w:outlineLvl w:val="0"/>
        <w:rPr>
          <w:rFonts w:asciiTheme="majorBidi" w:hAnsiTheme="majorBidi" w:cstheme="majorBidi"/>
          <w:b/>
          <w:bCs/>
          <w:snapToGrid w:val="0"/>
          <w:color w:val="000000"/>
          <w:sz w:val="26"/>
          <w:szCs w:val="26"/>
        </w:rPr>
      </w:pPr>
    </w:p>
    <w:p w:rsidR="002A328E" w:rsidRPr="00401156" w:rsidRDefault="002A328E" w:rsidP="002A328E">
      <w:pPr>
        <w:pStyle w:val="BodyText2"/>
        <w:bidi w:val="0"/>
        <w:spacing w:after="0" w:line="240" w:lineRule="auto"/>
        <w:jc w:val="center"/>
        <w:outlineLvl w:val="0"/>
        <w:rPr>
          <w:rFonts w:asciiTheme="majorBidi" w:hAnsiTheme="majorBidi" w:cstheme="majorBidi"/>
          <w:b/>
          <w:bCs/>
          <w:snapToGrid w:val="0"/>
          <w:color w:val="000000"/>
          <w:sz w:val="26"/>
          <w:szCs w:val="26"/>
        </w:rPr>
      </w:pPr>
    </w:p>
    <w:p w:rsidR="002A328E" w:rsidRPr="00401156" w:rsidRDefault="002A328E" w:rsidP="002A328E">
      <w:pPr>
        <w:pStyle w:val="BodyText2"/>
        <w:bidi w:val="0"/>
        <w:spacing w:after="0" w:line="240" w:lineRule="auto"/>
        <w:jc w:val="center"/>
        <w:outlineLvl w:val="0"/>
        <w:rPr>
          <w:rFonts w:asciiTheme="majorBidi" w:hAnsiTheme="majorBidi" w:cstheme="majorBidi"/>
          <w:b/>
          <w:bCs/>
          <w:snapToGrid w:val="0"/>
          <w:color w:val="000000"/>
          <w:sz w:val="26"/>
          <w:szCs w:val="26"/>
        </w:rPr>
      </w:pPr>
    </w:p>
    <w:p w:rsidR="002A328E" w:rsidRPr="00401156" w:rsidRDefault="002A328E" w:rsidP="002A328E">
      <w:pPr>
        <w:pStyle w:val="BodyText2"/>
        <w:bidi w:val="0"/>
        <w:spacing w:after="0" w:line="240" w:lineRule="auto"/>
        <w:jc w:val="center"/>
        <w:outlineLvl w:val="0"/>
        <w:rPr>
          <w:rFonts w:asciiTheme="majorBidi" w:hAnsiTheme="majorBidi" w:cstheme="majorBidi"/>
          <w:b/>
          <w:bCs/>
          <w:snapToGrid w:val="0"/>
          <w:color w:val="000000"/>
          <w:sz w:val="26"/>
          <w:szCs w:val="26"/>
        </w:rPr>
      </w:pPr>
    </w:p>
    <w:p w:rsidR="002A328E" w:rsidRPr="00401156" w:rsidRDefault="002A328E" w:rsidP="002A328E">
      <w:pPr>
        <w:pStyle w:val="BodyText2"/>
        <w:bidi w:val="0"/>
        <w:spacing w:after="0" w:line="240" w:lineRule="auto"/>
        <w:jc w:val="center"/>
        <w:outlineLvl w:val="0"/>
        <w:rPr>
          <w:rFonts w:asciiTheme="majorBidi" w:hAnsiTheme="majorBidi" w:cstheme="majorBidi"/>
          <w:b/>
          <w:bCs/>
          <w:snapToGrid w:val="0"/>
          <w:color w:val="000000"/>
          <w:sz w:val="26"/>
          <w:szCs w:val="26"/>
        </w:rPr>
      </w:pPr>
    </w:p>
    <w:p w:rsidR="002A328E" w:rsidRPr="00401156" w:rsidRDefault="002A328E" w:rsidP="002A328E">
      <w:pPr>
        <w:pStyle w:val="BodyText2"/>
        <w:bidi w:val="0"/>
        <w:spacing w:after="0" w:line="240" w:lineRule="auto"/>
        <w:jc w:val="center"/>
        <w:outlineLvl w:val="0"/>
        <w:rPr>
          <w:rFonts w:asciiTheme="majorBidi" w:hAnsiTheme="majorBidi" w:cstheme="majorBidi"/>
          <w:b/>
          <w:bCs/>
          <w:snapToGrid w:val="0"/>
          <w:color w:val="000000"/>
          <w:sz w:val="26"/>
          <w:szCs w:val="26"/>
        </w:rPr>
      </w:pPr>
    </w:p>
    <w:p w:rsidR="002A328E" w:rsidRPr="00401156" w:rsidRDefault="002A328E" w:rsidP="002A328E">
      <w:pPr>
        <w:pStyle w:val="BodyText2"/>
        <w:bidi w:val="0"/>
        <w:spacing w:after="0" w:line="240" w:lineRule="auto"/>
        <w:jc w:val="center"/>
        <w:outlineLvl w:val="0"/>
        <w:rPr>
          <w:rFonts w:asciiTheme="majorBidi" w:hAnsiTheme="majorBidi" w:cstheme="majorBidi"/>
          <w:b/>
          <w:bCs/>
          <w:snapToGrid w:val="0"/>
          <w:color w:val="000000"/>
          <w:sz w:val="26"/>
          <w:szCs w:val="26"/>
        </w:rPr>
      </w:pPr>
    </w:p>
    <w:p w:rsidR="002A328E" w:rsidRPr="00401156" w:rsidRDefault="002A328E" w:rsidP="002A328E">
      <w:pPr>
        <w:pStyle w:val="BodyText2"/>
        <w:bidi w:val="0"/>
        <w:spacing w:after="0" w:line="240" w:lineRule="auto"/>
        <w:jc w:val="center"/>
        <w:outlineLvl w:val="0"/>
        <w:rPr>
          <w:rFonts w:asciiTheme="majorBidi" w:hAnsiTheme="majorBidi" w:cstheme="majorBidi"/>
          <w:b/>
          <w:bCs/>
          <w:snapToGrid w:val="0"/>
          <w:color w:val="000000"/>
          <w:sz w:val="26"/>
          <w:szCs w:val="26"/>
        </w:rPr>
      </w:pPr>
    </w:p>
    <w:p w:rsidR="002A328E" w:rsidRPr="00401156" w:rsidRDefault="002A328E" w:rsidP="002A328E">
      <w:pPr>
        <w:pStyle w:val="BodyText2"/>
        <w:bidi w:val="0"/>
        <w:spacing w:after="0" w:line="240" w:lineRule="auto"/>
        <w:jc w:val="center"/>
        <w:outlineLvl w:val="0"/>
        <w:rPr>
          <w:rFonts w:asciiTheme="majorBidi" w:hAnsiTheme="majorBidi" w:cstheme="majorBidi"/>
          <w:b/>
          <w:bCs/>
          <w:snapToGrid w:val="0"/>
          <w:color w:val="000000"/>
          <w:sz w:val="26"/>
          <w:szCs w:val="26"/>
        </w:rPr>
      </w:pPr>
    </w:p>
    <w:p w:rsidR="002A328E" w:rsidRPr="00401156" w:rsidRDefault="002A328E" w:rsidP="002A328E">
      <w:pPr>
        <w:pStyle w:val="BodyText2"/>
        <w:bidi w:val="0"/>
        <w:spacing w:after="0" w:line="240" w:lineRule="auto"/>
        <w:jc w:val="center"/>
        <w:outlineLvl w:val="0"/>
        <w:rPr>
          <w:rFonts w:asciiTheme="majorBidi" w:hAnsiTheme="majorBidi" w:cstheme="majorBidi"/>
          <w:b/>
          <w:bCs/>
          <w:snapToGrid w:val="0"/>
          <w:color w:val="000000"/>
          <w:sz w:val="26"/>
          <w:szCs w:val="26"/>
        </w:rPr>
      </w:pPr>
    </w:p>
    <w:p w:rsidR="00401156" w:rsidRPr="00401156" w:rsidRDefault="00401156" w:rsidP="00401156">
      <w:pPr>
        <w:pStyle w:val="BodyText2"/>
        <w:bidi w:val="0"/>
        <w:spacing w:after="0" w:line="240" w:lineRule="auto"/>
        <w:jc w:val="center"/>
        <w:outlineLvl w:val="0"/>
        <w:rPr>
          <w:rFonts w:asciiTheme="majorBidi" w:hAnsiTheme="majorBidi" w:cstheme="majorBidi"/>
          <w:b/>
          <w:bCs/>
          <w:snapToGrid w:val="0"/>
          <w:color w:val="000000"/>
          <w:sz w:val="16"/>
          <w:szCs w:val="16"/>
        </w:rPr>
      </w:pPr>
    </w:p>
    <w:p w:rsidR="0066695A" w:rsidRDefault="00F025C1" w:rsidP="00401156">
      <w:pPr>
        <w:pStyle w:val="BodyText2"/>
        <w:bidi w:val="0"/>
        <w:spacing w:after="0" w:line="240" w:lineRule="auto"/>
        <w:jc w:val="center"/>
        <w:outlineLvl w:val="0"/>
        <w:rPr>
          <w:rFonts w:asciiTheme="majorBidi" w:hAnsiTheme="majorBidi" w:cstheme="majorBidi"/>
          <w:sz w:val="26"/>
          <w:szCs w:val="26"/>
        </w:rPr>
      </w:pPr>
      <w:r w:rsidRPr="00401156">
        <w:rPr>
          <w:rFonts w:asciiTheme="majorBidi" w:hAnsiTheme="majorBidi" w:cstheme="majorBidi"/>
          <w:b/>
          <w:bCs/>
          <w:snapToGrid w:val="0"/>
          <w:color w:val="000000"/>
          <w:sz w:val="26"/>
          <w:szCs w:val="26"/>
        </w:rPr>
        <w:t>The trend line of</w:t>
      </w:r>
      <w:r w:rsidRPr="00401156">
        <w:rPr>
          <w:rFonts w:asciiTheme="majorBidi" w:hAnsiTheme="majorBidi" w:cstheme="majorBidi"/>
          <w:b/>
          <w:bCs/>
          <w:sz w:val="26"/>
          <w:szCs w:val="26"/>
        </w:rPr>
        <w:t xml:space="preserve"> </w:t>
      </w:r>
      <w:r w:rsidR="0066695A" w:rsidRPr="00401156">
        <w:rPr>
          <w:rFonts w:asciiTheme="majorBidi" w:hAnsiTheme="majorBidi" w:cstheme="majorBidi"/>
          <w:b/>
          <w:bCs/>
          <w:sz w:val="26"/>
          <w:szCs w:val="26"/>
        </w:rPr>
        <w:t>Wholesale Price Index in Palestine for the</w:t>
      </w:r>
      <w:r w:rsidRPr="00401156">
        <w:rPr>
          <w:rFonts w:asciiTheme="majorBidi" w:hAnsiTheme="majorBidi" w:cstheme="majorBidi"/>
          <w:b/>
          <w:bCs/>
          <w:snapToGrid w:val="0"/>
          <w:color w:val="000000"/>
          <w:sz w:val="26"/>
          <w:szCs w:val="26"/>
        </w:rPr>
        <w:t xml:space="preserve"> period:</w:t>
      </w:r>
      <w:r w:rsidR="000A3D33" w:rsidRPr="00401156">
        <w:rPr>
          <w:rFonts w:asciiTheme="majorBidi" w:hAnsiTheme="majorBidi" w:cstheme="majorBidi"/>
          <w:b/>
          <w:bCs/>
          <w:kern w:val="36"/>
          <w:sz w:val="26"/>
          <w:szCs w:val="26"/>
        </w:rPr>
        <w:t xml:space="preserve"> </w:t>
      </w:r>
      <w:r w:rsidR="00080A64" w:rsidRPr="00401156">
        <w:rPr>
          <w:rFonts w:asciiTheme="majorBidi" w:hAnsiTheme="majorBidi" w:cstheme="majorBidi"/>
          <w:b/>
          <w:bCs/>
          <w:kern w:val="36"/>
          <w:sz w:val="26"/>
          <w:szCs w:val="26"/>
        </w:rPr>
        <w:t>Fourth</w:t>
      </w:r>
      <w:r w:rsidR="00352CB9" w:rsidRPr="00401156">
        <w:rPr>
          <w:rFonts w:asciiTheme="majorBidi" w:hAnsiTheme="majorBidi" w:cstheme="majorBidi"/>
          <w:b/>
          <w:bCs/>
          <w:kern w:val="36"/>
          <w:sz w:val="26"/>
          <w:szCs w:val="26"/>
        </w:rPr>
        <w:t xml:space="preserve"> </w:t>
      </w:r>
      <w:r w:rsidR="0066695A" w:rsidRPr="00401156">
        <w:rPr>
          <w:rFonts w:asciiTheme="majorBidi" w:hAnsiTheme="majorBidi" w:cstheme="majorBidi"/>
          <w:b/>
          <w:bCs/>
          <w:sz w:val="26"/>
          <w:szCs w:val="26"/>
        </w:rPr>
        <w:t xml:space="preserve">quarter </w:t>
      </w:r>
      <w:r w:rsidR="0056281E" w:rsidRPr="00401156">
        <w:rPr>
          <w:rFonts w:asciiTheme="majorBidi" w:hAnsiTheme="majorBidi" w:cstheme="majorBidi"/>
          <w:b/>
          <w:bCs/>
          <w:sz w:val="26"/>
          <w:szCs w:val="26"/>
        </w:rPr>
        <w:t>2018</w:t>
      </w:r>
      <w:r w:rsidR="0066695A" w:rsidRPr="00401156">
        <w:rPr>
          <w:rFonts w:asciiTheme="majorBidi" w:hAnsiTheme="majorBidi" w:cstheme="majorBidi"/>
          <w:b/>
          <w:bCs/>
          <w:sz w:val="26"/>
          <w:szCs w:val="26"/>
        </w:rPr>
        <w:t xml:space="preserve"> –</w:t>
      </w:r>
      <w:r w:rsidR="0066695A" w:rsidRPr="00401156">
        <w:rPr>
          <w:rFonts w:asciiTheme="majorBidi" w:hAnsiTheme="majorBidi" w:cstheme="majorBidi"/>
          <w:b/>
          <w:bCs/>
          <w:color w:val="000000"/>
          <w:sz w:val="26"/>
          <w:szCs w:val="26"/>
        </w:rPr>
        <w:t xml:space="preserve"> </w:t>
      </w:r>
      <w:r w:rsidR="00080A64" w:rsidRPr="00401156">
        <w:rPr>
          <w:rFonts w:asciiTheme="majorBidi" w:hAnsiTheme="majorBidi" w:cstheme="majorBidi"/>
          <w:b/>
          <w:bCs/>
          <w:kern w:val="36"/>
          <w:sz w:val="26"/>
          <w:szCs w:val="26"/>
        </w:rPr>
        <w:t>Fourth</w:t>
      </w:r>
      <w:r w:rsidR="0066695A" w:rsidRPr="00401156">
        <w:rPr>
          <w:rFonts w:asciiTheme="majorBidi" w:hAnsiTheme="majorBidi" w:cstheme="majorBidi"/>
          <w:b/>
          <w:bCs/>
          <w:kern w:val="36"/>
          <w:sz w:val="26"/>
          <w:szCs w:val="26"/>
        </w:rPr>
        <w:t xml:space="preserve"> </w:t>
      </w:r>
      <w:r w:rsidR="0066695A" w:rsidRPr="00401156">
        <w:rPr>
          <w:rFonts w:asciiTheme="majorBidi" w:hAnsiTheme="majorBidi" w:cstheme="majorBidi"/>
          <w:b/>
          <w:bCs/>
          <w:color w:val="000000"/>
          <w:sz w:val="26"/>
          <w:szCs w:val="26"/>
        </w:rPr>
        <w:t xml:space="preserve">quarter </w:t>
      </w:r>
      <w:r w:rsidR="0056281E" w:rsidRPr="00401156">
        <w:rPr>
          <w:rFonts w:asciiTheme="majorBidi" w:hAnsiTheme="majorBidi" w:cstheme="majorBidi"/>
          <w:b/>
          <w:bCs/>
          <w:color w:val="000000"/>
          <w:sz w:val="26"/>
          <w:szCs w:val="26"/>
        </w:rPr>
        <w:t>2021</w:t>
      </w:r>
      <w:r w:rsidR="0066695A" w:rsidRPr="00401156">
        <w:rPr>
          <w:rFonts w:asciiTheme="majorBidi" w:hAnsiTheme="majorBidi" w:cstheme="majorBidi"/>
          <w:b/>
          <w:bCs/>
          <w:sz w:val="26"/>
          <w:szCs w:val="26"/>
        </w:rPr>
        <w:t>(Base year 2007</w:t>
      </w:r>
      <w:r w:rsidR="00647C1C" w:rsidRPr="00401156">
        <w:rPr>
          <w:rFonts w:asciiTheme="majorBidi" w:hAnsiTheme="majorBidi" w:cstheme="majorBidi"/>
          <w:b/>
          <w:bCs/>
          <w:sz w:val="26"/>
          <w:szCs w:val="26"/>
        </w:rPr>
        <w:t xml:space="preserve"> </w:t>
      </w:r>
      <w:r w:rsidR="0066695A" w:rsidRPr="00401156">
        <w:rPr>
          <w:rFonts w:asciiTheme="majorBidi" w:hAnsiTheme="majorBidi" w:cstheme="majorBidi"/>
          <w:b/>
          <w:bCs/>
          <w:sz w:val="26"/>
          <w:szCs w:val="26"/>
        </w:rPr>
        <w:t>=</w:t>
      </w:r>
      <w:r w:rsidR="00647C1C" w:rsidRPr="00401156">
        <w:rPr>
          <w:rFonts w:asciiTheme="majorBidi" w:hAnsiTheme="majorBidi" w:cstheme="majorBidi"/>
          <w:b/>
          <w:bCs/>
          <w:sz w:val="26"/>
          <w:szCs w:val="26"/>
        </w:rPr>
        <w:t xml:space="preserve"> </w:t>
      </w:r>
      <w:r w:rsidR="0066695A" w:rsidRPr="00401156">
        <w:rPr>
          <w:rFonts w:asciiTheme="majorBidi" w:hAnsiTheme="majorBidi" w:cstheme="majorBidi"/>
          <w:b/>
          <w:bCs/>
          <w:sz w:val="26"/>
          <w:szCs w:val="26"/>
        </w:rPr>
        <w:t>100)</w:t>
      </w:r>
    </w:p>
    <w:p w:rsidR="00401156" w:rsidRPr="00401156" w:rsidRDefault="00401156" w:rsidP="00401156">
      <w:pPr>
        <w:pStyle w:val="BodyText2"/>
        <w:bidi w:val="0"/>
        <w:spacing w:after="0" w:line="240" w:lineRule="auto"/>
        <w:jc w:val="center"/>
        <w:outlineLvl w:val="0"/>
        <w:rPr>
          <w:rFonts w:asciiTheme="majorBidi" w:hAnsiTheme="majorBidi" w:cstheme="majorBidi"/>
          <w:sz w:val="8"/>
          <w:szCs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6"/>
      </w:tblGrid>
      <w:tr w:rsidR="0066695A" w:rsidRPr="00401156" w:rsidTr="00401156">
        <w:trPr>
          <w:jc w:val="center"/>
        </w:trPr>
        <w:tc>
          <w:tcPr>
            <w:tcW w:w="5236" w:type="dxa"/>
          </w:tcPr>
          <w:p w:rsidR="0066695A" w:rsidRPr="00401156" w:rsidRDefault="00A7058B" w:rsidP="0066695A">
            <w:pPr>
              <w:bidi w:val="0"/>
              <w:jc w:val="center"/>
              <w:rPr>
                <w:rFonts w:asciiTheme="majorBidi" w:hAnsiTheme="majorBidi" w:cstheme="majorBidi"/>
                <w:b/>
                <w:bCs/>
                <w:sz w:val="26"/>
                <w:szCs w:val="26"/>
              </w:rPr>
            </w:pPr>
            <w:r w:rsidRPr="00401156">
              <w:rPr>
                <w:rFonts w:asciiTheme="majorBidi" w:hAnsiTheme="majorBidi" w:cstheme="majorBidi"/>
                <w:b/>
                <w:bCs/>
                <w:noProof/>
                <w:sz w:val="26"/>
                <w:szCs w:val="26"/>
                <w:lang w:eastAsia="en-US"/>
              </w:rPr>
              <w:drawing>
                <wp:inline distT="0" distB="0" distL="0" distR="0">
                  <wp:extent cx="3028950" cy="2390775"/>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080A64" w:rsidRPr="00401156" w:rsidRDefault="00080A64" w:rsidP="00080A64">
      <w:pPr>
        <w:bidi w:val="0"/>
        <w:jc w:val="both"/>
        <w:rPr>
          <w:rFonts w:asciiTheme="majorBidi" w:hAnsiTheme="majorBidi" w:cstheme="majorBidi"/>
          <w:b/>
          <w:bCs/>
          <w:sz w:val="26"/>
          <w:szCs w:val="26"/>
        </w:rPr>
      </w:pPr>
    </w:p>
    <w:p w:rsidR="00401156" w:rsidRDefault="00401156" w:rsidP="00707586">
      <w:pPr>
        <w:bidi w:val="0"/>
        <w:rPr>
          <w:rFonts w:asciiTheme="majorBidi" w:hAnsiTheme="majorBidi" w:cstheme="majorBidi"/>
          <w:b/>
          <w:bCs/>
        </w:rPr>
      </w:pPr>
    </w:p>
    <w:p w:rsidR="00707586" w:rsidRPr="00401156" w:rsidRDefault="00707586" w:rsidP="00401156">
      <w:pPr>
        <w:bidi w:val="0"/>
        <w:rPr>
          <w:rFonts w:asciiTheme="majorBidi" w:hAnsiTheme="majorBidi" w:cstheme="majorBidi"/>
          <w:b/>
          <w:bCs/>
        </w:rPr>
      </w:pPr>
      <w:r w:rsidRPr="00401156">
        <w:rPr>
          <w:rFonts w:asciiTheme="majorBidi" w:hAnsiTheme="majorBidi" w:cstheme="majorBidi"/>
          <w:b/>
          <w:bCs/>
        </w:rPr>
        <w:t>Notice for Users:</w:t>
      </w:r>
    </w:p>
    <w:p w:rsidR="00707586" w:rsidRPr="00401156" w:rsidRDefault="00707586" w:rsidP="00707586">
      <w:pPr>
        <w:pStyle w:val="ListParagraph"/>
        <w:numPr>
          <w:ilvl w:val="0"/>
          <w:numId w:val="9"/>
        </w:numPr>
        <w:tabs>
          <w:tab w:val="right" w:pos="284"/>
        </w:tabs>
        <w:bidi w:val="0"/>
        <w:ind w:left="0" w:firstLine="0"/>
        <w:jc w:val="both"/>
        <w:rPr>
          <w:rFonts w:asciiTheme="majorBidi" w:hAnsiTheme="majorBidi" w:cstheme="majorBidi"/>
          <w:rtl/>
        </w:rPr>
      </w:pPr>
      <w:r w:rsidRPr="00401156">
        <w:rPr>
          <w:rFonts w:asciiTheme="majorBidi" w:hAnsiTheme="majorBidi" w:cstheme="majorBidi"/>
        </w:rPr>
        <w:t>As a result of CORONAVIRUS (COVID-19) outbreak, and the implemented measures to limit its spread, the data collection process for Wholesale Price Index has been replaced with data collection via phone and websites for all sale outlets in all of the Palestinian Governorates instead of collecting data face to face from the field.</w:t>
      </w:r>
    </w:p>
    <w:p w:rsidR="00707586" w:rsidRPr="00401156" w:rsidRDefault="00707586" w:rsidP="00707586">
      <w:pPr>
        <w:bidi w:val="0"/>
        <w:jc w:val="both"/>
        <w:rPr>
          <w:rFonts w:asciiTheme="majorBidi" w:hAnsiTheme="majorBidi" w:cstheme="majorBidi"/>
          <w:b/>
          <w:bCs/>
        </w:rPr>
      </w:pPr>
    </w:p>
    <w:p w:rsidR="00707586" w:rsidRPr="00401156" w:rsidRDefault="00707586" w:rsidP="00707586">
      <w:pPr>
        <w:pStyle w:val="ListParagraph"/>
        <w:bidi w:val="0"/>
        <w:ind w:left="0"/>
        <w:jc w:val="both"/>
        <w:rPr>
          <w:rFonts w:asciiTheme="majorBidi" w:hAnsiTheme="majorBidi" w:cstheme="majorBidi"/>
        </w:rPr>
      </w:pPr>
      <w:r w:rsidRPr="00401156">
        <w:rPr>
          <w:rFonts w:asciiTheme="majorBidi" w:hAnsiTheme="majorBidi" w:cstheme="majorBidi"/>
        </w:rPr>
        <w:t>Please note that the press release in English is brief compared to the Arabic version.</w:t>
      </w:r>
    </w:p>
    <w:p w:rsidR="00707586" w:rsidRPr="00401156" w:rsidRDefault="00707586" w:rsidP="00707586">
      <w:pPr>
        <w:pStyle w:val="ListParagraph"/>
        <w:bidi w:val="0"/>
        <w:ind w:left="0"/>
        <w:jc w:val="both"/>
        <w:rPr>
          <w:rFonts w:asciiTheme="majorBidi" w:hAnsiTheme="majorBidi" w:cstheme="majorBidi"/>
        </w:rPr>
      </w:pPr>
    </w:p>
    <w:p w:rsidR="00080A64" w:rsidRPr="00401156" w:rsidRDefault="00080A64" w:rsidP="00080A64">
      <w:pPr>
        <w:bidi w:val="0"/>
        <w:jc w:val="both"/>
        <w:rPr>
          <w:rFonts w:asciiTheme="majorBidi" w:hAnsiTheme="majorBidi" w:cstheme="majorBidi"/>
          <w:b/>
          <w:bCs/>
          <w:sz w:val="26"/>
          <w:szCs w:val="26"/>
        </w:rPr>
      </w:pPr>
    </w:p>
    <w:p w:rsidR="0063279D" w:rsidRPr="00401156" w:rsidRDefault="0063279D" w:rsidP="0063279D">
      <w:pPr>
        <w:bidi w:val="0"/>
        <w:jc w:val="both"/>
        <w:rPr>
          <w:rFonts w:asciiTheme="majorBidi" w:hAnsiTheme="majorBidi" w:cstheme="majorBidi"/>
          <w:b/>
          <w:bCs/>
          <w:noProof/>
          <w:sz w:val="26"/>
          <w:szCs w:val="26"/>
          <w:lang w:eastAsia="en-US"/>
        </w:rPr>
      </w:pPr>
    </w:p>
    <w:sectPr w:rsidR="0063279D" w:rsidRPr="00401156" w:rsidSect="00401156">
      <w:footerReference w:type="even" r:id="rId10"/>
      <w:footerReference w:type="default" r:id="rId11"/>
      <w:pgSz w:w="11907" w:h="16840" w:code="9"/>
      <w:pgMar w:top="1134" w:right="851" w:bottom="1418" w:left="851" w:header="720" w:footer="123" w:gutter="0"/>
      <w:pgNumType w:start="1"/>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599" w:rsidRDefault="00F55599">
      <w:r>
        <w:separator/>
      </w:r>
    </w:p>
  </w:endnote>
  <w:endnote w:type="continuationSeparator" w:id="0">
    <w:p w:rsidR="00F55599" w:rsidRDefault="00F5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9C" w:rsidRDefault="00B32FF9">
    <w:pPr>
      <w:pStyle w:val="Footer"/>
      <w:framePr w:wrap="around" w:vAnchor="text" w:hAnchor="margin" w:xAlign="center" w:y="1"/>
      <w:rPr>
        <w:rStyle w:val="PageNumber"/>
        <w:rtl/>
      </w:rPr>
    </w:pPr>
    <w:r>
      <w:rPr>
        <w:rStyle w:val="PageNumber"/>
        <w:rtl/>
      </w:rPr>
      <w:fldChar w:fldCharType="begin"/>
    </w:r>
    <w:r w:rsidR="006B279C">
      <w:rPr>
        <w:rStyle w:val="PageNumber"/>
      </w:rPr>
      <w:instrText xml:space="preserve">PAGE  </w:instrText>
    </w:r>
    <w:r>
      <w:rPr>
        <w:rStyle w:val="PageNumber"/>
        <w:rtl/>
      </w:rPr>
      <w:fldChar w:fldCharType="end"/>
    </w:r>
  </w:p>
  <w:p w:rsidR="006B279C" w:rsidRDefault="006B279C">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1254243"/>
      <w:docPartObj>
        <w:docPartGallery w:val="Page Numbers (Bottom of Page)"/>
        <w:docPartUnique/>
      </w:docPartObj>
    </w:sdtPr>
    <w:sdtEndPr>
      <w:rPr>
        <w:noProof/>
      </w:rPr>
    </w:sdtEndPr>
    <w:sdtContent>
      <w:p w:rsidR="00401156" w:rsidRDefault="00401156">
        <w:pPr>
          <w:pStyle w:val="Footer"/>
          <w:jc w:val="center"/>
        </w:pPr>
        <w:r>
          <w:fldChar w:fldCharType="begin"/>
        </w:r>
        <w:r>
          <w:instrText xml:space="preserve"> PAGE   \* MERGEFORMAT </w:instrText>
        </w:r>
        <w:r>
          <w:fldChar w:fldCharType="separate"/>
        </w:r>
        <w:r w:rsidR="003E1AED">
          <w:rPr>
            <w:noProof/>
            <w:rtl/>
          </w:rPr>
          <w:t>2</w:t>
        </w:r>
        <w:r>
          <w:rPr>
            <w:noProof/>
          </w:rPr>
          <w:fldChar w:fldCharType="end"/>
        </w:r>
      </w:p>
    </w:sdtContent>
  </w:sdt>
  <w:p w:rsidR="00401156" w:rsidRDefault="00401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599" w:rsidRDefault="00F55599">
      <w:r>
        <w:separator/>
      </w:r>
    </w:p>
  </w:footnote>
  <w:footnote w:type="continuationSeparator" w:id="0">
    <w:p w:rsidR="00F55599" w:rsidRDefault="00F55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4"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5"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6"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7"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66163925"/>
    <w:multiLevelType w:val="hybridMultilevel"/>
    <w:tmpl w:val="0032D7D2"/>
    <w:lvl w:ilvl="0" w:tplc="0409000F">
      <w:start w:val="1"/>
      <w:numFmt w:val="decimal"/>
      <w:lvlText w:val="%1."/>
      <w:lvlJc w:val="left"/>
      <w:pPr>
        <w:ind w:left="404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1"/>
  </w:num>
  <w:num w:numId="5">
    <w:abstractNumId w:val="3"/>
  </w:num>
  <w:num w:numId="6">
    <w:abstractNumId w:val="4"/>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2AF4"/>
    <w:rsid w:val="00001E72"/>
    <w:rsid w:val="00022588"/>
    <w:rsid w:val="00023129"/>
    <w:rsid w:val="000316D4"/>
    <w:rsid w:val="00044088"/>
    <w:rsid w:val="000441A2"/>
    <w:rsid w:val="000532E1"/>
    <w:rsid w:val="000552B4"/>
    <w:rsid w:val="000558DB"/>
    <w:rsid w:val="00071BAF"/>
    <w:rsid w:val="00080A64"/>
    <w:rsid w:val="000A1722"/>
    <w:rsid w:val="000A1ACF"/>
    <w:rsid w:val="000A2857"/>
    <w:rsid w:val="000A30A5"/>
    <w:rsid w:val="000A3D33"/>
    <w:rsid w:val="000A51D9"/>
    <w:rsid w:val="000C1419"/>
    <w:rsid w:val="000C3AE6"/>
    <w:rsid w:val="000D024B"/>
    <w:rsid w:val="000D7571"/>
    <w:rsid w:val="000E048A"/>
    <w:rsid w:val="000E598A"/>
    <w:rsid w:val="001029BD"/>
    <w:rsid w:val="00106E0B"/>
    <w:rsid w:val="00136DB1"/>
    <w:rsid w:val="001379BC"/>
    <w:rsid w:val="0014206B"/>
    <w:rsid w:val="0014223D"/>
    <w:rsid w:val="001428B9"/>
    <w:rsid w:val="00142D88"/>
    <w:rsid w:val="001478C7"/>
    <w:rsid w:val="00150DB4"/>
    <w:rsid w:val="00151951"/>
    <w:rsid w:val="00157CB8"/>
    <w:rsid w:val="00164632"/>
    <w:rsid w:val="00170995"/>
    <w:rsid w:val="00174D07"/>
    <w:rsid w:val="001824FA"/>
    <w:rsid w:val="00193C65"/>
    <w:rsid w:val="001C1467"/>
    <w:rsid w:val="001D4610"/>
    <w:rsid w:val="001E67F1"/>
    <w:rsid w:val="001F59E1"/>
    <w:rsid w:val="001F5CA4"/>
    <w:rsid w:val="00234FC5"/>
    <w:rsid w:val="00246756"/>
    <w:rsid w:val="002475A7"/>
    <w:rsid w:val="002475D5"/>
    <w:rsid w:val="00273F97"/>
    <w:rsid w:val="00280B2F"/>
    <w:rsid w:val="002A328E"/>
    <w:rsid w:val="002A65DC"/>
    <w:rsid w:val="002A76E9"/>
    <w:rsid w:val="002B3917"/>
    <w:rsid w:val="002B6CC4"/>
    <w:rsid w:val="002B7A6D"/>
    <w:rsid w:val="002C1E7D"/>
    <w:rsid w:val="002C3FFF"/>
    <w:rsid w:val="002D247B"/>
    <w:rsid w:val="002D75BC"/>
    <w:rsid w:val="002D7C8B"/>
    <w:rsid w:val="002F099B"/>
    <w:rsid w:val="002F458F"/>
    <w:rsid w:val="002F652D"/>
    <w:rsid w:val="002F7973"/>
    <w:rsid w:val="00311BBA"/>
    <w:rsid w:val="00313E31"/>
    <w:rsid w:val="0031752F"/>
    <w:rsid w:val="00333192"/>
    <w:rsid w:val="0033494D"/>
    <w:rsid w:val="0033708C"/>
    <w:rsid w:val="00352CB9"/>
    <w:rsid w:val="0035475C"/>
    <w:rsid w:val="00357C0F"/>
    <w:rsid w:val="00362C56"/>
    <w:rsid w:val="0036330D"/>
    <w:rsid w:val="00373227"/>
    <w:rsid w:val="00373482"/>
    <w:rsid w:val="0038789F"/>
    <w:rsid w:val="003D1122"/>
    <w:rsid w:val="003D3C6E"/>
    <w:rsid w:val="003D6B61"/>
    <w:rsid w:val="003E1AED"/>
    <w:rsid w:val="003F6769"/>
    <w:rsid w:val="003F72A5"/>
    <w:rsid w:val="003F79E1"/>
    <w:rsid w:val="00401156"/>
    <w:rsid w:val="004011F9"/>
    <w:rsid w:val="00404AE1"/>
    <w:rsid w:val="00407964"/>
    <w:rsid w:val="00442803"/>
    <w:rsid w:val="004563AC"/>
    <w:rsid w:val="00470F79"/>
    <w:rsid w:val="004736AF"/>
    <w:rsid w:val="004814A7"/>
    <w:rsid w:val="004B0471"/>
    <w:rsid w:val="004B49B8"/>
    <w:rsid w:val="004C0ABD"/>
    <w:rsid w:val="004D3224"/>
    <w:rsid w:val="004D7E42"/>
    <w:rsid w:val="004E07C4"/>
    <w:rsid w:val="004E3DE8"/>
    <w:rsid w:val="004F25F7"/>
    <w:rsid w:val="004F37AD"/>
    <w:rsid w:val="004F6095"/>
    <w:rsid w:val="00512ADF"/>
    <w:rsid w:val="005222C8"/>
    <w:rsid w:val="005300FD"/>
    <w:rsid w:val="0054079E"/>
    <w:rsid w:val="00546DEB"/>
    <w:rsid w:val="00550823"/>
    <w:rsid w:val="005518A9"/>
    <w:rsid w:val="00560859"/>
    <w:rsid w:val="00560D95"/>
    <w:rsid w:val="0056281E"/>
    <w:rsid w:val="00566005"/>
    <w:rsid w:val="005843A5"/>
    <w:rsid w:val="0059251C"/>
    <w:rsid w:val="00592F97"/>
    <w:rsid w:val="005A114A"/>
    <w:rsid w:val="005A5C14"/>
    <w:rsid w:val="005B0328"/>
    <w:rsid w:val="005B5BA2"/>
    <w:rsid w:val="005C2E3B"/>
    <w:rsid w:val="005C4D5E"/>
    <w:rsid w:val="005C4EA7"/>
    <w:rsid w:val="005D0603"/>
    <w:rsid w:val="005D2B57"/>
    <w:rsid w:val="005D4495"/>
    <w:rsid w:val="005E0836"/>
    <w:rsid w:val="005E333C"/>
    <w:rsid w:val="005F3E9F"/>
    <w:rsid w:val="0061046E"/>
    <w:rsid w:val="006123B9"/>
    <w:rsid w:val="006177C1"/>
    <w:rsid w:val="0063279D"/>
    <w:rsid w:val="00635C53"/>
    <w:rsid w:val="00640614"/>
    <w:rsid w:val="00647C1C"/>
    <w:rsid w:val="006507EC"/>
    <w:rsid w:val="0066695A"/>
    <w:rsid w:val="00674358"/>
    <w:rsid w:val="00677C79"/>
    <w:rsid w:val="0068763B"/>
    <w:rsid w:val="006A06A0"/>
    <w:rsid w:val="006A698D"/>
    <w:rsid w:val="006B020E"/>
    <w:rsid w:val="006B279C"/>
    <w:rsid w:val="006B68B2"/>
    <w:rsid w:val="006C41F9"/>
    <w:rsid w:val="006E16EE"/>
    <w:rsid w:val="006E2866"/>
    <w:rsid w:val="006E3F38"/>
    <w:rsid w:val="006E57B4"/>
    <w:rsid w:val="006E5FF4"/>
    <w:rsid w:val="00707586"/>
    <w:rsid w:val="007119C4"/>
    <w:rsid w:val="0071595E"/>
    <w:rsid w:val="00715D0B"/>
    <w:rsid w:val="00716266"/>
    <w:rsid w:val="00726D03"/>
    <w:rsid w:val="00745238"/>
    <w:rsid w:val="00745348"/>
    <w:rsid w:val="00755C5C"/>
    <w:rsid w:val="00760F31"/>
    <w:rsid w:val="00765914"/>
    <w:rsid w:val="00772474"/>
    <w:rsid w:val="007731A1"/>
    <w:rsid w:val="007777B6"/>
    <w:rsid w:val="0078417A"/>
    <w:rsid w:val="007A3645"/>
    <w:rsid w:val="007A755D"/>
    <w:rsid w:val="007B0572"/>
    <w:rsid w:val="007B172F"/>
    <w:rsid w:val="007B1FA4"/>
    <w:rsid w:val="007B263A"/>
    <w:rsid w:val="007B4047"/>
    <w:rsid w:val="007B4844"/>
    <w:rsid w:val="007C086F"/>
    <w:rsid w:val="007C4F6A"/>
    <w:rsid w:val="007D4D26"/>
    <w:rsid w:val="007E0B36"/>
    <w:rsid w:val="007E27D1"/>
    <w:rsid w:val="007F16E0"/>
    <w:rsid w:val="00810B7C"/>
    <w:rsid w:val="00810FF6"/>
    <w:rsid w:val="0081177A"/>
    <w:rsid w:val="00821889"/>
    <w:rsid w:val="00826129"/>
    <w:rsid w:val="00832305"/>
    <w:rsid w:val="0084434B"/>
    <w:rsid w:val="008525E4"/>
    <w:rsid w:val="00872DE9"/>
    <w:rsid w:val="00874B95"/>
    <w:rsid w:val="00883471"/>
    <w:rsid w:val="0088607C"/>
    <w:rsid w:val="00886755"/>
    <w:rsid w:val="008910DB"/>
    <w:rsid w:val="00893BE2"/>
    <w:rsid w:val="008977EC"/>
    <w:rsid w:val="008A3271"/>
    <w:rsid w:val="008A39D5"/>
    <w:rsid w:val="008C0D06"/>
    <w:rsid w:val="008D65BD"/>
    <w:rsid w:val="008E7801"/>
    <w:rsid w:val="008F0503"/>
    <w:rsid w:val="008F4D65"/>
    <w:rsid w:val="008F5B10"/>
    <w:rsid w:val="009100FC"/>
    <w:rsid w:val="0091203F"/>
    <w:rsid w:val="00916C4F"/>
    <w:rsid w:val="00922430"/>
    <w:rsid w:val="0092572E"/>
    <w:rsid w:val="00936337"/>
    <w:rsid w:val="00936FAF"/>
    <w:rsid w:val="009542BB"/>
    <w:rsid w:val="009577D1"/>
    <w:rsid w:val="0097781A"/>
    <w:rsid w:val="009856DC"/>
    <w:rsid w:val="009863E0"/>
    <w:rsid w:val="009923B4"/>
    <w:rsid w:val="00994EFC"/>
    <w:rsid w:val="009A333D"/>
    <w:rsid w:val="009A7C17"/>
    <w:rsid w:val="009B4D64"/>
    <w:rsid w:val="009B6ECF"/>
    <w:rsid w:val="009C2C1A"/>
    <w:rsid w:val="009D415E"/>
    <w:rsid w:val="009E6723"/>
    <w:rsid w:val="009F537F"/>
    <w:rsid w:val="00A012EE"/>
    <w:rsid w:val="00A02AF4"/>
    <w:rsid w:val="00A12287"/>
    <w:rsid w:val="00A16347"/>
    <w:rsid w:val="00A25696"/>
    <w:rsid w:val="00A27453"/>
    <w:rsid w:val="00A4532A"/>
    <w:rsid w:val="00A45597"/>
    <w:rsid w:val="00A474FA"/>
    <w:rsid w:val="00A53F74"/>
    <w:rsid w:val="00A56B0C"/>
    <w:rsid w:val="00A57B14"/>
    <w:rsid w:val="00A62B39"/>
    <w:rsid w:val="00A673F4"/>
    <w:rsid w:val="00A7058B"/>
    <w:rsid w:val="00AB6BEB"/>
    <w:rsid w:val="00AC24DE"/>
    <w:rsid w:val="00AD2168"/>
    <w:rsid w:val="00AE0AD8"/>
    <w:rsid w:val="00AE5C36"/>
    <w:rsid w:val="00AF0903"/>
    <w:rsid w:val="00AF09FD"/>
    <w:rsid w:val="00AF79AE"/>
    <w:rsid w:val="00B0477A"/>
    <w:rsid w:val="00B14AD0"/>
    <w:rsid w:val="00B17989"/>
    <w:rsid w:val="00B2014B"/>
    <w:rsid w:val="00B2222D"/>
    <w:rsid w:val="00B3118E"/>
    <w:rsid w:val="00B32FF9"/>
    <w:rsid w:val="00B3350A"/>
    <w:rsid w:val="00B42AE4"/>
    <w:rsid w:val="00B431EF"/>
    <w:rsid w:val="00B47964"/>
    <w:rsid w:val="00B53AC0"/>
    <w:rsid w:val="00B54B84"/>
    <w:rsid w:val="00B62228"/>
    <w:rsid w:val="00B655D0"/>
    <w:rsid w:val="00B72010"/>
    <w:rsid w:val="00B85188"/>
    <w:rsid w:val="00B95019"/>
    <w:rsid w:val="00BA1B13"/>
    <w:rsid w:val="00BA7D9E"/>
    <w:rsid w:val="00BC4555"/>
    <w:rsid w:val="00C14DB2"/>
    <w:rsid w:val="00C270A0"/>
    <w:rsid w:val="00C54C34"/>
    <w:rsid w:val="00C614BD"/>
    <w:rsid w:val="00C61DC3"/>
    <w:rsid w:val="00C64AD5"/>
    <w:rsid w:val="00C772F0"/>
    <w:rsid w:val="00C84A0B"/>
    <w:rsid w:val="00C867F9"/>
    <w:rsid w:val="00C927C2"/>
    <w:rsid w:val="00CA4E4B"/>
    <w:rsid w:val="00CB5EB3"/>
    <w:rsid w:val="00CB6736"/>
    <w:rsid w:val="00CC14ED"/>
    <w:rsid w:val="00CC5158"/>
    <w:rsid w:val="00CE3A28"/>
    <w:rsid w:val="00CE68DC"/>
    <w:rsid w:val="00CF1492"/>
    <w:rsid w:val="00D01A77"/>
    <w:rsid w:val="00D0313C"/>
    <w:rsid w:val="00D105A2"/>
    <w:rsid w:val="00D30D24"/>
    <w:rsid w:val="00D46644"/>
    <w:rsid w:val="00D475D8"/>
    <w:rsid w:val="00D61698"/>
    <w:rsid w:val="00D61D77"/>
    <w:rsid w:val="00D740E4"/>
    <w:rsid w:val="00D74755"/>
    <w:rsid w:val="00D91609"/>
    <w:rsid w:val="00D96C82"/>
    <w:rsid w:val="00DA3836"/>
    <w:rsid w:val="00DA68E3"/>
    <w:rsid w:val="00DB0789"/>
    <w:rsid w:val="00DB58BB"/>
    <w:rsid w:val="00DB7419"/>
    <w:rsid w:val="00DC1260"/>
    <w:rsid w:val="00DC141E"/>
    <w:rsid w:val="00DD16C7"/>
    <w:rsid w:val="00DD3467"/>
    <w:rsid w:val="00DD39CD"/>
    <w:rsid w:val="00DD7595"/>
    <w:rsid w:val="00DE2FE2"/>
    <w:rsid w:val="00DF74E6"/>
    <w:rsid w:val="00E064D2"/>
    <w:rsid w:val="00E073D7"/>
    <w:rsid w:val="00E24833"/>
    <w:rsid w:val="00E6048C"/>
    <w:rsid w:val="00E62B80"/>
    <w:rsid w:val="00E64FD0"/>
    <w:rsid w:val="00E66062"/>
    <w:rsid w:val="00E75999"/>
    <w:rsid w:val="00E80E52"/>
    <w:rsid w:val="00E8416D"/>
    <w:rsid w:val="00E84557"/>
    <w:rsid w:val="00E9284F"/>
    <w:rsid w:val="00EA09BA"/>
    <w:rsid w:val="00EB67CF"/>
    <w:rsid w:val="00EB7D21"/>
    <w:rsid w:val="00EB7DA6"/>
    <w:rsid w:val="00EC36EB"/>
    <w:rsid w:val="00EC3EC4"/>
    <w:rsid w:val="00EC5A53"/>
    <w:rsid w:val="00ED16E5"/>
    <w:rsid w:val="00EE0DE6"/>
    <w:rsid w:val="00EE6469"/>
    <w:rsid w:val="00EF39ED"/>
    <w:rsid w:val="00F025C1"/>
    <w:rsid w:val="00F10899"/>
    <w:rsid w:val="00F108B4"/>
    <w:rsid w:val="00F14895"/>
    <w:rsid w:val="00F46874"/>
    <w:rsid w:val="00F53CA2"/>
    <w:rsid w:val="00F55599"/>
    <w:rsid w:val="00F56B9E"/>
    <w:rsid w:val="00F61BC3"/>
    <w:rsid w:val="00F679D7"/>
    <w:rsid w:val="00F7525D"/>
    <w:rsid w:val="00F75BB5"/>
    <w:rsid w:val="00F77596"/>
    <w:rsid w:val="00F83D05"/>
    <w:rsid w:val="00F84185"/>
    <w:rsid w:val="00FB2238"/>
    <w:rsid w:val="00FC48A3"/>
    <w:rsid w:val="00FF4B57"/>
    <w:rsid w:val="00FF61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27D86"/>
  <w15:docId w15:val="{C2121996-D09B-42D8-8D12-EEE01278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5E4"/>
    <w:pPr>
      <w:bidi/>
    </w:pPr>
    <w:rPr>
      <w:sz w:val="24"/>
      <w:szCs w:val="24"/>
      <w:lang w:eastAsia="ar-SA"/>
    </w:rPr>
  </w:style>
  <w:style w:type="paragraph" w:styleId="Heading1">
    <w:name w:val="heading 1"/>
    <w:basedOn w:val="Normal"/>
    <w:next w:val="Normal"/>
    <w:qFormat/>
    <w:rsid w:val="008525E4"/>
    <w:pPr>
      <w:keepNext/>
      <w:jc w:val="lowKashida"/>
      <w:outlineLvl w:val="0"/>
    </w:pPr>
    <w:rPr>
      <w:b/>
      <w:bCs/>
      <w:lang w:eastAsia="en-US"/>
    </w:rPr>
  </w:style>
  <w:style w:type="paragraph" w:styleId="Heading2">
    <w:name w:val="heading 2"/>
    <w:basedOn w:val="Normal"/>
    <w:next w:val="Normal"/>
    <w:qFormat/>
    <w:rsid w:val="008525E4"/>
    <w:pPr>
      <w:keepNext/>
      <w:outlineLvl w:val="1"/>
    </w:pPr>
    <w:rPr>
      <w:rFonts w:cs="Simplified Arabic"/>
      <w:b/>
      <w:bCs/>
      <w:lang w:val="en-GB"/>
    </w:rPr>
  </w:style>
  <w:style w:type="paragraph" w:styleId="Heading6">
    <w:name w:val="heading 6"/>
    <w:basedOn w:val="Normal"/>
    <w:next w:val="Normal"/>
    <w:qFormat/>
    <w:rsid w:val="008525E4"/>
    <w:pPr>
      <w:keepNext/>
      <w:outlineLvl w:val="5"/>
    </w:pPr>
    <w:rPr>
      <w:rFonts w:cs="Simplified Arabic"/>
      <w:b/>
      <w:bCs/>
      <w:sz w:val="28"/>
      <w:szCs w:val="28"/>
      <w:lang w:val="en-GB"/>
    </w:rPr>
  </w:style>
  <w:style w:type="paragraph" w:styleId="Heading8">
    <w:name w:val="heading 8"/>
    <w:basedOn w:val="Normal"/>
    <w:next w:val="Normal"/>
    <w:qFormat/>
    <w:rsid w:val="008525E4"/>
    <w:pPr>
      <w:keepNext/>
      <w:jc w:val="both"/>
      <w:outlineLvl w:val="7"/>
    </w:pPr>
    <w:rPr>
      <w:rFonts w:cs="Simplified Arabic"/>
      <w:b/>
      <w:bCs/>
      <w:lang w:val="en-GB"/>
    </w:rPr>
  </w:style>
  <w:style w:type="paragraph" w:styleId="Heading9">
    <w:name w:val="heading 9"/>
    <w:basedOn w:val="Normal"/>
    <w:next w:val="Normal"/>
    <w:qFormat/>
    <w:rsid w:val="008525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25E4"/>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8525E4"/>
    <w:rPr>
      <w:rFonts w:cs="Traditional Arabic"/>
      <w:snapToGrid w:val="0"/>
      <w:sz w:val="20"/>
      <w:szCs w:val="20"/>
      <w:lang w:eastAsia="en-US"/>
    </w:rPr>
  </w:style>
  <w:style w:type="character" w:styleId="FootnoteReference">
    <w:name w:val="footnote reference"/>
    <w:semiHidden/>
    <w:rsid w:val="008525E4"/>
    <w:rPr>
      <w:vertAlign w:val="superscript"/>
    </w:rPr>
  </w:style>
  <w:style w:type="paragraph" w:styleId="BodyText">
    <w:name w:val="Body Text"/>
    <w:basedOn w:val="Normal"/>
    <w:semiHidden/>
    <w:rsid w:val="008525E4"/>
    <w:pPr>
      <w:jc w:val="lowKashida"/>
    </w:pPr>
    <w:rPr>
      <w:rFonts w:cs="Simplified Arabic"/>
      <w:snapToGrid w:val="0"/>
      <w:sz w:val="20"/>
      <w:szCs w:val="20"/>
      <w:lang w:eastAsia="en-US"/>
    </w:rPr>
  </w:style>
  <w:style w:type="paragraph" w:styleId="Footer">
    <w:name w:val="footer"/>
    <w:basedOn w:val="Normal"/>
    <w:uiPriority w:val="99"/>
    <w:unhideWhenUsed/>
    <w:rsid w:val="008525E4"/>
    <w:pPr>
      <w:tabs>
        <w:tab w:val="center" w:pos="4153"/>
        <w:tab w:val="right" w:pos="8306"/>
      </w:tabs>
    </w:pPr>
  </w:style>
  <w:style w:type="character" w:customStyle="1" w:styleId="FooterChar">
    <w:name w:val="Footer Char"/>
    <w:uiPriority w:val="99"/>
    <w:rsid w:val="008525E4"/>
    <w:rPr>
      <w:sz w:val="24"/>
      <w:szCs w:val="24"/>
      <w:lang w:eastAsia="ar-SA"/>
    </w:rPr>
  </w:style>
  <w:style w:type="character" w:styleId="PageNumber">
    <w:name w:val="page number"/>
    <w:basedOn w:val="DefaultParagraphFont"/>
    <w:semiHidden/>
    <w:rsid w:val="008525E4"/>
  </w:style>
  <w:style w:type="paragraph" w:styleId="BodyText2">
    <w:name w:val="Body Text 2"/>
    <w:basedOn w:val="Normal"/>
    <w:unhideWhenUsed/>
    <w:rsid w:val="008525E4"/>
    <w:pPr>
      <w:spacing w:after="120" w:line="480" w:lineRule="auto"/>
    </w:pPr>
  </w:style>
  <w:style w:type="character" w:customStyle="1" w:styleId="BodyText2Char">
    <w:name w:val="Body Text 2 Char"/>
    <w:rsid w:val="008525E4"/>
    <w:rPr>
      <w:sz w:val="24"/>
      <w:szCs w:val="24"/>
      <w:lang w:eastAsia="ar-SA"/>
    </w:rPr>
  </w:style>
  <w:style w:type="paragraph" w:styleId="BodyText3">
    <w:name w:val="Body Text 3"/>
    <w:basedOn w:val="Normal"/>
    <w:unhideWhenUsed/>
    <w:rsid w:val="008525E4"/>
    <w:pPr>
      <w:spacing w:after="120"/>
    </w:pPr>
    <w:rPr>
      <w:sz w:val="16"/>
      <w:szCs w:val="16"/>
    </w:rPr>
  </w:style>
  <w:style w:type="character" w:customStyle="1" w:styleId="BodyText3Char">
    <w:name w:val="Body Text 3 Char"/>
    <w:semiHidden/>
    <w:rsid w:val="008525E4"/>
    <w:rPr>
      <w:sz w:val="16"/>
      <w:szCs w:val="16"/>
      <w:lang w:eastAsia="ar-SA"/>
    </w:rPr>
  </w:style>
  <w:style w:type="paragraph" w:styleId="EndnoteText">
    <w:name w:val="endnote text"/>
    <w:basedOn w:val="Normal"/>
    <w:link w:val="EndnoteTextChar"/>
    <w:uiPriority w:val="99"/>
    <w:semiHidden/>
    <w:unhideWhenUsed/>
    <w:rsid w:val="00B47964"/>
    <w:rPr>
      <w:sz w:val="20"/>
      <w:szCs w:val="20"/>
    </w:rPr>
  </w:style>
  <w:style w:type="character" w:customStyle="1" w:styleId="HeaderChar">
    <w:name w:val="Header Char"/>
    <w:semiHidden/>
    <w:rsid w:val="008525E4"/>
    <w:rPr>
      <w:rFonts w:cs="Traditional Arabic"/>
      <w:snapToGrid w:val="0"/>
    </w:rPr>
  </w:style>
  <w:style w:type="paragraph" w:styleId="BalloonText">
    <w:name w:val="Balloon Text"/>
    <w:basedOn w:val="Normal"/>
    <w:semiHidden/>
    <w:unhideWhenUsed/>
    <w:rsid w:val="008525E4"/>
    <w:rPr>
      <w:rFonts w:ascii="Tahoma" w:hAnsi="Tahoma" w:cs="Tahoma"/>
      <w:sz w:val="16"/>
      <w:szCs w:val="16"/>
    </w:rPr>
  </w:style>
  <w:style w:type="character" w:customStyle="1" w:styleId="BalloonTextChar">
    <w:name w:val="Balloon Text Char"/>
    <w:semiHidden/>
    <w:rsid w:val="008525E4"/>
    <w:rPr>
      <w:rFonts w:ascii="Tahoma" w:hAnsi="Tahoma" w:cs="Tahoma"/>
      <w:sz w:val="16"/>
      <w:szCs w:val="16"/>
      <w:lang w:eastAsia="ar-SA"/>
    </w:rPr>
  </w:style>
  <w:style w:type="character" w:customStyle="1" w:styleId="EndnoteTextChar">
    <w:name w:val="Endnote Text Char"/>
    <w:link w:val="EndnoteText"/>
    <w:uiPriority w:val="99"/>
    <w:semiHidden/>
    <w:rsid w:val="00B47964"/>
    <w:rPr>
      <w:lang w:eastAsia="ar-SA"/>
    </w:rPr>
  </w:style>
  <w:style w:type="character" w:styleId="EndnoteReference">
    <w:name w:val="endnote reference"/>
    <w:uiPriority w:val="99"/>
    <w:semiHidden/>
    <w:unhideWhenUsed/>
    <w:rsid w:val="00B47964"/>
    <w:rPr>
      <w:vertAlign w:val="superscript"/>
    </w:rPr>
  </w:style>
  <w:style w:type="character" w:styleId="Hyperlink">
    <w:name w:val="Hyperlink"/>
    <w:basedOn w:val="DefaultParagraphFont"/>
    <w:uiPriority w:val="99"/>
    <w:unhideWhenUsed/>
    <w:rsid w:val="00407964"/>
    <w:rPr>
      <w:color w:val="0000FF"/>
      <w:u w:val="single"/>
    </w:rPr>
  </w:style>
  <w:style w:type="table" w:styleId="TableGrid">
    <w:name w:val="Table Grid"/>
    <w:basedOn w:val="TableNormal"/>
    <w:uiPriority w:val="39"/>
    <w:rsid w:val="002B6C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A6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3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040102761006471"/>
          <c:y val="8.0645161290322884E-2"/>
          <c:w val="0.64454151711601471"/>
          <c:h val="0.75111827556988442"/>
        </c:manualLayout>
      </c:layout>
      <c:lineChart>
        <c:grouping val="standard"/>
        <c:varyColors val="0"/>
        <c:ser>
          <c:idx val="0"/>
          <c:order val="0"/>
          <c:dLbls>
            <c:dLbl>
              <c:idx val="0"/>
              <c:layout>
                <c:manualLayout>
                  <c:x val="-4.2791574130156808E-2"/>
                  <c:y val="5.6022408963585436E-2"/>
                </c:manualLayout>
              </c:layout>
              <c:tx>
                <c:rich>
                  <a:bodyPr/>
                  <a:lstStyle/>
                  <a:p>
                    <a:fld id="{0C1B36FF-423A-4531-8941-376A25F8A093}" type="VALUE">
                      <a:rPr lang="en-US" sz="600"/>
                      <a:pPr/>
                      <a:t>[VALUE]</a:t>
                    </a:fld>
                    <a:endParaRPr lang="ar-SA"/>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000-453E-AB0B-0161D99DA381}"/>
                </c:ext>
              </c:extLst>
            </c:dLbl>
            <c:dLbl>
              <c:idx val="1"/>
              <c:layout>
                <c:manualLayout>
                  <c:x val="-4.9535603715170309E-2"/>
                  <c:y val="-6.16246498599440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000-453E-AB0B-0161D99DA381}"/>
                </c:ext>
              </c:extLst>
            </c:dLbl>
            <c:dLbl>
              <c:idx val="2"/>
              <c:layout>
                <c:manualLayout>
                  <c:x val="-7.4074074074074084E-2"/>
                  <c:y val="3.92156862745099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000-453E-AB0B-0161D99DA381}"/>
                </c:ext>
              </c:extLst>
            </c:dLbl>
            <c:dLbl>
              <c:idx val="3"/>
              <c:layout>
                <c:manualLayout>
                  <c:x val="-8.6687306501548045E-2"/>
                  <c:y val="-7.84313725490197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000-453E-AB0B-0161D99DA381}"/>
                </c:ext>
              </c:extLst>
            </c:dLbl>
            <c:dLbl>
              <c:idx val="5"/>
              <c:layout>
                <c:manualLayout>
                  <c:x val="-4.5407636738906208E-2"/>
                  <c:y val="-8.9635854341736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000-453E-AB0B-0161D99DA381}"/>
                </c:ext>
              </c:extLst>
            </c:dLbl>
            <c:dLbl>
              <c:idx val="9"/>
              <c:layout>
                <c:manualLayout>
                  <c:x val="-8.5569407990667881E-2"/>
                  <c:y val="-6.72268907563025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000-453E-AB0B-0161D99DA381}"/>
                </c:ext>
              </c:extLst>
            </c:dLbl>
            <c:dLbl>
              <c:idx val="10"/>
              <c:layout>
                <c:manualLayout>
                  <c:x val="-2.0639834881321012E-2"/>
                  <c:y val="1.6806722689075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000-453E-AB0B-0161D99DA381}"/>
                </c:ext>
              </c:extLst>
            </c:dLbl>
            <c:dLbl>
              <c:idx val="11"/>
              <c:layout>
                <c:manualLayout>
                  <c:x val="-5.4185987168270638E-2"/>
                  <c:y val="-6.16246498599440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000-453E-AB0B-0161D99DA381}"/>
                </c:ext>
              </c:extLst>
            </c:dLbl>
            <c:dLbl>
              <c:idx val="13"/>
              <c:layout>
                <c:manualLayout>
                  <c:x val="-1.9536019536019536E-2"/>
                  <c:y val="3.92156862745098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000-453E-AB0B-0161D99DA381}"/>
                </c:ext>
              </c:extLst>
            </c:dLbl>
            <c:dLbl>
              <c:idx val="14"/>
              <c:layout>
                <c:manualLayout>
                  <c:x val="-1.4652014652014652E-2"/>
                  <c:y val="-6.72268907563025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31-4AD7-8C23-6C430C564D1B}"/>
                </c:ext>
              </c:extLst>
            </c:dLbl>
            <c:spPr>
              <a:noFill/>
              <a:ln>
                <a:noFill/>
              </a:ln>
              <a:effectLst/>
            </c:spPr>
            <c:txPr>
              <a:bodyPr/>
              <a:lstStyle/>
              <a:p>
                <a:pPr>
                  <a:defRPr sz="700" b="1"/>
                </a:pPr>
                <a:endParaRPr lang="ar-SA"/>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Sheet1!$B$1:$P$1</c:f>
              <c:numCache>
                <c:formatCode>General</c:formatCode>
                <c:ptCount val="15"/>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numCache>
            </c:numRef>
          </c:cat>
          <c:val>
            <c:numRef>
              <c:f>Sheet1!$B$3:$P$3</c:f>
              <c:numCache>
                <c:formatCode>0.00%</c:formatCode>
                <c:ptCount val="15"/>
                <c:pt idx="0">
                  <c:v>3.0843279339540855E-2</c:v>
                </c:pt>
                <c:pt idx="1">
                  <c:v>0.10708656857849647</c:v>
                </c:pt>
                <c:pt idx="2">
                  <c:v>-6.692354814467478E-3</c:v>
                </c:pt>
                <c:pt idx="3">
                  <c:v>3.7019793883841315E-2</c:v>
                </c:pt>
                <c:pt idx="4">
                  <c:v>3.760240932546452E-2</c:v>
                </c:pt>
                <c:pt idx="5">
                  <c:v>9.2865108482622812E-3</c:v>
                </c:pt>
                <c:pt idx="6">
                  <c:v>7.8084822892499515E-3</c:v>
                </c:pt>
                <c:pt idx="7">
                  <c:v>1.4843629228618198E-2</c:v>
                </c:pt>
                <c:pt idx="8">
                  <c:v>1.2122729362056503E-2</c:v>
                </c:pt>
                <c:pt idx="9">
                  <c:v>1.620882219451019E-2</c:v>
                </c:pt>
                <c:pt idx="10">
                  <c:v>-1.170274160575218E-2</c:v>
                </c:pt>
                <c:pt idx="11">
                  <c:v>1.0523461850728354E-2</c:v>
                </c:pt>
                <c:pt idx="12">
                  <c:v>1.1123799878835427E-3</c:v>
                </c:pt>
                <c:pt idx="13">
                  <c:v>-1.0193081259541258E-3</c:v>
                </c:pt>
                <c:pt idx="14">
                  <c:v>1.2076920182650497E-2</c:v>
                </c:pt>
              </c:numCache>
            </c:numRef>
          </c:val>
          <c:smooth val="0"/>
          <c:extLst>
            <c:ext xmlns:c16="http://schemas.microsoft.com/office/drawing/2014/chart" uri="{C3380CC4-5D6E-409C-BE32-E72D297353CC}">
              <c16:uniqueId val="{00000009-5000-453E-AB0B-0161D99DA381}"/>
            </c:ext>
          </c:extLst>
        </c:ser>
        <c:dLbls>
          <c:showLegendKey val="0"/>
          <c:showVal val="0"/>
          <c:showCatName val="0"/>
          <c:showSerName val="0"/>
          <c:showPercent val="0"/>
          <c:showBubbleSize val="0"/>
        </c:dLbls>
        <c:marker val="1"/>
        <c:smooth val="0"/>
        <c:axId val="122675968"/>
        <c:axId val="122677504"/>
      </c:lineChart>
      <c:catAx>
        <c:axId val="122675968"/>
        <c:scaling>
          <c:orientation val="minMax"/>
        </c:scaling>
        <c:delete val="0"/>
        <c:axPos val="b"/>
        <c:numFmt formatCode="General" sourceLinked="1"/>
        <c:majorTickMark val="out"/>
        <c:minorTickMark val="none"/>
        <c:tickLblPos val="nextTo"/>
        <c:txPr>
          <a:bodyPr rot="-2700000" vert="horz"/>
          <a:lstStyle/>
          <a:p>
            <a:pPr>
              <a:defRPr lang="ar-SA" sz="799" b="0" i="0" u="none" strike="noStrike" baseline="0">
                <a:solidFill>
                  <a:srgbClr val="000000"/>
                </a:solidFill>
                <a:latin typeface="Arial"/>
                <a:ea typeface="Arial"/>
                <a:cs typeface="Arial"/>
              </a:defRPr>
            </a:pPr>
            <a:endParaRPr lang="ar-SA"/>
          </a:p>
        </c:txPr>
        <c:crossAx val="122677504"/>
        <c:crosses val="autoZero"/>
        <c:auto val="1"/>
        <c:lblAlgn val="ctr"/>
        <c:lblOffset val="700"/>
        <c:tickLblSkip val="1"/>
        <c:noMultiLvlLbl val="0"/>
      </c:catAx>
      <c:valAx>
        <c:axId val="122677504"/>
        <c:scaling>
          <c:orientation val="minMax"/>
          <c:max val="0.13"/>
          <c:min val="-2.0000000000000035E-2"/>
        </c:scaling>
        <c:delete val="0"/>
        <c:axPos val="l"/>
        <c:title>
          <c:tx>
            <c:rich>
              <a:bodyPr/>
              <a:lstStyle/>
              <a:p>
                <a:pPr>
                  <a:defRPr lang="ar-SA" sz="799" b="0" i="0" u="none" strike="noStrike" baseline="0">
                    <a:solidFill>
                      <a:srgbClr val="000000"/>
                    </a:solidFill>
                    <a:latin typeface="Arial"/>
                    <a:ea typeface="Arial"/>
                    <a:cs typeface="Arial"/>
                  </a:defRPr>
                </a:pPr>
                <a:r>
                  <a:rPr lang="en-US"/>
                  <a:t>Yearly WPI Percent</a:t>
                </a:r>
                <a:r>
                  <a:rPr lang="en-US" baseline="0"/>
                  <a:t> Change</a:t>
                </a:r>
                <a:endParaRPr lang="en-US"/>
              </a:p>
            </c:rich>
          </c:tx>
          <c:layout>
            <c:manualLayout>
              <c:xMode val="edge"/>
              <c:yMode val="edge"/>
              <c:x val="4.769019257208235E-3"/>
              <c:y val="0.10686120117338277"/>
            </c:manualLayout>
          </c:layout>
          <c:overlay val="0"/>
        </c:title>
        <c:numFmt formatCode="0%" sourceLinked="0"/>
        <c:majorTickMark val="out"/>
        <c:minorTickMark val="none"/>
        <c:tickLblPos val="nextTo"/>
        <c:txPr>
          <a:bodyPr rot="0" vert="horz"/>
          <a:lstStyle/>
          <a:p>
            <a:pPr>
              <a:defRPr lang="ar-SA" sz="799" b="0" i="0" u="none" strike="noStrike" baseline="0">
                <a:solidFill>
                  <a:srgbClr val="000000"/>
                </a:solidFill>
                <a:latin typeface="Arial"/>
                <a:ea typeface="Arial"/>
                <a:cs typeface="Arial"/>
              </a:defRPr>
            </a:pPr>
            <a:endParaRPr lang="ar-SA"/>
          </a:p>
        </c:txPr>
        <c:crossAx val="122675968"/>
        <c:crosses val="autoZero"/>
        <c:crossBetween val="midCat"/>
        <c:majorUnit val="2.0000000000000035E-2"/>
        <c:minorUnit val="8.0000000000000227E-3"/>
      </c:valAx>
    </c:plotArea>
    <c:plotVisOnly val="1"/>
    <c:dispBlanksAs val="gap"/>
    <c:showDLblsOverMax val="0"/>
  </c:chart>
  <c:spPr>
    <a:ln>
      <a:noFill/>
    </a:ln>
  </c:spPr>
  <c:txPr>
    <a:bodyPr/>
    <a:lstStyle/>
    <a:p>
      <a:pPr>
        <a:defRPr sz="799" b="0" i="0" u="none" strike="noStrike" baseline="0">
          <a:solidFill>
            <a:srgbClr val="000000"/>
          </a:solidFill>
          <a:latin typeface="Arial"/>
          <a:ea typeface="Arial"/>
          <a:cs typeface="Arial"/>
        </a:defRPr>
      </a:pPr>
      <a:endParaRPr lang="ar-S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21229630468872"/>
          <c:y val="5.5000000000000132E-2"/>
          <c:w val="0.71791461319133665"/>
          <c:h val="0.61634623010253264"/>
        </c:manualLayout>
      </c:layout>
      <c:lineChart>
        <c:grouping val="standard"/>
        <c:varyColors val="0"/>
        <c:ser>
          <c:idx val="0"/>
          <c:order val="0"/>
          <c:tx>
            <c:strRef>
              <c:f>Sheet1!$A$2</c:f>
              <c:strCache>
                <c:ptCount val="1"/>
                <c:pt idx="0">
                  <c:v>Price Index</c:v>
                </c:pt>
              </c:strCache>
            </c:strRef>
          </c:tx>
          <c:spPr>
            <a:ln w="10736">
              <a:solidFill>
                <a:srgbClr val="000080"/>
              </a:solidFill>
              <a:prstDash val="solid"/>
            </a:ln>
          </c:spPr>
          <c:marker>
            <c:symbol val="circle"/>
            <c:size val="3"/>
            <c:spPr>
              <a:solidFill>
                <a:srgbClr val="000080"/>
              </a:solidFill>
              <a:ln>
                <a:solidFill>
                  <a:srgbClr val="000080"/>
                </a:solidFill>
                <a:prstDash val="solid"/>
              </a:ln>
            </c:spPr>
          </c:marker>
          <c:dLbls>
            <c:dLbl>
              <c:idx val="0"/>
              <c:layout>
                <c:manualLayout>
                  <c:x val="-4.9061633253290188E-2"/>
                  <c:y val="-6.0720895943783923E-2"/>
                </c:manualLayout>
              </c:layout>
              <c:spPr/>
              <c:txPr>
                <a:bodyPr/>
                <a:lstStyle/>
                <a:p>
                  <a:pPr>
                    <a:defRPr sz="761" b="1" i="0" u="none" strike="noStrike" baseline="0">
                      <a:solidFill>
                        <a:srgbClr val="000000"/>
                      </a:solidFill>
                      <a:latin typeface="Arial"/>
                      <a:ea typeface="Arial"/>
                      <a:cs typeface="Arial"/>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D7-4BC0-B790-69454B20F57A}"/>
                </c:ext>
              </c:extLst>
            </c:dLbl>
            <c:dLbl>
              <c:idx val="12"/>
              <c:layout>
                <c:manualLayout>
                  <c:x val="0"/>
                  <c:y val="5.3120849933598939E-2"/>
                </c:manualLayout>
              </c:layout>
              <c:spPr>
                <a:noFill/>
                <a:ln>
                  <a:noFill/>
                </a:ln>
                <a:effectLst/>
              </c:spPr>
              <c:txPr>
                <a:bodyPr wrap="square" lIns="38100" tIns="19050" rIns="38100" bIns="19050" anchor="ctr">
                  <a:spAutoFit/>
                </a:bodyPr>
                <a:lstStyle/>
                <a:p>
                  <a:pPr>
                    <a:defRPr b="1"/>
                  </a:pPr>
                  <a:endParaRPr lang="ar-S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1D7-4BC0-B790-69454B20F57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strRef>
              <c:f>Sheet1!$B$1:$N$1</c:f>
              <c:strCache>
                <c:ptCount val="13"/>
                <c:pt idx="0">
                  <c:v>Q4.2018</c:v>
                </c:pt>
                <c:pt idx="1">
                  <c:v>Q1.2019</c:v>
                </c:pt>
                <c:pt idx="2">
                  <c:v>Q2.2019</c:v>
                </c:pt>
                <c:pt idx="3">
                  <c:v>Q3.2019</c:v>
                </c:pt>
                <c:pt idx="4">
                  <c:v>Q4.2019</c:v>
                </c:pt>
                <c:pt idx="5">
                  <c:v>Q1.2020</c:v>
                </c:pt>
                <c:pt idx="6">
                  <c:v>Q2.2020</c:v>
                </c:pt>
                <c:pt idx="7">
                  <c:v>Q3.2020</c:v>
                </c:pt>
                <c:pt idx="8">
                  <c:v>Q4.2020</c:v>
                </c:pt>
                <c:pt idx="9">
                  <c:v>Q1.2021</c:v>
                </c:pt>
                <c:pt idx="10">
                  <c:v>Q2.2021</c:v>
                </c:pt>
                <c:pt idx="11">
                  <c:v>Q3.2021</c:v>
                </c:pt>
                <c:pt idx="12">
                  <c:v>Q4.2021</c:v>
                </c:pt>
              </c:strCache>
            </c:strRef>
          </c:cat>
          <c:val>
            <c:numRef>
              <c:f>Sheet1!$B$2:$N$2</c:f>
              <c:numCache>
                <c:formatCode>0.00</c:formatCode>
                <c:ptCount val="13"/>
                <c:pt idx="0">
                  <c:v>127.04685107499441</c:v>
                </c:pt>
                <c:pt idx="1">
                  <c:v>127.1176715185687</c:v>
                </c:pt>
                <c:pt idx="2">
                  <c:v>125.10448386049551</c:v>
                </c:pt>
                <c:pt idx="3">
                  <c:v>126.27604286793586</c:v>
                </c:pt>
                <c:pt idx="4">
                  <c:v>123.92298204938899</c:v>
                </c:pt>
                <c:pt idx="5">
                  <c:v>124.76687026961241</c:v>
                </c:pt>
                <c:pt idx="6">
                  <c:v>124.00054235834523</c:v>
                </c:pt>
                <c:pt idx="7">
                  <c:v>127.61334031491842</c:v>
                </c:pt>
                <c:pt idx="8">
                  <c:v>125.52830536178539</c:v>
                </c:pt>
                <c:pt idx="9">
                  <c:v>124.7301564139165</c:v>
                </c:pt>
                <c:pt idx="10">
                  <c:v>124.12509757045889</c:v>
                </c:pt>
                <c:pt idx="11">
                  <c:v>129.35337414972363</c:v>
                </c:pt>
                <c:pt idx="12">
                  <c:v>129.76194580665702</c:v>
                </c:pt>
              </c:numCache>
            </c:numRef>
          </c:val>
          <c:smooth val="0"/>
          <c:extLst>
            <c:ext xmlns:c16="http://schemas.microsoft.com/office/drawing/2014/chart" uri="{C3380CC4-5D6E-409C-BE32-E72D297353CC}">
              <c16:uniqueId val="{00000002-B1D7-4BC0-B790-69454B20F57A}"/>
            </c:ext>
          </c:extLst>
        </c:ser>
        <c:dLbls>
          <c:showLegendKey val="0"/>
          <c:showVal val="0"/>
          <c:showCatName val="0"/>
          <c:showSerName val="0"/>
          <c:showPercent val="0"/>
          <c:showBubbleSize val="0"/>
        </c:dLbls>
        <c:marker val="1"/>
        <c:smooth val="0"/>
        <c:axId val="65924096"/>
        <c:axId val="122647296"/>
      </c:lineChart>
      <c:catAx>
        <c:axId val="65924096"/>
        <c:scaling>
          <c:orientation val="minMax"/>
        </c:scaling>
        <c:delete val="0"/>
        <c:axPos val="b"/>
        <c:numFmt formatCode="General" sourceLinked="1"/>
        <c:majorTickMark val="out"/>
        <c:minorTickMark val="out"/>
        <c:tickLblPos val="nextTo"/>
        <c:spPr>
          <a:ln w="2684">
            <a:solidFill>
              <a:srgbClr val="000000"/>
            </a:solidFill>
            <a:prstDash val="solid"/>
          </a:ln>
        </c:spPr>
        <c:txPr>
          <a:bodyPr rot="3900000" vert="horz"/>
          <a:lstStyle/>
          <a:p>
            <a:pPr>
              <a:defRPr sz="761" b="0" i="0" u="none" strike="noStrike" baseline="0">
                <a:solidFill>
                  <a:srgbClr val="000000"/>
                </a:solidFill>
                <a:latin typeface="Arial"/>
                <a:ea typeface="Arial"/>
                <a:cs typeface="Arial"/>
              </a:defRPr>
            </a:pPr>
            <a:endParaRPr lang="ar-SA"/>
          </a:p>
        </c:txPr>
        <c:crossAx val="122647296"/>
        <c:crosses val="autoZero"/>
        <c:auto val="1"/>
        <c:lblAlgn val="ctr"/>
        <c:lblOffset val="100"/>
        <c:tickLblSkip val="1"/>
        <c:tickMarkSkip val="2"/>
        <c:noMultiLvlLbl val="0"/>
      </c:catAx>
      <c:valAx>
        <c:axId val="122647296"/>
        <c:scaling>
          <c:orientation val="minMax"/>
          <c:max val="130"/>
          <c:min val="120"/>
        </c:scaling>
        <c:delete val="0"/>
        <c:axPos val="l"/>
        <c:title>
          <c:tx>
            <c:rich>
              <a:bodyPr/>
              <a:lstStyle/>
              <a:p>
                <a:pPr>
                  <a:defRPr sz="761" b="0" i="0" u="none" strike="noStrike" baseline="0">
                    <a:solidFill>
                      <a:srgbClr val="000000"/>
                    </a:solidFill>
                    <a:latin typeface="Arial"/>
                    <a:ea typeface="Arial"/>
                    <a:cs typeface="Arial"/>
                  </a:defRPr>
                </a:pPr>
                <a:r>
                  <a:rPr lang="en-US"/>
                  <a:t>Wholesale Price Index (WPI)</a:t>
                </a:r>
              </a:p>
            </c:rich>
          </c:tx>
          <c:layout>
            <c:manualLayout>
              <c:xMode val="edge"/>
              <c:yMode val="edge"/>
              <c:x val="4.1828166313159021E-3"/>
              <c:y val="9.0714324609838706E-2"/>
            </c:manualLayout>
          </c:layout>
          <c:overlay val="0"/>
          <c:spPr>
            <a:noFill/>
            <a:ln w="21474">
              <a:noFill/>
            </a:ln>
          </c:spPr>
        </c:title>
        <c:numFmt formatCode="0" sourceLinked="0"/>
        <c:majorTickMark val="out"/>
        <c:minorTickMark val="none"/>
        <c:tickLblPos val="nextTo"/>
        <c:spPr>
          <a:ln w="2684">
            <a:solidFill>
              <a:srgbClr val="000000"/>
            </a:solidFill>
            <a:prstDash val="solid"/>
          </a:ln>
        </c:spPr>
        <c:txPr>
          <a:bodyPr rot="0" vert="horz"/>
          <a:lstStyle/>
          <a:p>
            <a:pPr>
              <a:defRPr sz="761" b="0" i="0" u="none" strike="noStrike" baseline="0">
                <a:solidFill>
                  <a:srgbClr val="000000"/>
                </a:solidFill>
                <a:latin typeface="Arial"/>
                <a:ea typeface="Arial"/>
                <a:cs typeface="Arial"/>
              </a:defRPr>
            </a:pPr>
            <a:endParaRPr lang="ar-SA"/>
          </a:p>
        </c:txPr>
        <c:crossAx val="65924096"/>
        <c:crosses val="autoZero"/>
        <c:crossBetween val="between"/>
        <c:majorUnit val="2"/>
      </c:valAx>
      <c:spPr>
        <a:noFill/>
        <a:ln w="21475">
          <a:noFill/>
        </a:ln>
      </c:spPr>
    </c:plotArea>
    <c:plotVisOnly val="1"/>
    <c:dispBlanksAs val="gap"/>
    <c:showDLblsOverMax val="0"/>
  </c:chart>
  <c:spPr>
    <a:noFill/>
    <a:ln>
      <a:noFill/>
    </a:ln>
  </c:spPr>
  <c:txPr>
    <a:bodyPr/>
    <a:lstStyle/>
    <a:p>
      <a:pPr>
        <a:defRPr sz="761" b="0" i="0" u="none" strike="noStrike" baseline="0">
          <a:solidFill>
            <a:srgbClr val="000000"/>
          </a:solidFill>
          <a:latin typeface="Arial"/>
          <a:ea typeface="Arial"/>
          <a:cs typeface="Arial"/>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57A52-2537-4FC4-BD0C-DC5A89468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2731</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4084</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Hadeel Badran</cp:lastModifiedBy>
  <cp:revision>68</cp:revision>
  <cp:lastPrinted>2021-01-18T07:40:00Z</cp:lastPrinted>
  <dcterms:created xsi:type="dcterms:W3CDTF">2019-01-14T16:11:00Z</dcterms:created>
  <dcterms:modified xsi:type="dcterms:W3CDTF">2022-01-19T07:39:00Z</dcterms:modified>
</cp:coreProperties>
</file>