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4621"/>
        <w:gridCol w:w="4591"/>
      </w:tblGrid>
      <w:tr w:rsidR="001A0B2F" w:rsidRPr="00902E1E" w:rsidTr="0074411C">
        <w:tc>
          <w:tcPr>
            <w:tcW w:w="4714" w:type="dxa"/>
            <w:shd w:val="clear" w:color="auto" w:fill="auto"/>
          </w:tcPr>
          <w:p w:rsidR="001A0B2F" w:rsidRPr="0074411C" w:rsidRDefault="004B5F5F" w:rsidP="0074411C">
            <w:pPr>
              <w:pStyle w:val="Header"/>
              <w:jc w:val="center"/>
              <w:rPr>
                <w:rFonts w:ascii="Calibri" w:eastAsia="Calibri" w:hAnsi="Calibri" w:cs="Simplified Arabic"/>
                <w:b/>
                <w:bCs/>
                <w:sz w:val="32"/>
                <w:szCs w:val="32"/>
                <w:rtl/>
              </w:rPr>
            </w:pPr>
            <w:bookmarkStart w:id="0" w:name="_GoBack"/>
            <w:bookmarkEnd w:id="0"/>
            <w:r>
              <w:drawing>
                <wp:anchor distT="0" distB="0" distL="114300" distR="114300" simplePos="0" relativeHeight="251656704" behindDoc="0" locked="0" layoutInCell="1" allowOverlap="1">
                  <wp:simplePos x="0" y="0"/>
                  <wp:positionH relativeFrom="margin">
                    <wp:align>right</wp:align>
                  </wp:positionH>
                  <wp:positionV relativeFrom="margin">
                    <wp:posOffset>76835</wp:posOffset>
                  </wp:positionV>
                  <wp:extent cx="1475740" cy="113665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B2F" w:rsidRPr="0074411C" w:rsidRDefault="001A0B2F" w:rsidP="0074411C">
            <w:pPr>
              <w:pStyle w:val="Header"/>
              <w:jc w:val="center"/>
              <w:rPr>
                <w:rFonts w:ascii="Calibri" w:eastAsia="Calibri" w:hAnsi="Calibri" w:cs="Simplified Arabic"/>
                <w:b/>
                <w:bCs/>
                <w:sz w:val="32"/>
                <w:szCs w:val="32"/>
                <w:rtl/>
              </w:rPr>
            </w:pPr>
          </w:p>
          <w:p w:rsidR="001A0B2F" w:rsidRPr="0074411C" w:rsidRDefault="001A0B2F" w:rsidP="0074411C">
            <w:pPr>
              <w:pStyle w:val="Header"/>
              <w:jc w:val="center"/>
              <w:rPr>
                <w:rFonts w:ascii="Calibri" w:eastAsia="Calibri" w:hAnsi="Calibri" w:cs="Simplified Arabic"/>
                <w:b/>
                <w:bCs/>
                <w:sz w:val="32"/>
                <w:szCs w:val="32"/>
                <w:rtl/>
              </w:rPr>
            </w:pPr>
          </w:p>
          <w:p w:rsidR="001A0B2F" w:rsidRPr="0074411C" w:rsidRDefault="001A0B2F" w:rsidP="0074411C">
            <w:pPr>
              <w:pStyle w:val="Header"/>
              <w:jc w:val="center"/>
              <w:rPr>
                <w:rFonts w:ascii="Calibri" w:eastAsia="Calibri" w:hAnsi="Calibri" w:cs="Simplified Arabic"/>
                <w:b/>
                <w:bCs/>
                <w:sz w:val="32"/>
                <w:szCs w:val="32"/>
                <w:rtl/>
              </w:rPr>
            </w:pPr>
          </w:p>
        </w:tc>
        <w:tc>
          <w:tcPr>
            <w:tcW w:w="4714" w:type="dxa"/>
            <w:shd w:val="clear" w:color="auto" w:fill="auto"/>
          </w:tcPr>
          <w:p w:rsidR="001A0B2F" w:rsidRPr="0074411C" w:rsidRDefault="001A0B2F" w:rsidP="009B6B56">
            <w:pPr>
              <w:pStyle w:val="Header"/>
              <w:rPr>
                <w:rFonts w:ascii="Calibri" w:eastAsia="Calibri" w:hAnsi="Calibri" w:cs="Simplified Arabic"/>
                <w:b/>
                <w:bCs/>
                <w:sz w:val="32"/>
                <w:szCs w:val="32"/>
                <w:rtl/>
              </w:rPr>
            </w:pPr>
            <w:r w:rsidRPr="0074411C">
              <w:rPr>
                <w:rFonts w:ascii="Calibri" w:eastAsia="Calibri" w:hAnsi="Calibri" w:cs="Simplified Arabic" w:hint="cs"/>
                <w:b/>
                <w:bCs/>
                <w:sz w:val="32"/>
                <w:szCs w:val="32"/>
                <w:rtl/>
              </w:rPr>
              <w:t xml:space="preserve">              </w:t>
            </w:r>
            <w:r w:rsidRPr="0074411C">
              <w:rPr>
                <w:rFonts w:ascii="Calibri" w:eastAsia="Calibri" w:hAnsi="Calibri" w:cs="Simplified Arabic"/>
                <w:b/>
                <w:bCs/>
                <w:sz w:val="32"/>
                <w:szCs w:val="32"/>
              </w:rPr>
              <w:t xml:space="preserve">   </w:t>
            </w:r>
            <w:r w:rsidRPr="0074411C">
              <w:rPr>
                <w:rFonts w:ascii="Calibri" w:eastAsia="Calibri" w:hAnsi="Calibri" w:cs="Simplified Arabic" w:hint="cs"/>
                <w:b/>
                <w:bCs/>
                <w:sz w:val="32"/>
                <w:szCs w:val="32"/>
                <w:rtl/>
              </w:rPr>
              <w:t xml:space="preserve"> </w:t>
            </w:r>
            <w:r w:rsidR="004B5F5F" w:rsidRPr="0074411C">
              <w:rPr>
                <w:rFonts w:ascii="Calibri" w:eastAsia="Calibri" w:hAnsi="Calibri" w:cs="Simplified Arabic"/>
                <w:b/>
                <w:bCs/>
                <w:sz w:val="32"/>
                <w:szCs w:val="32"/>
              </w:rPr>
              <w:drawing>
                <wp:inline distT="0" distB="0" distL="0" distR="0">
                  <wp:extent cx="609600" cy="704850"/>
                  <wp:effectExtent l="0" t="0" r="0" b="0"/>
                  <wp:docPr id="1" name="Picture 1" descr="C:\Users\adel\Desktop\النسر المعتم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l\Desktop\النسر المعتمد.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rsidR="001A0B2F" w:rsidRPr="0074411C" w:rsidRDefault="001A0B2F" w:rsidP="0074411C">
            <w:pPr>
              <w:jc w:val="center"/>
              <w:rPr>
                <w:rFonts w:ascii="Simplified Arabic" w:eastAsia="Calibri" w:hAnsi="Simplified Arabic" w:cs="Simplified Arabic"/>
                <w:bCs/>
                <w:sz w:val="22"/>
                <w:szCs w:val="22"/>
                <w:rtl/>
              </w:rPr>
            </w:pPr>
            <w:r w:rsidRPr="0074411C">
              <w:rPr>
                <w:rFonts w:ascii="Simplified Arabic" w:eastAsia="Calibri" w:hAnsi="Simplified Arabic" w:cs="Simplified Arabic"/>
                <w:bCs/>
                <w:sz w:val="22"/>
                <w:szCs w:val="22"/>
                <w:rtl/>
              </w:rPr>
              <w:t>الجهاز المركزي للإحصاء الفلسطيني</w:t>
            </w:r>
          </w:p>
          <w:p w:rsidR="001A0B2F" w:rsidRPr="0074411C" w:rsidRDefault="001A0B2F" w:rsidP="0074411C">
            <w:pPr>
              <w:bidi w:val="0"/>
              <w:jc w:val="center"/>
              <w:rPr>
                <w:rFonts w:ascii="Simplified Arabic" w:eastAsia="Calibri" w:hAnsi="Simplified Arabic" w:cs="Simplified Arabic"/>
                <w:b/>
                <w:i/>
                <w:iCs/>
                <w:sz w:val="22"/>
                <w:szCs w:val="22"/>
                <w:rtl/>
              </w:rPr>
            </w:pPr>
            <w:r w:rsidRPr="0074411C">
              <w:rPr>
                <w:rFonts w:ascii="Simplified Arabic" w:eastAsia="Calibri" w:hAnsi="Simplified Arabic" w:cs="Simplified Arabic"/>
                <w:b/>
                <w:iCs/>
                <w:sz w:val="22"/>
                <w:szCs w:val="22"/>
              </w:rPr>
              <w:t>Palestinian Central Bureau of Statistics</w:t>
            </w:r>
          </w:p>
          <w:p w:rsidR="001A0B2F" w:rsidRPr="0074411C" w:rsidRDefault="001A0B2F" w:rsidP="0074411C">
            <w:pPr>
              <w:tabs>
                <w:tab w:val="left" w:pos="1681"/>
              </w:tabs>
              <w:rPr>
                <w:rFonts w:ascii="Calibri" w:eastAsia="Calibri" w:hAnsi="Calibri" w:cs="Arial"/>
                <w:sz w:val="22"/>
                <w:szCs w:val="22"/>
                <w:rtl/>
                <w:lang w:eastAsia="en-US"/>
              </w:rPr>
            </w:pPr>
          </w:p>
        </w:tc>
      </w:tr>
    </w:tbl>
    <w:p w:rsidR="001A0B2F" w:rsidRPr="00902E1E" w:rsidRDefault="001A0B2F" w:rsidP="001A0B2F">
      <w:pPr>
        <w:jc w:val="both"/>
        <w:rPr>
          <w:rFonts w:cs="Simplified Arabic"/>
          <w:rtl/>
          <w:lang w:bidi="ar-EG"/>
        </w:rPr>
      </w:pPr>
    </w:p>
    <w:p w:rsidR="00414C69" w:rsidRPr="00414C69" w:rsidRDefault="00414C69" w:rsidP="00414C69">
      <w:pPr>
        <w:tabs>
          <w:tab w:val="right" w:pos="9639"/>
        </w:tabs>
        <w:bidi w:val="0"/>
        <w:ind w:left="-284" w:right="-851" w:hanging="567"/>
        <w:jc w:val="center"/>
        <w:rPr>
          <w:b/>
          <w:bCs/>
          <w:iCs/>
          <w:sz w:val="30"/>
          <w:szCs w:val="30"/>
          <w:lang w:eastAsia="en-US"/>
        </w:rPr>
      </w:pPr>
      <w:r w:rsidRPr="00414C69">
        <w:rPr>
          <w:b/>
          <w:bCs/>
          <w:iCs/>
          <w:sz w:val="30"/>
          <w:szCs w:val="30"/>
        </w:rPr>
        <w:t>The Palestine Monetary Authority and The Palestinian Central Bureau of Statistics</w:t>
      </w:r>
    </w:p>
    <w:p w:rsidR="00414C69" w:rsidRPr="00414C69" w:rsidRDefault="00414C69" w:rsidP="00414C69">
      <w:pPr>
        <w:tabs>
          <w:tab w:val="right" w:pos="9639"/>
        </w:tabs>
        <w:bidi w:val="0"/>
        <w:ind w:left="-284" w:right="-851" w:hanging="567"/>
        <w:jc w:val="center"/>
        <w:rPr>
          <w:b/>
          <w:bCs/>
          <w:iCs/>
          <w:sz w:val="30"/>
          <w:szCs w:val="30"/>
        </w:rPr>
      </w:pPr>
    </w:p>
    <w:p w:rsidR="00414C69" w:rsidRDefault="00414C69" w:rsidP="00573137">
      <w:pPr>
        <w:shd w:val="clear" w:color="auto" w:fill="FFFFFF"/>
        <w:bidi w:val="0"/>
        <w:jc w:val="center"/>
        <w:rPr>
          <w:rFonts w:eastAsia="Calibri"/>
          <w:rtl/>
        </w:rPr>
      </w:pPr>
      <w:r w:rsidRPr="00414C69">
        <w:rPr>
          <w:b/>
          <w:bCs/>
          <w:color w:val="000000"/>
          <w:sz w:val="32"/>
          <w:szCs w:val="32"/>
        </w:rPr>
        <w:t xml:space="preserve">The </w:t>
      </w:r>
      <w:r w:rsidRPr="00414C69">
        <w:rPr>
          <w:b/>
          <w:bCs/>
          <w:sz w:val="32"/>
          <w:szCs w:val="32"/>
        </w:rPr>
        <w:t xml:space="preserve">Performance of the Palestinian economy during </w:t>
      </w:r>
      <w:r w:rsidRPr="00414C69">
        <w:rPr>
          <w:rFonts w:hint="cs"/>
          <w:b/>
          <w:bCs/>
          <w:sz w:val="32"/>
          <w:szCs w:val="32"/>
          <w:rtl/>
        </w:rPr>
        <w:t>2020</w:t>
      </w:r>
      <w:r w:rsidRPr="00414C69">
        <w:rPr>
          <w:b/>
          <w:bCs/>
          <w:sz w:val="32"/>
          <w:szCs w:val="32"/>
        </w:rPr>
        <w:t xml:space="preserve">, as well as the economic forecasts for the year </w:t>
      </w:r>
      <w:r w:rsidR="00573137">
        <w:rPr>
          <w:rFonts w:hint="cs"/>
          <w:b/>
          <w:bCs/>
          <w:sz w:val="32"/>
          <w:szCs w:val="32"/>
          <w:rtl/>
        </w:rPr>
        <w:t>2021</w:t>
      </w:r>
    </w:p>
    <w:p w:rsidR="00414C69" w:rsidRDefault="00414C69" w:rsidP="00414C69">
      <w:pPr>
        <w:bidi w:val="0"/>
        <w:jc w:val="both"/>
        <w:rPr>
          <w:rFonts w:eastAsia="Calibri"/>
          <w:rtl/>
        </w:rPr>
      </w:pPr>
    </w:p>
    <w:p w:rsidR="00414C69" w:rsidRDefault="00414C69" w:rsidP="00414C69">
      <w:pPr>
        <w:bidi w:val="0"/>
        <w:jc w:val="both"/>
        <w:rPr>
          <w:rFonts w:eastAsia="Calibri"/>
          <w:rtl/>
        </w:rPr>
      </w:pPr>
    </w:p>
    <w:p w:rsidR="00234068" w:rsidRPr="00414C69" w:rsidRDefault="00234068" w:rsidP="00414C69">
      <w:pPr>
        <w:bidi w:val="0"/>
        <w:jc w:val="both"/>
        <w:rPr>
          <w:rFonts w:eastAsia="Calibri"/>
          <w:sz w:val="28"/>
          <w:szCs w:val="28"/>
          <w:rtl/>
        </w:rPr>
      </w:pPr>
      <w:r w:rsidRPr="00414C69">
        <w:rPr>
          <w:rFonts w:eastAsia="Calibri"/>
          <w:sz w:val="28"/>
          <w:szCs w:val="28"/>
        </w:rPr>
        <w:t xml:space="preserve">Palestine Monetary Authority (PMA) and the Palestinian Central Bureau of Statistics (PCBS) jointly issued a press release on the performance of the Palestinian </w:t>
      </w:r>
      <w:r w:rsidR="00C079EF" w:rsidRPr="00414C69">
        <w:rPr>
          <w:rFonts w:eastAsia="Calibri"/>
          <w:sz w:val="28"/>
          <w:szCs w:val="28"/>
        </w:rPr>
        <w:t>e</w:t>
      </w:r>
      <w:r w:rsidRPr="00414C69">
        <w:rPr>
          <w:rFonts w:eastAsia="Calibri"/>
          <w:sz w:val="28"/>
          <w:szCs w:val="28"/>
        </w:rPr>
        <w:t xml:space="preserve">conomy </w:t>
      </w:r>
      <w:r w:rsidR="00C90AC8" w:rsidRPr="00414C69">
        <w:rPr>
          <w:rFonts w:eastAsia="Calibri"/>
          <w:sz w:val="28"/>
          <w:szCs w:val="28"/>
        </w:rPr>
        <w:t>for</w:t>
      </w:r>
      <w:r w:rsidRPr="00414C69">
        <w:rPr>
          <w:rFonts w:eastAsia="Calibri"/>
          <w:sz w:val="28"/>
          <w:szCs w:val="28"/>
        </w:rPr>
        <w:t xml:space="preserve"> 2020 along </w:t>
      </w:r>
      <w:r w:rsidR="00C079EF" w:rsidRPr="00414C69">
        <w:rPr>
          <w:rFonts w:eastAsia="Calibri"/>
          <w:sz w:val="28"/>
          <w:szCs w:val="28"/>
        </w:rPr>
        <w:t xml:space="preserve">with the economic forecasts for </w:t>
      </w:r>
      <w:r w:rsidRPr="00414C69">
        <w:rPr>
          <w:rFonts w:eastAsia="Calibri"/>
          <w:sz w:val="28"/>
          <w:szCs w:val="28"/>
        </w:rPr>
        <w:t>2021; a joint publication that represents the continuous efforts carried out by both of PMA and PCBS. It is worth mentioning that this data excludes those parts of Jerusalem which were annexed by Israeli occupation in 1967.</w:t>
      </w:r>
    </w:p>
    <w:p w:rsidR="00234068" w:rsidRPr="00902E1E" w:rsidRDefault="00234068" w:rsidP="00234068">
      <w:pPr>
        <w:bidi w:val="0"/>
        <w:ind w:left="360"/>
        <w:rPr>
          <w:rFonts w:ascii="Simplified Arabic" w:hAnsi="Simplified Arabic" w:cs="Simplified Arabic"/>
          <w:b/>
          <w:bCs/>
        </w:rPr>
      </w:pPr>
    </w:p>
    <w:p w:rsidR="00234068" w:rsidRPr="00414C69" w:rsidRDefault="00234068" w:rsidP="00662A8C">
      <w:pPr>
        <w:bidi w:val="0"/>
        <w:ind w:left="360"/>
        <w:jc w:val="center"/>
        <w:rPr>
          <w:b/>
          <w:bCs/>
          <w:sz w:val="30"/>
          <w:szCs w:val="30"/>
        </w:rPr>
      </w:pPr>
      <w:r w:rsidRPr="00414C69">
        <w:rPr>
          <w:b/>
          <w:bCs/>
          <w:sz w:val="30"/>
          <w:szCs w:val="30"/>
        </w:rPr>
        <w:t xml:space="preserve">The Performance of the Palestinian </w:t>
      </w:r>
      <w:r w:rsidR="00662A8C" w:rsidRPr="00414C69">
        <w:rPr>
          <w:b/>
          <w:bCs/>
          <w:sz w:val="30"/>
          <w:szCs w:val="30"/>
        </w:rPr>
        <w:t>Economic</w:t>
      </w:r>
      <w:r w:rsidR="00662A8C" w:rsidRPr="00414C69">
        <w:rPr>
          <w:b/>
          <w:bCs/>
          <w:sz w:val="30"/>
          <w:szCs w:val="30"/>
          <w:vertAlign w:val="superscript"/>
        </w:rPr>
        <w:footnoteReference w:id="1"/>
      </w:r>
      <w:r w:rsidR="00662A8C" w:rsidRPr="00414C69">
        <w:rPr>
          <w:b/>
          <w:bCs/>
          <w:sz w:val="30"/>
          <w:szCs w:val="30"/>
        </w:rPr>
        <w:t xml:space="preserve"> </w:t>
      </w:r>
      <w:r w:rsidRPr="00414C69">
        <w:rPr>
          <w:b/>
          <w:bCs/>
          <w:sz w:val="30"/>
          <w:szCs w:val="30"/>
        </w:rPr>
        <w:t>in 2020</w:t>
      </w:r>
    </w:p>
    <w:p w:rsidR="00234068" w:rsidRPr="00414C69" w:rsidRDefault="00234068" w:rsidP="00C90AC8">
      <w:pPr>
        <w:bidi w:val="0"/>
        <w:ind w:left="360"/>
        <w:jc w:val="center"/>
        <w:rPr>
          <w:b/>
          <w:bCs/>
          <w:sz w:val="30"/>
          <w:szCs w:val="30"/>
        </w:rPr>
      </w:pPr>
      <w:r w:rsidRPr="00414C69">
        <w:rPr>
          <w:b/>
          <w:bCs/>
          <w:sz w:val="30"/>
          <w:szCs w:val="30"/>
        </w:rPr>
        <w:t xml:space="preserve">The Economy during the </w:t>
      </w:r>
      <w:r w:rsidR="000116DE" w:rsidRPr="00414C69">
        <w:rPr>
          <w:b/>
          <w:bCs/>
          <w:sz w:val="30"/>
          <w:szCs w:val="30"/>
        </w:rPr>
        <w:t xml:space="preserve">times of the </w:t>
      </w:r>
      <w:r w:rsidRPr="00414C69">
        <w:rPr>
          <w:b/>
          <w:bCs/>
          <w:sz w:val="30"/>
          <w:szCs w:val="30"/>
        </w:rPr>
        <w:t xml:space="preserve">Pandemic and the Crisis of Clearance </w:t>
      </w:r>
      <w:r w:rsidR="00C90AC8" w:rsidRPr="00414C69">
        <w:rPr>
          <w:b/>
          <w:bCs/>
          <w:sz w:val="30"/>
          <w:szCs w:val="30"/>
        </w:rPr>
        <w:t>Revenues</w:t>
      </w:r>
    </w:p>
    <w:p w:rsidR="00662A8C" w:rsidRPr="00414C69" w:rsidRDefault="00F85A2C" w:rsidP="00662A8C">
      <w:pPr>
        <w:pStyle w:val="Title"/>
        <w:bidi w:val="0"/>
        <w:spacing w:line="276" w:lineRule="auto"/>
        <w:jc w:val="left"/>
        <w:rPr>
          <w:rFonts w:ascii="Simplified Arabic" w:hAnsi="Simplified Arabic"/>
          <w:sz w:val="26"/>
          <w:szCs w:val="26"/>
          <w:rtl/>
        </w:rPr>
      </w:pPr>
      <w:r w:rsidRPr="00414C69">
        <w:rPr>
          <w:rFonts w:ascii="Simplified Arabic" w:hAnsi="Simplified Arabic"/>
          <w:sz w:val="26"/>
          <w:szCs w:val="26"/>
        </w:rPr>
        <w:tab/>
      </w:r>
    </w:p>
    <w:p w:rsidR="00662A8C" w:rsidRPr="00414C69" w:rsidRDefault="00662A8C" w:rsidP="0061114A">
      <w:pPr>
        <w:pStyle w:val="Title"/>
        <w:bidi w:val="0"/>
        <w:spacing w:line="276" w:lineRule="auto"/>
        <w:jc w:val="both"/>
        <w:rPr>
          <w:rFonts w:cs="Times New Roman"/>
          <w:b w:val="0"/>
          <w:bCs w:val="0"/>
          <w:sz w:val="26"/>
          <w:szCs w:val="26"/>
          <w:rtl/>
        </w:rPr>
      </w:pPr>
      <w:r w:rsidRPr="00414C69">
        <w:rPr>
          <w:rFonts w:cs="Times New Roman"/>
          <w:sz w:val="26"/>
          <w:szCs w:val="26"/>
        </w:rPr>
        <w:t xml:space="preserve">As a result of the </w:t>
      </w:r>
      <w:r w:rsidR="003276F9" w:rsidRPr="00414C69">
        <w:rPr>
          <w:rFonts w:cs="Times New Roman"/>
          <w:sz w:val="26"/>
          <w:szCs w:val="26"/>
        </w:rPr>
        <w:t>impacts</w:t>
      </w:r>
      <w:r w:rsidRPr="00414C69">
        <w:rPr>
          <w:rFonts w:cs="Times New Roman"/>
          <w:sz w:val="26"/>
          <w:szCs w:val="26"/>
        </w:rPr>
        <w:t xml:space="preserve"> of the </w:t>
      </w:r>
      <w:r w:rsidR="005B0F66" w:rsidRPr="00414C69">
        <w:rPr>
          <w:rFonts w:cs="Times New Roman"/>
          <w:sz w:val="26"/>
          <w:szCs w:val="26"/>
        </w:rPr>
        <w:t>Coronavirus</w:t>
      </w:r>
      <w:r w:rsidRPr="00414C69">
        <w:rPr>
          <w:rFonts w:cs="Times New Roman"/>
          <w:sz w:val="26"/>
          <w:szCs w:val="26"/>
        </w:rPr>
        <w:t xml:space="preserve"> pandemic, the Palestinian economy has recorded a sharp decline </w:t>
      </w:r>
      <w:r w:rsidR="003276F9" w:rsidRPr="00414C69">
        <w:rPr>
          <w:rFonts w:cs="Times New Roman"/>
          <w:sz w:val="26"/>
          <w:szCs w:val="26"/>
        </w:rPr>
        <w:t>reaching</w:t>
      </w:r>
      <w:r w:rsidR="00EB6AD7" w:rsidRPr="00414C69">
        <w:rPr>
          <w:rFonts w:cs="Times New Roman"/>
          <w:sz w:val="26"/>
          <w:szCs w:val="26"/>
        </w:rPr>
        <w:t xml:space="preserve"> 12%</w:t>
      </w:r>
      <w:r w:rsidRPr="00414C69">
        <w:rPr>
          <w:rFonts w:cs="Times New Roman"/>
          <w:sz w:val="26"/>
          <w:szCs w:val="26"/>
        </w:rPr>
        <w:t xml:space="preserve"> during 2020</w:t>
      </w:r>
      <w:r w:rsidR="003276F9" w:rsidRPr="00414C69">
        <w:rPr>
          <w:rFonts w:cs="Times New Roman"/>
          <w:sz w:val="26"/>
          <w:szCs w:val="26"/>
        </w:rPr>
        <w:t>,</w:t>
      </w:r>
      <w:r w:rsidRPr="00414C69">
        <w:rPr>
          <w:rFonts w:cs="Times New Roman"/>
          <w:sz w:val="26"/>
          <w:szCs w:val="26"/>
        </w:rPr>
        <w:t xml:space="preserve"> </w:t>
      </w:r>
      <w:r w:rsidR="003276F9" w:rsidRPr="00414C69">
        <w:rPr>
          <w:rFonts w:cs="Times New Roman"/>
          <w:sz w:val="26"/>
          <w:szCs w:val="26"/>
        </w:rPr>
        <w:t>as</w:t>
      </w:r>
      <w:r w:rsidRPr="00414C69">
        <w:rPr>
          <w:rFonts w:cs="Times New Roman"/>
          <w:sz w:val="26"/>
          <w:szCs w:val="26"/>
        </w:rPr>
        <w:t xml:space="preserve"> most </w:t>
      </w:r>
      <w:r w:rsidR="003276F9" w:rsidRPr="00414C69">
        <w:rPr>
          <w:rFonts w:cs="Times New Roman"/>
          <w:sz w:val="26"/>
          <w:szCs w:val="26"/>
        </w:rPr>
        <w:t>economic activities experienced</w:t>
      </w:r>
      <w:r w:rsidRPr="00414C69">
        <w:rPr>
          <w:rFonts w:cs="Times New Roman"/>
          <w:sz w:val="26"/>
          <w:szCs w:val="26"/>
        </w:rPr>
        <w:t xml:space="preserve"> setbacks in </w:t>
      </w:r>
      <w:r w:rsidR="003276F9" w:rsidRPr="00414C69">
        <w:rPr>
          <w:rFonts w:cs="Times New Roman"/>
          <w:sz w:val="26"/>
          <w:szCs w:val="26"/>
        </w:rPr>
        <w:t>the value added leading</w:t>
      </w:r>
      <w:r w:rsidRPr="00414C69">
        <w:rPr>
          <w:rFonts w:cs="Times New Roman"/>
          <w:sz w:val="26"/>
          <w:szCs w:val="26"/>
        </w:rPr>
        <w:t xml:space="preserve"> to a noticeable decrease in </w:t>
      </w:r>
      <w:r w:rsidR="003276F9" w:rsidRPr="00414C69">
        <w:rPr>
          <w:rFonts w:cs="Times New Roman"/>
          <w:sz w:val="26"/>
          <w:szCs w:val="26"/>
        </w:rPr>
        <w:t xml:space="preserve">the </w:t>
      </w:r>
      <w:r w:rsidRPr="00414C69">
        <w:rPr>
          <w:rFonts w:cs="Times New Roman"/>
          <w:sz w:val="26"/>
          <w:szCs w:val="26"/>
        </w:rPr>
        <w:t>GDP per capita and a rise in unemployment rates with new segments of the population entering the poverty cycle,</w:t>
      </w:r>
      <w:r w:rsidR="003276F9" w:rsidRPr="00414C69">
        <w:rPr>
          <w:rFonts w:cs="Times New Roman"/>
          <w:sz w:val="26"/>
          <w:szCs w:val="26"/>
        </w:rPr>
        <w:t xml:space="preserve"> which led </w:t>
      </w:r>
      <w:r w:rsidRPr="00414C69">
        <w:rPr>
          <w:rFonts w:cs="Times New Roman"/>
          <w:sz w:val="26"/>
          <w:szCs w:val="26"/>
        </w:rPr>
        <w:t xml:space="preserve">to a decline in </w:t>
      </w:r>
      <w:r w:rsidR="003276F9" w:rsidRPr="00414C69">
        <w:rPr>
          <w:rFonts w:cs="Times New Roman"/>
          <w:sz w:val="26"/>
          <w:szCs w:val="26"/>
        </w:rPr>
        <w:t xml:space="preserve">the </w:t>
      </w:r>
      <w:r w:rsidRPr="00414C69">
        <w:rPr>
          <w:rFonts w:cs="Times New Roman"/>
          <w:sz w:val="26"/>
          <w:szCs w:val="26"/>
        </w:rPr>
        <w:t>public demand on the consumption and gross investment indicators.</w:t>
      </w:r>
    </w:p>
    <w:p w:rsidR="006E445E" w:rsidRPr="00414C69" w:rsidRDefault="00234068" w:rsidP="00234068">
      <w:pPr>
        <w:tabs>
          <w:tab w:val="left" w:pos="5088"/>
          <w:tab w:val="left" w:pos="6670"/>
        </w:tabs>
        <w:bidi w:val="0"/>
        <w:rPr>
          <w:rFonts w:ascii="Simplified Arabic" w:hAnsi="Simplified Arabic" w:cs="Simplified Arabic"/>
          <w:b/>
          <w:bCs/>
          <w:sz w:val="26"/>
          <w:szCs w:val="26"/>
        </w:rPr>
      </w:pPr>
      <w:r w:rsidRPr="00414C69">
        <w:rPr>
          <w:rFonts w:ascii="Simplified Arabic" w:hAnsi="Simplified Arabic" w:cs="Simplified Arabic"/>
          <w:b/>
          <w:bCs/>
          <w:sz w:val="26"/>
          <w:szCs w:val="26"/>
        </w:rPr>
        <w:tab/>
      </w:r>
    </w:p>
    <w:p w:rsidR="00662A8C" w:rsidRPr="00414C69" w:rsidRDefault="00662A8C" w:rsidP="008C2EA4">
      <w:pPr>
        <w:bidi w:val="0"/>
        <w:spacing w:line="240" w:lineRule="atLeast"/>
        <w:jc w:val="lowKashida"/>
        <w:rPr>
          <w:sz w:val="26"/>
          <w:szCs w:val="26"/>
        </w:rPr>
      </w:pPr>
      <w:r w:rsidRPr="00414C69">
        <w:rPr>
          <w:sz w:val="26"/>
          <w:szCs w:val="26"/>
        </w:rPr>
        <w:t xml:space="preserve">The year 2020 witnessed a decline in Gross Domestic Product (GDP) </w:t>
      </w:r>
      <w:r w:rsidR="006E337D" w:rsidRPr="00414C69">
        <w:rPr>
          <w:sz w:val="26"/>
          <w:szCs w:val="26"/>
        </w:rPr>
        <w:t>of</w:t>
      </w:r>
      <w:r w:rsidRPr="00414C69">
        <w:rPr>
          <w:sz w:val="26"/>
          <w:szCs w:val="26"/>
        </w:rPr>
        <w:t xml:space="preserve"> 12% compared to 2019. </w:t>
      </w:r>
      <w:r w:rsidR="003276F9" w:rsidRPr="00414C69">
        <w:rPr>
          <w:sz w:val="26"/>
          <w:szCs w:val="26"/>
        </w:rPr>
        <w:t>Due to</w:t>
      </w:r>
      <w:r w:rsidRPr="00414C69">
        <w:rPr>
          <w:sz w:val="26"/>
          <w:szCs w:val="26"/>
        </w:rPr>
        <w:t xml:space="preserve"> the </w:t>
      </w:r>
      <w:r w:rsidR="003276F9" w:rsidRPr="00414C69">
        <w:rPr>
          <w:sz w:val="26"/>
          <w:szCs w:val="26"/>
        </w:rPr>
        <w:t>early</w:t>
      </w:r>
      <w:r w:rsidRPr="00414C69">
        <w:rPr>
          <w:sz w:val="26"/>
          <w:szCs w:val="26"/>
        </w:rPr>
        <w:t xml:space="preserve"> effects of the Coronavirus pandemic during </w:t>
      </w:r>
      <w:r w:rsidR="003276F9" w:rsidRPr="00414C69">
        <w:rPr>
          <w:sz w:val="26"/>
          <w:szCs w:val="26"/>
        </w:rPr>
        <w:t xml:space="preserve">the </w:t>
      </w:r>
      <w:r w:rsidRPr="00414C69">
        <w:rPr>
          <w:sz w:val="26"/>
          <w:szCs w:val="26"/>
        </w:rPr>
        <w:t xml:space="preserve">first quarter </w:t>
      </w:r>
      <w:r w:rsidR="003276F9" w:rsidRPr="00414C69">
        <w:rPr>
          <w:sz w:val="26"/>
          <w:szCs w:val="26"/>
        </w:rPr>
        <w:t xml:space="preserve">of </w:t>
      </w:r>
      <w:r w:rsidRPr="00414C69">
        <w:rPr>
          <w:sz w:val="26"/>
          <w:szCs w:val="26"/>
        </w:rPr>
        <w:t xml:space="preserve">2020, the Palestinian economy witnessed a decline of around 4% compared to the </w:t>
      </w:r>
      <w:r w:rsidR="003276F9" w:rsidRPr="00414C69">
        <w:rPr>
          <w:sz w:val="26"/>
          <w:szCs w:val="26"/>
        </w:rPr>
        <w:t>same</w:t>
      </w:r>
      <w:r w:rsidRPr="00414C69">
        <w:rPr>
          <w:sz w:val="26"/>
          <w:szCs w:val="26"/>
        </w:rPr>
        <w:t xml:space="preserve"> quarter</w:t>
      </w:r>
      <w:r w:rsidR="003276F9" w:rsidRPr="00414C69">
        <w:rPr>
          <w:sz w:val="26"/>
          <w:szCs w:val="26"/>
        </w:rPr>
        <w:t xml:space="preserve"> of</w:t>
      </w:r>
      <w:r w:rsidRPr="00414C69">
        <w:rPr>
          <w:sz w:val="26"/>
          <w:szCs w:val="26"/>
        </w:rPr>
        <w:t xml:space="preserve"> 2019. However, this decline deepened with the impacts of the pandemic, which </w:t>
      </w:r>
      <w:r w:rsidR="003276F9" w:rsidRPr="00414C69">
        <w:rPr>
          <w:sz w:val="26"/>
          <w:szCs w:val="26"/>
        </w:rPr>
        <w:t>made the Palestinian government take</w:t>
      </w:r>
      <w:r w:rsidRPr="00414C69">
        <w:rPr>
          <w:sz w:val="26"/>
          <w:szCs w:val="26"/>
        </w:rPr>
        <w:t xml:space="preserve"> a number of emergency measures to be imposed</w:t>
      </w:r>
      <w:r w:rsidR="003276F9" w:rsidRPr="00414C69">
        <w:rPr>
          <w:sz w:val="26"/>
          <w:szCs w:val="26"/>
        </w:rPr>
        <w:t>, including</w:t>
      </w:r>
      <w:r w:rsidRPr="00414C69">
        <w:rPr>
          <w:sz w:val="26"/>
          <w:szCs w:val="26"/>
        </w:rPr>
        <w:t xml:space="preserve"> partial </w:t>
      </w:r>
      <w:r w:rsidR="003276F9" w:rsidRPr="00414C69">
        <w:rPr>
          <w:sz w:val="26"/>
          <w:szCs w:val="26"/>
        </w:rPr>
        <w:t>and</w:t>
      </w:r>
      <w:r w:rsidRPr="00414C69">
        <w:rPr>
          <w:sz w:val="26"/>
          <w:szCs w:val="26"/>
        </w:rPr>
        <w:t xml:space="preserve"> total lockdowns. The aim of </w:t>
      </w:r>
      <w:r w:rsidR="003276F9" w:rsidRPr="00414C69">
        <w:rPr>
          <w:sz w:val="26"/>
          <w:szCs w:val="26"/>
        </w:rPr>
        <w:t>such</w:t>
      </w:r>
      <w:r w:rsidRPr="00414C69">
        <w:rPr>
          <w:sz w:val="26"/>
          <w:szCs w:val="26"/>
        </w:rPr>
        <w:t xml:space="preserve"> lockdown</w:t>
      </w:r>
      <w:r w:rsidR="008C2EA4" w:rsidRPr="00414C69">
        <w:rPr>
          <w:sz w:val="26"/>
          <w:szCs w:val="26"/>
        </w:rPr>
        <w:t>s</w:t>
      </w:r>
      <w:r w:rsidRPr="00414C69">
        <w:rPr>
          <w:sz w:val="26"/>
          <w:szCs w:val="26"/>
        </w:rPr>
        <w:t xml:space="preserve"> was to contain the outbreak of </w:t>
      </w:r>
      <w:r w:rsidR="008C2EA4" w:rsidRPr="00414C69">
        <w:rPr>
          <w:sz w:val="26"/>
          <w:szCs w:val="26"/>
        </w:rPr>
        <w:t>COVID- 19, as they where were</w:t>
      </w:r>
      <w:r w:rsidRPr="00414C69">
        <w:rPr>
          <w:sz w:val="26"/>
          <w:szCs w:val="26"/>
        </w:rPr>
        <w:t xml:space="preserve"> mostly imposed during </w:t>
      </w:r>
      <w:r w:rsidR="008C2EA4" w:rsidRPr="00414C69">
        <w:rPr>
          <w:sz w:val="26"/>
          <w:szCs w:val="26"/>
        </w:rPr>
        <w:t xml:space="preserve">the </w:t>
      </w:r>
      <w:r w:rsidRPr="00414C69">
        <w:rPr>
          <w:sz w:val="26"/>
          <w:szCs w:val="26"/>
        </w:rPr>
        <w:t xml:space="preserve">second quarter </w:t>
      </w:r>
      <w:r w:rsidR="008C2EA4" w:rsidRPr="00414C69">
        <w:rPr>
          <w:sz w:val="26"/>
          <w:szCs w:val="26"/>
        </w:rPr>
        <w:lastRenderedPageBreak/>
        <w:t xml:space="preserve">of </w:t>
      </w:r>
      <w:r w:rsidRPr="00414C69">
        <w:rPr>
          <w:sz w:val="26"/>
          <w:szCs w:val="26"/>
        </w:rPr>
        <w:t xml:space="preserve">2020 in which the GDP recorded a sharp decline of around 20% compared to the same quarter of the previous year.  During the second half of 2020, most economic activities began to recover gradually due to the policy of balancing between the aspects of economy and </w:t>
      </w:r>
      <w:r w:rsidR="008C2EA4" w:rsidRPr="00414C69">
        <w:rPr>
          <w:sz w:val="26"/>
          <w:szCs w:val="26"/>
        </w:rPr>
        <w:t xml:space="preserve">health.  </w:t>
      </w:r>
      <w:r w:rsidRPr="00414C69">
        <w:rPr>
          <w:sz w:val="26"/>
          <w:szCs w:val="26"/>
        </w:rPr>
        <w:t xml:space="preserve">GDP has increased but remained </w:t>
      </w:r>
      <w:r w:rsidR="008C2EA4" w:rsidRPr="00414C69">
        <w:rPr>
          <w:sz w:val="26"/>
          <w:szCs w:val="26"/>
        </w:rPr>
        <w:t xml:space="preserve">at a lower level than its </w:t>
      </w:r>
      <w:r w:rsidRPr="00414C69">
        <w:rPr>
          <w:sz w:val="26"/>
          <w:szCs w:val="26"/>
        </w:rPr>
        <w:t xml:space="preserve">pre-pandemic rates. This was also </w:t>
      </w:r>
      <w:r w:rsidR="008C2EA4" w:rsidRPr="00414C69">
        <w:rPr>
          <w:sz w:val="26"/>
          <w:szCs w:val="26"/>
        </w:rPr>
        <w:t>due to</w:t>
      </w:r>
      <w:r w:rsidRPr="00414C69">
        <w:rPr>
          <w:sz w:val="26"/>
          <w:szCs w:val="26"/>
        </w:rPr>
        <w:t xml:space="preserve"> the Israeli occupation measures of withholding clearance tax revenues which lasted for more than seven consecutive months. </w:t>
      </w:r>
      <w:r w:rsidR="008C2EA4" w:rsidRPr="00414C69">
        <w:rPr>
          <w:sz w:val="26"/>
          <w:szCs w:val="26"/>
        </w:rPr>
        <w:t xml:space="preserve"> </w:t>
      </w:r>
      <w:r w:rsidRPr="00414C69">
        <w:rPr>
          <w:sz w:val="26"/>
          <w:szCs w:val="26"/>
        </w:rPr>
        <w:t xml:space="preserve">It is well-known that those funds </w:t>
      </w:r>
      <w:r w:rsidR="008C2EA4" w:rsidRPr="00414C69">
        <w:rPr>
          <w:sz w:val="26"/>
          <w:szCs w:val="26"/>
        </w:rPr>
        <w:t>constitute</w:t>
      </w:r>
      <w:r w:rsidRPr="00414C69">
        <w:rPr>
          <w:sz w:val="26"/>
          <w:szCs w:val="26"/>
        </w:rPr>
        <w:t xml:space="preserve"> 70% of the total Palestinian revenues and </w:t>
      </w:r>
      <w:r w:rsidR="008C2EA4" w:rsidRPr="00414C69">
        <w:rPr>
          <w:sz w:val="26"/>
          <w:szCs w:val="26"/>
        </w:rPr>
        <w:t xml:space="preserve">are </w:t>
      </w:r>
      <w:r w:rsidRPr="00414C69">
        <w:rPr>
          <w:sz w:val="26"/>
          <w:szCs w:val="26"/>
        </w:rPr>
        <w:t xml:space="preserve">considered the main source of funds used to cover current expenditures. At the expenditure level, gross consumption in Palestine </w:t>
      </w:r>
      <w:r w:rsidR="008C2EA4" w:rsidRPr="00414C69">
        <w:rPr>
          <w:sz w:val="26"/>
          <w:szCs w:val="26"/>
        </w:rPr>
        <w:t>dropped</w:t>
      </w:r>
      <w:r w:rsidRPr="00414C69">
        <w:rPr>
          <w:sz w:val="26"/>
          <w:szCs w:val="26"/>
        </w:rPr>
        <w:t xml:space="preserve"> during the same period by 6%, whereas gross investment </w:t>
      </w:r>
      <w:r w:rsidR="008C2EA4" w:rsidRPr="00414C69">
        <w:rPr>
          <w:sz w:val="26"/>
          <w:szCs w:val="26"/>
        </w:rPr>
        <w:t>dropped</w:t>
      </w:r>
      <w:r w:rsidRPr="00414C69">
        <w:rPr>
          <w:sz w:val="26"/>
          <w:szCs w:val="26"/>
        </w:rPr>
        <w:t xml:space="preserve"> by 36%. </w:t>
      </w:r>
    </w:p>
    <w:p w:rsidR="00662A8C" w:rsidRPr="00414C69" w:rsidRDefault="00662A8C" w:rsidP="00662A8C">
      <w:pPr>
        <w:bidi w:val="0"/>
        <w:spacing w:line="240" w:lineRule="atLeast"/>
        <w:jc w:val="lowKashida"/>
        <w:rPr>
          <w:sz w:val="26"/>
          <w:szCs w:val="26"/>
        </w:rPr>
      </w:pPr>
    </w:p>
    <w:p w:rsidR="00662A8C" w:rsidRPr="00414C69" w:rsidRDefault="00662A8C" w:rsidP="00662A8C">
      <w:pPr>
        <w:bidi w:val="0"/>
        <w:spacing w:line="240" w:lineRule="atLeast"/>
        <w:jc w:val="lowKashida"/>
        <w:rPr>
          <w:sz w:val="26"/>
          <w:szCs w:val="26"/>
        </w:rPr>
      </w:pPr>
    </w:p>
    <w:p w:rsidR="00662A8C" w:rsidRPr="00414C69" w:rsidRDefault="00662A8C" w:rsidP="00662A8C">
      <w:pPr>
        <w:bidi w:val="0"/>
        <w:spacing w:line="240" w:lineRule="atLeast"/>
        <w:jc w:val="both"/>
        <w:rPr>
          <w:b/>
          <w:bCs/>
          <w:sz w:val="26"/>
          <w:szCs w:val="26"/>
          <w:rtl/>
        </w:rPr>
      </w:pPr>
      <w:r w:rsidRPr="00414C69">
        <w:rPr>
          <w:b/>
          <w:bCs/>
          <w:sz w:val="26"/>
          <w:szCs w:val="26"/>
        </w:rPr>
        <w:t xml:space="preserve">A decline in most </w:t>
      </w:r>
      <w:r w:rsidR="008C2EA4" w:rsidRPr="00414C69">
        <w:rPr>
          <w:b/>
          <w:bCs/>
          <w:sz w:val="26"/>
          <w:szCs w:val="26"/>
        </w:rPr>
        <w:t xml:space="preserve">of the </w:t>
      </w:r>
      <w:r w:rsidRPr="00414C69">
        <w:rPr>
          <w:b/>
          <w:bCs/>
          <w:sz w:val="26"/>
          <w:szCs w:val="26"/>
        </w:rPr>
        <w:t>economic activities due to the full and partial lockdown, affecting most economic sectors</w:t>
      </w:r>
      <w:r w:rsidRPr="00414C69">
        <w:rPr>
          <w:b/>
          <w:bCs/>
          <w:sz w:val="26"/>
          <w:szCs w:val="26"/>
          <w:rtl/>
        </w:rPr>
        <w:t xml:space="preserve"> </w:t>
      </w:r>
    </w:p>
    <w:p w:rsidR="00662A8C" w:rsidRPr="00414C69" w:rsidRDefault="00662A8C" w:rsidP="008C2EA4">
      <w:pPr>
        <w:bidi w:val="0"/>
        <w:spacing w:line="240" w:lineRule="atLeast"/>
        <w:jc w:val="both"/>
        <w:rPr>
          <w:sz w:val="26"/>
          <w:szCs w:val="26"/>
        </w:rPr>
      </w:pPr>
      <w:r w:rsidRPr="00414C69">
        <w:rPr>
          <w:sz w:val="26"/>
          <w:szCs w:val="26"/>
        </w:rPr>
        <w:t xml:space="preserve">Most economic activities witnessed a noticeable decline in </w:t>
      </w:r>
      <w:r w:rsidR="008C2EA4" w:rsidRPr="00414C69">
        <w:rPr>
          <w:sz w:val="26"/>
          <w:szCs w:val="26"/>
        </w:rPr>
        <w:t xml:space="preserve">the value added during </w:t>
      </w:r>
      <w:r w:rsidRPr="00414C69">
        <w:rPr>
          <w:sz w:val="26"/>
          <w:szCs w:val="26"/>
        </w:rPr>
        <w:t xml:space="preserve">2020 compared to 2019. The services activity recorded </w:t>
      </w:r>
      <w:r w:rsidR="008C2EA4" w:rsidRPr="00414C69">
        <w:rPr>
          <w:sz w:val="26"/>
          <w:szCs w:val="26"/>
        </w:rPr>
        <w:t>the highest drop value by 10%.  The</w:t>
      </w:r>
      <w:r w:rsidRPr="00414C69">
        <w:rPr>
          <w:sz w:val="26"/>
          <w:szCs w:val="26"/>
        </w:rPr>
        <w:t xml:space="preserve"> construction acti</w:t>
      </w:r>
      <w:r w:rsidR="008C2EA4" w:rsidRPr="00414C69">
        <w:rPr>
          <w:sz w:val="26"/>
          <w:szCs w:val="26"/>
        </w:rPr>
        <w:t xml:space="preserve">vity witnessed a decline of 35%, </w:t>
      </w:r>
      <w:r w:rsidRPr="00414C69">
        <w:rPr>
          <w:sz w:val="26"/>
          <w:szCs w:val="26"/>
        </w:rPr>
        <w:t>followed by the industry activity which showed a decline of 12%, and the agriculture activity witnessed a decrease by 11%.</w:t>
      </w:r>
    </w:p>
    <w:p w:rsidR="00662A8C" w:rsidRPr="00414C69" w:rsidRDefault="00662A8C" w:rsidP="00662A8C">
      <w:pPr>
        <w:bidi w:val="0"/>
        <w:spacing w:line="240" w:lineRule="atLeast"/>
        <w:jc w:val="lowKashida"/>
        <w:rPr>
          <w:sz w:val="26"/>
          <w:szCs w:val="26"/>
        </w:rPr>
      </w:pPr>
    </w:p>
    <w:p w:rsidR="008C2EA4" w:rsidRPr="00414C69" w:rsidRDefault="008C2EA4" w:rsidP="008C2EA4">
      <w:pPr>
        <w:pStyle w:val="Title"/>
        <w:bidi w:val="0"/>
        <w:spacing w:line="276" w:lineRule="auto"/>
        <w:jc w:val="both"/>
        <w:rPr>
          <w:rFonts w:cs="Times New Roman"/>
          <w:sz w:val="26"/>
          <w:szCs w:val="26"/>
        </w:rPr>
      </w:pPr>
      <w:r w:rsidRPr="00414C69">
        <w:rPr>
          <w:rFonts w:cs="Times New Roman"/>
          <w:sz w:val="26"/>
          <w:szCs w:val="26"/>
        </w:rPr>
        <w:t>A Continuation</w:t>
      </w:r>
      <w:r w:rsidR="00662A8C" w:rsidRPr="00414C69">
        <w:rPr>
          <w:rFonts w:cs="Times New Roman"/>
          <w:sz w:val="26"/>
          <w:szCs w:val="26"/>
        </w:rPr>
        <w:t xml:space="preserve"> </w:t>
      </w:r>
      <w:r w:rsidRPr="00414C69">
        <w:rPr>
          <w:rFonts w:cs="Times New Roman"/>
          <w:sz w:val="26"/>
          <w:szCs w:val="26"/>
        </w:rPr>
        <w:t xml:space="preserve">in the </w:t>
      </w:r>
      <w:r w:rsidR="00662A8C" w:rsidRPr="00414C69">
        <w:rPr>
          <w:rFonts w:cs="Times New Roman"/>
          <w:sz w:val="26"/>
          <w:szCs w:val="26"/>
        </w:rPr>
        <w:t xml:space="preserve">trade balance deficit, and </w:t>
      </w:r>
      <w:r w:rsidRPr="00414C69">
        <w:rPr>
          <w:rFonts w:cs="Times New Roman"/>
          <w:sz w:val="26"/>
          <w:szCs w:val="26"/>
        </w:rPr>
        <w:t xml:space="preserve">a </w:t>
      </w:r>
      <w:r w:rsidR="00662A8C" w:rsidRPr="00414C69">
        <w:rPr>
          <w:rFonts w:cs="Times New Roman"/>
          <w:sz w:val="26"/>
          <w:szCs w:val="26"/>
        </w:rPr>
        <w:t xml:space="preserve">decline in the volume of trade exchange with </w:t>
      </w:r>
      <w:r w:rsidRPr="00414C69">
        <w:rPr>
          <w:rFonts w:cs="Times New Roman"/>
          <w:sz w:val="26"/>
          <w:szCs w:val="26"/>
        </w:rPr>
        <w:t>the world</w:t>
      </w:r>
      <w:r w:rsidR="00662A8C" w:rsidRPr="00414C69">
        <w:rPr>
          <w:rFonts w:cs="Times New Roman"/>
          <w:sz w:val="26"/>
          <w:szCs w:val="26"/>
        </w:rPr>
        <w:t xml:space="preserve"> and </w:t>
      </w:r>
      <w:r w:rsidRPr="00414C69">
        <w:rPr>
          <w:rFonts w:cs="Times New Roman"/>
          <w:sz w:val="26"/>
          <w:szCs w:val="26"/>
        </w:rPr>
        <w:t xml:space="preserve">a </w:t>
      </w:r>
      <w:r w:rsidR="00662A8C" w:rsidRPr="00414C69">
        <w:rPr>
          <w:rFonts w:cs="Times New Roman"/>
          <w:sz w:val="26"/>
          <w:szCs w:val="26"/>
        </w:rPr>
        <w:t xml:space="preserve">decline </w:t>
      </w:r>
      <w:r w:rsidRPr="00414C69">
        <w:rPr>
          <w:rFonts w:cs="Times New Roman"/>
          <w:sz w:val="26"/>
          <w:szCs w:val="26"/>
        </w:rPr>
        <w:t xml:space="preserve">in the </w:t>
      </w:r>
      <w:r w:rsidR="00662A8C" w:rsidRPr="00414C69">
        <w:rPr>
          <w:rFonts w:cs="Times New Roman"/>
          <w:sz w:val="26"/>
          <w:szCs w:val="26"/>
        </w:rPr>
        <w:t xml:space="preserve">imports and exports to and from Palestine. </w:t>
      </w:r>
    </w:p>
    <w:p w:rsidR="00662A8C" w:rsidRPr="00414C69" w:rsidRDefault="00662A8C" w:rsidP="00B45C87">
      <w:pPr>
        <w:pStyle w:val="Title"/>
        <w:bidi w:val="0"/>
        <w:spacing w:line="276" w:lineRule="auto"/>
        <w:jc w:val="both"/>
        <w:rPr>
          <w:rFonts w:cs="Times New Roman"/>
          <w:b w:val="0"/>
          <w:bCs w:val="0"/>
          <w:sz w:val="26"/>
          <w:szCs w:val="26"/>
        </w:rPr>
      </w:pPr>
      <w:r w:rsidRPr="00414C69">
        <w:rPr>
          <w:rFonts w:cs="Times New Roman"/>
          <w:b w:val="0"/>
          <w:bCs w:val="0"/>
          <w:sz w:val="26"/>
          <w:szCs w:val="26"/>
        </w:rPr>
        <w:t>In 2020, the volume of trade exchange to and from Palestine reached USD 10 billion with a d</w:t>
      </w:r>
      <w:r w:rsidR="00B45C87" w:rsidRPr="00414C69">
        <w:rPr>
          <w:rFonts w:cs="Times New Roman"/>
          <w:b w:val="0"/>
          <w:bCs w:val="0"/>
          <w:sz w:val="26"/>
          <w:szCs w:val="26"/>
        </w:rPr>
        <w:t xml:space="preserve">ecline of 10% compared to 2019.  </w:t>
      </w:r>
      <w:r w:rsidRPr="00414C69">
        <w:rPr>
          <w:rFonts w:cs="Times New Roman"/>
          <w:b w:val="0"/>
          <w:bCs w:val="0"/>
          <w:sz w:val="26"/>
          <w:szCs w:val="26"/>
        </w:rPr>
        <w:t>This resulted from</w:t>
      </w:r>
      <w:r w:rsidR="00B45C87" w:rsidRPr="00414C69">
        <w:rPr>
          <w:rFonts w:cs="Times New Roman"/>
          <w:b w:val="0"/>
          <w:bCs w:val="0"/>
          <w:sz w:val="26"/>
          <w:szCs w:val="26"/>
        </w:rPr>
        <w:t xml:space="preserve"> a decline of</w:t>
      </w:r>
      <w:r w:rsidRPr="00414C69">
        <w:rPr>
          <w:rFonts w:cs="Times New Roman"/>
          <w:b w:val="0"/>
          <w:bCs w:val="0"/>
          <w:sz w:val="26"/>
          <w:szCs w:val="26"/>
        </w:rPr>
        <w:t xml:space="preserve"> </w:t>
      </w:r>
      <w:r w:rsidR="00B45C87" w:rsidRPr="00414C69">
        <w:rPr>
          <w:rFonts w:cs="Times New Roman"/>
          <w:b w:val="0"/>
          <w:bCs w:val="0"/>
          <w:sz w:val="26"/>
          <w:szCs w:val="26"/>
        </w:rPr>
        <w:t xml:space="preserve"> </w:t>
      </w:r>
      <w:r w:rsidRPr="00414C69">
        <w:rPr>
          <w:rFonts w:cs="Times New Roman"/>
          <w:b w:val="0"/>
          <w:bCs w:val="0"/>
          <w:sz w:val="26"/>
          <w:szCs w:val="26"/>
        </w:rPr>
        <w:t>7% in exports, which reached USD 2.5 billion and</w:t>
      </w:r>
      <w:r w:rsidR="00B45C87" w:rsidRPr="00414C69">
        <w:rPr>
          <w:rFonts w:cs="Times New Roman"/>
          <w:b w:val="0"/>
          <w:bCs w:val="0"/>
          <w:sz w:val="26"/>
          <w:szCs w:val="26"/>
        </w:rPr>
        <w:t xml:space="preserve"> a decline of</w:t>
      </w:r>
      <w:r w:rsidRPr="00414C69">
        <w:rPr>
          <w:rFonts w:cs="Times New Roman"/>
          <w:b w:val="0"/>
          <w:bCs w:val="0"/>
          <w:sz w:val="26"/>
          <w:szCs w:val="26"/>
        </w:rPr>
        <w:t xml:space="preserve"> 11% in imports, which reached USD 7.4 billion. Therefore, the trade balance witnessed a deficit of around USD 5 billion. </w:t>
      </w:r>
    </w:p>
    <w:p w:rsidR="00662A8C" w:rsidRPr="00414C69" w:rsidRDefault="00662A8C" w:rsidP="00662A8C">
      <w:pPr>
        <w:pStyle w:val="Title"/>
        <w:bidi w:val="0"/>
        <w:spacing w:line="276" w:lineRule="auto"/>
        <w:jc w:val="both"/>
        <w:rPr>
          <w:rFonts w:cs="Times New Roman"/>
          <w:b w:val="0"/>
          <w:bCs w:val="0"/>
          <w:sz w:val="26"/>
          <w:szCs w:val="26"/>
        </w:rPr>
      </w:pPr>
    </w:p>
    <w:p w:rsidR="00662A8C" w:rsidRPr="00414C69" w:rsidRDefault="00662A8C" w:rsidP="00B45C87">
      <w:pPr>
        <w:pStyle w:val="Title"/>
        <w:bidi w:val="0"/>
        <w:spacing w:line="276" w:lineRule="auto"/>
        <w:jc w:val="both"/>
        <w:rPr>
          <w:rFonts w:cs="Times New Roman"/>
          <w:sz w:val="26"/>
          <w:szCs w:val="26"/>
          <w:rtl/>
        </w:rPr>
      </w:pPr>
      <w:r w:rsidRPr="00414C69">
        <w:rPr>
          <w:rFonts w:cs="Times New Roman"/>
          <w:sz w:val="26"/>
          <w:szCs w:val="26"/>
        </w:rPr>
        <w:t xml:space="preserve">More than 66 thousand employees </w:t>
      </w:r>
      <w:r w:rsidR="00B45C87" w:rsidRPr="00414C69">
        <w:rPr>
          <w:rFonts w:cs="Times New Roman"/>
          <w:sz w:val="26"/>
          <w:szCs w:val="26"/>
        </w:rPr>
        <w:t>lost</w:t>
      </w:r>
      <w:r w:rsidRPr="00414C69">
        <w:rPr>
          <w:rFonts w:cs="Times New Roman"/>
          <w:sz w:val="26"/>
          <w:szCs w:val="26"/>
        </w:rPr>
        <w:t xml:space="preserve"> their jobs during 2020, leading to a</w:t>
      </w:r>
      <w:r w:rsidR="00B45C87" w:rsidRPr="00414C69">
        <w:rPr>
          <w:rFonts w:cs="Times New Roman"/>
          <w:sz w:val="26"/>
          <w:szCs w:val="26"/>
        </w:rPr>
        <w:t>n increase in</w:t>
      </w:r>
      <w:r w:rsidRPr="00414C69">
        <w:rPr>
          <w:rFonts w:cs="Times New Roman"/>
          <w:sz w:val="26"/>
          <w:szCs w:val="26"/>
        </w:rPr>
        <w:t xml:space="preserve"> the unemployment rate </w:t>
      </w:r>
      <w:r w:rsidR="00B45C87" w:rsidRPr="00414C69">
        <w:rPr>
          <w:rFonts w:cs="Times New Roman"/>
          <w:sz w:val="26"/>
          <w:szCs w:val="26"/>
        </w:rPr>
        <w:t xml:space="preserve">which reached 27.8% and resulting a decline of </w:t>
      </w:r>
      <w:r w:rsidRPr="00414C69">
        <w:rPr>
          <w:rFonts w:cs="Times New Roman"/>
          <w:sz w:val="26"/>
          <w:szCs w:val="26"/>
        </w:rPr>
        <w:t xml:space="preserve">14% </w:t>
      </w:r>
      <w:r w:rsidR="00B45C87" w:rsidRPr="00414C69">
        <w:rPr>
          <w:rFonts w:cs="Times New Roman"/>
          <w:sz w:val="26"/>
          <w:szCs w:val="26"/>
        </w:rPr>
        <w:t xml:space="preserve">in the </w:t>
      </w:r>
      <w:r w:rsidRPr="00414C69">
        <w:rPr>
          <w:rFonts w:cs="Times New Roman"/>
          <w:sz w:val="26"/>
          <w:szCs w:val="26"/>
        </w:rPr>
        <w:t>GDP per capita and new segments of the population entering poverty and extreme poverty.</w:t>
      </w:r>
    </w:p>
    <w:p w:rsidR="00662A8C" w:rsidRPr="00414C69" w:rsidRDefault="00662A8C" w:rsidP="00B45C87">
      <w:pPr>
        <w:bidi w:val="0"/>
        <w:jc w:val="both"/>
        <w:rPr>
          <w:sz w:val="26"/>
          <w:szCs w:val="26"/>
        </w:rPr>
      </w:pPr>
      <w:r w:rsidRPr="00414C69">
        <w:rPr>
          <w:sz w:val="26"/>
          <w:szCs w:val="26"/>
        </w:rPr>
        <w:t xml:space="preserve">The total number of employees in the labor market </w:t>
      </w:r>
      <w:r w:rsidR="00B45C87" w:rsidRPr="00414C69">
        <w:rPr>
          <w:sz w:val="26"/>
          <w:szCs w:val="26"/>
        </w:rPr>
        <w:t>dropped</w:t>
      </w:r>
      <w:r w:rsidRPr="00414C69">
        <w:rPr>
          <w:sz w:val="26"/>
          <w:szCs w:val="26"/>
        </w:rPr>
        <w:t xml:space="preserve"> from 951 thousand </w:t>
      </w:r>
      <w:r w:rsidR="00B45C87" w:rsidRPr="00414C69">
        <w:rPr>
          <w:sz w:val="26"/>
          <w:szCs w:val="26"/>
        </w:rPr>
        <w:t xml:space="preserve">employees in </w:t>
      </w:r>
      <w:r w:rsidRPr="00414C69">
        <w:rPr>
          <w:sz w:val="26"/>
          <w:szCs w:val="26"/>
        </w:rPr>
        <w:t xml:space="preserve">2019 to 884 thousand </w:t>
      </w:r>
      <w:r w:rsidR="00B45C87" w:rsidRPr="00414C69">
        <w:rPr>
          <w:sz w:val="26"/>
          <w:szCs w:val="26"/>
        </w:rPr>
        <w:t>in 2020.  Also,</w:t>
      </w:r>
      <w:r w:rsidRPr="00414C69">
        <w:rPr>
          <w:sz w:val="26"/>
          <w:szCs w:val="26"/>
        </w:rPr>
        <w:t xml:space="preserve"> and the unemployment rate </w:t>
      </w:r>
      <w:r w:rsidR="00B45C87" w:rsidRPr="00414C69">
        <w:rPr>
          <w:sz w:val="26"/>
          <w:szCs w:val="26"/>
        </w:rPr>
        <w:t>increased</w:t>
      </w:r>
      <w:r w:rsidRPr="00414C69">
        <w:rPr>
          <w:sz w:val="26"/>
          <w:szCs w:val="26"/>
        </w:rPr>
        <w:t xml:space="preserve"> from 26.3% to 27.8%.</w:t>
      </w:r>
    </w:p>
    <w:p w:rsidR="00662A8C" w:rsidRPr="00414C69" w:rsidRDefault="00662A8C" w:rsidP="00662A8C">
      <w:pPr>
        <w:bidi w:val="0"/>
        <w:spacing w:line="240" w:lineRule="atLeast"/>
        <w:jc w:val="lowKashida"/>
        <w:rPr>
          <w:sz w:val="26"/>
          <w:szCs w:val="26"/>
        </w:rPr>
      </w:pPr>
    </w:p>
    <w:p w:rsidR="00662A8C" w:rsidRPr="00414C69" w:rsidRDefault="00662A8C" w:rsidP="00662A8C">
      <w:pPr>
        <w:bidi w:val="0"/>
        <w:jc w:val="both"/>
        <w:rPr>
          <w:b/>
          <w:bCs/>
          <w:sz w:val="26"/>
          <w:szCs w:val="26"/>
        </w:rPr>
      </w:pPr>
      <w:r w:rsidRPr="00414C69">
        <w:rPr>
          <w:b/>
          <w:bCs/>
          <w:sz w:val="26"/>
          <w:szCs w:val="26"/>
        </w:rPr>
        <w:t>A decrease of consumer Prices</w:t>
      </w:r>
      <w:r w:rsidRPr="00414C69">
        <w:rPr>
          <w:rStyle w:val="FootnoteReference"/>
          <w:rFonts w:cs="Times New Roman"/>
          <w:b w:val="0"/>
          <w:bCs w:val="0"/>
          <w:color w:val="auto"/>
          <w:sz w:val="26"/>
          <w:szCs w:val="26"/>
        </w:rPr>
        <w:footnoteReference w:id="2"/>
      </w:r>
      <w:r w:rsidRPr="00414C69">
        <w:rPr>
          <w:b/>
          <w:bCs/>
          <w:sz w:val="26"/>
          <w:szCs w:val="26"/>
        </w:rPr>
        <w:t xml:space="preserve"> during the year 2020</w:t>
      </w:r>
    </w:p>
    <w:p w:rsidR="00662A8C" w:rsidRDefault="00662A8C" w:rsidP="00662A8C">
      <w:pPr>
        <w:autoSpaceDE w:val="0"/>
        <w:autoSpaceDN w:val="0"/>
        <w:bidi w:val="0"/>
        <w:adjustRightInd w:val="0"/>
        <w:jc w:val="both"/>
        <w:rPr>
          <w:sz w:val="26"/>
          <w:szCs w:val="26"/>
          <w:rtl/>
        </w:rPr>
      </w:pPr>
      <w:r w:rsidRPr="00414C69">
        <w:rPr>
          <w:sz w:val="26"/>
          <w:szCs w:val="26"/>
        </w:rPr>
        <w:t>Preliminary estimates showed that the average of overall consumer prices index in Palestine recorded a decrease of 1</w:t>
      </w:r>
      <w:r w:rsidR="002732FE" w:rsidRPr="00414C69">
        <w:rPr>
          <w:sz w:val="26"/>
          <w:szCs w:val="26"/>
        </w:rPr>
        <w:t>.0</w:t>
      </w:r>
      <w:r w:rsidRPr="00414C69">
        <w:rPr>
          <w:sz w:val="26"/>
          <w:szCs w:val="26"/>
        </w:rPr>
        <w:t>% during 2020 compared with 2019.</w:t>
      </w:r>
    </w:p>
    <w:p w:rsidR="00414C69" w:rsidRDefault="00414C69" w:rsidP="00414C69">
      <w:pPr>
        <w:autoSpaceDE w:val="0"/>
        <w:autoSpaceDN w:val="0"/>
        <w:bidi w:val="0"/>
        <w:adjustRightInd w:val="0"/>
        <w:jc w:val="both"/>
        <w:rPr>
          <w:sz w:val="26"/>
          <w:szCs w:val="26"/>
          <w:rtl/>
        </w:rPr>
      </w:pPr>
    </w:p>
    <w:p w:rsidR="00414C69" w:rsidRDefault="00414C69" w:rsidP="00414C69">
      <w:pPr>
        <w:autoSpaceDE w:val="0"/>
        <w:autoSpaceDN w:val="0"/>
        <w:bidi w:val="0"/>
        <w:adjustRightInd w:val="0"/>
        <w:jc w:val="both"/>
        <w:rPr>
          <w:sz w:val="26"/>
          <w:szCs w:val="26"/>
          <w:rtl/>
        </w:rPr>
      </w:pPr>
    </w:p>
    <w:p w:rsidR="00414C69" w:rsidRPr="00414C69" w:rsidRDefault="00414C69" w:rsidP="00414C69">
      <w:pPr>
        <w:autoSpaceDE w:val="0"/>
        <w:autoSpaceDN w:val="0"/>
        <w:bidi w:val="0"/>
        <w:adjustRightInd w:val="0"/>
        <w:jc w:val="both"/>
        <w:rPr>
          <w:sz w:val="26"/>
          <w:szCs w:val="26"/>
        </w:rPr>
      </w:pPr>
    </w:p>
    <w:p w:rsidR="00662A8C" w:rsidRPr="00414C69" w:rsidRDefault="00662A8C" w:rsidP="00662A8C">
      <w:pPr>
        <w:bidi w:val="0"/>
        <w:spacing w:line="240" w:lineRule="atLeast"/>
        <w:jc w:val="lowKashida"/>
        <w:rPr>
          <w:sz w:val="26"/>
          <w:szCs w:val="26"/>
        </w:rPr>
      </w:pPr>
    </w:p>
    <w:p w:rsidR="00C66F17" w:rsidRPr="00414C69" w:rsidRDefault="00415CF8" w:rsidP="002A0C7A">
      <w:pPr>
        <w:pStyle w:val="Normal1"/>
        <w:bidi/>
        <w:spacing w:before="120" w:after="120" w:line="180" w:lineRule="auto"/>
        <w:jc w:val="center"/>
        <w:rPr>
          <w:rFonts w:ascii="Times New Roman" w:eastAsia="Calibri" w:hAnsi="Times New Roman" w:cs="Times New Roman"/>
          <w:b/>
          <w:bCs/>
          <w:color w:val="auto"/>
          <w:sz w:val="30"/>
          <w:szCs w:val="30"/>
          <w:rtl/>
        </w:rPr>
      </w:pPr>
      <w:r w:rsidRPr="00414C69">
        <w:rPr>
          <w:rFonts w:ascii="Times New Roman" w:eastAsia="Calibri" w:hAnsi="Times New Roman" w:cs="Times New Roman"/>
          <w:b/>
          <w:bCs/>
          <w:color w:val="auto"/>
          <w:sz w:val="30"/>
          <w:szCs w:val="30"/>
        </w:rPr>
        <w:lastRenderedPageBreak/>
        <w:t>The Palestinian Economy is expected to recover and grow in 2021</w:t>
      </w:r>
    </w:p>
    <w:p w:rsidR="00335553" w:rsidRPr="00414C69" w:rsidRDefault="00335553" w:rsidP="00335553">
      <w:pPr>
        <w:pStyle w:val="Normal1"/>
        <w:bidi/>
        <w:spacing w:before="120" w:after="120" w:line="180" w:lineRule="auto"/>
        <w:jc w:val="center"/>
        <w:rPr>
          <w:rFonts w:ascii="Times New Roman" w:eastAsia="Calibri" w:hAnsi="Times New Roman" w:cs="Times New Roman"/>
          <w:b/>
          <w:bCs/>
          <w:color w:val="auto"/>
          <w:sz w:val="26"/>
          <w:szCs w:val="26"/>
        </w:rPr>
      </w:pPr>
    </w:p>
    <w:p w:rsidR="00415CF8" w:rsidRPr="00414C69" w:rsidRDefault="00415CF8" w:rsidP="00C90AC8">
      <w:pPr>
        <w:pStyle w:val="Normal1"/>
        <w:spacing w:before="120" w:after="120" w:line="240" w:lineRule="auto"/>
        <w:jc w:val="both"/>
        <w:rPr>
          <w:rFonts w:ascii="Times New Roman" w:eastAsia="Calibri" w:hAnsi="Times New Roman" w:cs="Times New Roman"/>
          <w:color w:val="auto"/>
          <w:sz w:val="26"/>
          <w:szCs w:val="26"/>
          <w:rtl/>
        </w:rPr>
      </w:pPr>
      <w:r w:rsidRPr="00414C69">
        <w:rPr>
          <w:rFonts w:ascii="Times New Roman" w:eastAsia="Calibri" w:hAnsi="Times New Roman" w:cs="Times New Roman"/>
          <w:b/>
          <w:bCs/>
          <w:color w:val="auto"/>
          <w:sz w:val="26"/>
          <w:szCs w:val="26"/>
        </w:rPr>
        <w:t>Palestine Monetary Authority (PMA) and the Palestinian Central Bureau of Statistics (PCBS) also issued two reports on the economic forecasts for 2021 that are now available on PCBS and PMA websites.</w:t>
      </w:r>
      <w:r w:rsidRPr="00414C69">
        <w:rPr>
          <w:rFonts w:ascii="Times New Roman" w:eastAsia="Calibri" w:hAnsi="Times New Roman" w:cs="Times New Roman"/>
          <w:color w:val="auto"/>
          <w:sz w:val="26"/>
          <w:szCs w:val="26"/>
        </w:rPr>
        <w:t xml:space="preserve"> Accordingly, those reports </w:t>
      </w:r>
      <w:r w:rsidR="00C90AC8" w:rsidRPr="00414C69">
        <w:rPr>
          <w:rFonts w:ascii="Times New Roman" w:eastAsia="Calibri" w:hAnsi="Times New Roman" w:cs="Times New Roman"/>
          <w:color w:val="auto"/>
          <w:sz w:val="26"/>
          <w:szCs w:val="26"/>
        </w:rPr>
        <w:t>forecasted</w:t>
      </w:r>
      <w:r w:rsidRPr="00414C69">
        <w:rPr>
          <w:rFonts w:ascii="Times New Roman" w:eastAsia="Calibri" w:hAnsi="Times New Roman" w:cs="Times New Roman"/>
          <w:color w:val="auto"/>
          <w:sz w:val="26"/>
          <w:szCs w:val="26"/>
        </w:rPr>
        <w:t xml:space="preserve"> the main indicators </w:t>
      </w:r>
      <w:r w:rsidR="00C079EF" w:rsidRPr="00414C69">
        <w:rPr>
          <w:rFonts w:ascii="Times New Roman" w:eastAsia="Calibri" w:hAnsi="Times New Roman" w:cs="Times New Roman"/>
          <w:color w:val="auto"/>
          <w:sz w:val="26"/>
          <w:szCs w:val="26"/>
        </w:rPr>
        <w:t>of</w:t>
      </w:r>
      <w:r w:rsidRPr="00414C69">
        <w:rPr>
          <w:rFonts w:ascii="Times New Roman" w:eastAsia="Calibri" w:hAnsi="Times New Roman" w:cs="Times New Roman"/>
          <w:color w:val="auto"/>
          <w:sz w:val="26"/>
          <w:szCs w:val="26"/>
        </w:rPr>
        <w:t xml:space="preserve"> the Palestinian economy for 2021 according to the baseline scenario that assumes the gradual recovery of the Palestinian economy to its level prior the health crisis of COVID</w:t>
      </w:r>
      <w:r w:rsidR="00902E1E" w:rsidRPr="00414C69">
        <w:rPr>
          <w:rFonts w:ascii="Times New Roman" w:eastAsia="Calibri" w:hAnsi="Times New Roman" w:cs="Times New Roman"/>
          <w:color w:val="auto"/>
          <w:sz w:val="26"/>
          <w:szCs w:val="26"/>
        </w:rPr>
        <w:t>-</w:t>
      </w:r>
      <w:r w:rsidRPr="00414C69">
        <w:rPr>
          <w:rFonts w:ascii="Times New Roman" w:eastAsia="Calibri" w:hAnsi="Times New Roman" w:cs="Times New Roman"/>
          <w:color w:val="auto"/>
          <w:sz w:val="26"/>
          <w:szCs w:val="26"/>
        </w:rPr>
        <w:t xml:space="preserve"> 19 pandemic. This recovery will be due t</w:t>
      </w:r>
      <w:r w:rsidR="00902E1E" w:rsidRPr="00414C69">
        <w:rPr>
          <w:rFonts w:ascii="Times New Roman" w:eastAsia="Calibri" w:hAnsi="Times New Roman" w:cs="Times New Roman"/>
          <w:color w:val="auto"/>
          <w:sz w:val="26"/>
          <w:szCs w:val="26"/>
        </w:rPr>
        <w:t xml:space="preserve">o the availability of the COVID- </w:t>
      </w:r>
      <w:r w:rsidRPr="00414C69">
        <w:rPr>
          <w:rFonts w:ascii="Times New Roman" w:eastAsia="Calibri" w:hAnsi="Times New Roman" w:cs="Times New Roman"/>
          <w:color w:val="auto"/>
          <w:sz w:val="26"/>
          <w:szCs w:val="26"/>
        </w:rPr>
        <w:t>19 vaccine that will be provided in the very near future</w:t>
      </w:r>
      <w:r w:rsidR="007D74E5" w:rsidRPr="00414C69">
        <w:rPr>
          <w:rFonts w:ascii="Times New Roman" w:eastAsia="Calibri" w:hAnsi="Times New Roman" w:cs="Times New Roman"/>
          <w:color w:val="auto"/>
          <w:sz w:val="26"/>
          <w:szCs w:val="26"/>
        </w:rPr>
        <w:t xml:space="preserve">, in addition to the transferring of clearance </w:t>
      </w:r>
      <w:r w:rsidR="00C90AC8" w:rsidRPr="00414C69">
        <w:rPr>
          <w:rFonts w:ascii="Times New Roman" w:eastAsia="Calibri" w:hAnsi="Times New Roman" w:cs="Times New Roman"/>
          <w:color w:val="auto"/>
          <w:sz w:val="26"/>
          <w:szCs w:val="26"/>
        </w:rPr>
        <w:t>revenues</w:t>
      </w:r>
      <w:r w:rsidR="007D74E5" w:rsidRPr="00414C69">
        <w:rPr>
          <w:rFonts w:ascii="Times New Roman" w:eastAsia="Calibri" w:hAnsi="Times New Roman" w:cs="Times New Roman"/>
          <w:color w:val="auto"/>
          <w:sz w:val="26"/>
          <w:szCs w:val="26"/>
        </w:rPr>
        <w:t xml:space="preserve"> to the Palestinian </w:t>
      </w:r>
      <w:r w:rsidR="00C90AC8" w:rsidRPr="00414C69">
        <w:rPr>
          <w:rFonts w:ascii="Times New Roman" w:eastAsia="Calibri" w:hAnsi="Times New Roman" w:cs="Times New Roman"/>
          <w:color w:val="auto"/>
          <w:sz w:val="26"/>
          <w:szCs w:val="26"/>
        </w:rPr>
        <w:t>government</w:t>
      </w:r>
      <w:r w:rsidR="007D74E5" w:rsidRPr="00414C69">
        <w:rPr>
          <w:rFonts w:ascii="Times New Roman" w:eastAsia="Calibri" w:hAnsi="Times New Roman" w:cs="Times New Roman"/>
          <w:color w:val="auto"/>
          <w:sz w:val="26"/>
          <w:szCs w:val="26"/>
        </w:rPr>
        <w:t xml:space="preserve"> as regular as well as the stability in the political and economic situations. Hence, such assumptions were reflected on the economic indicators in the major sectors.</w:t>
      </w:r>
    </w:p>
    <w:p w:rsidR="00024EDB" w:rsidRPr="00414C69" w:rsidRDefault="007D74E5" w:rsidP="006375AB">
      <w:pPr>
        <w:pStyle w:val="Normal1"/>
        <w:numPr>
          <w:ilvl w:val="0"/>
          <w:numId w:val="44"/>
        </w:numPr>
        <w:spacing w:before="120" w:after="120"/>
        <w:jc w:val="both"/>
        <w:rPr>
          <w:rFonts w:ascii="Times New Roman" w:eastAsia="Calibri" w:hAnsi="Times New Roman" w:cs="Times New Roman"/>
          <w:color w:val="auto"/>
          <w:sz w:val="26"/>
          <w:szCs w:val="26"/>
        </w:rPr>
      </w:pPr>
      <w:r w:rsidRPr="00414C69">
        <w:rPr>
          <w:rFonts w:ascii="Times New Roman" w:eastAsia="Calibri" w:hAnsi="Times New Roman" w:cs="Times New Roman"/>
          <w:color w:val="auto"/>
          <w:sz w:val="26"/>
          <w:szCs w:val="26"/>
        </w:rPr>
        <w:t xml:space="preserve">Real Sector (Gross Domestic Product (GDP), population, </w:t>
      </w:r>
      <w:r w:rsidR="003B7217" w:rsidRPr="00414C69">
        <w:rPr>
          <w:rFonts w:ascii="Times New Roman" w:eastAsia="Calibri" w:hAnsi="Times New Roman" w:cs="Times New Roman"/>
          <w:color w:val="auto"/>
          <w:sz w:val="26"/>
          <w:szCs w:val="26"/>
        </w:rPr>
        <w:t>labor</w:t>
      </w:r>
      <w:r w:rsidRPr="00414C69">
        <w:rPr>
          <w:rFonts w:ascii="Times New Roman" w:eastAsia="Calibri" w:hAnsi="Times New Roman" w:cs="Times New Roman"/>
          <w:color w:val="auto"/>
          <w:sz w:val="26"/>
          <w:szCs w:val="26"/>
        </w:rPr>
        <w:t xml:space="preserve"> statistics and prices). It is assumed that the consumption (private and public) and investment indicators will recover</w:t>
      </w:r>
      <w:r w:rsidR="00856049" w:rsidRPr="00414C69">
        <w:rPr>
          <w:rFonts w:ascii="Times New Roman" w:eastAsia="Calibri" w:hAnsi="Times New Roman" w:cs="Times New Roman"/>
          <w:color w:val="auto"/>
          <w:sz w:val="26"/>
          <w:szCs w:val="26"/>
        </w:rPr>
        <w:t xml:space="preserve">. This </w:t>
      </w:r>
      <w:r w:rsidR="00C079EF" w:rsidRPr="00414C69">
        <w:rPr>
          <w:rFonts w:ascii="Times New Roman" w:eastAsia="Calibri" w:hAnsi="Times New Roman" w:cs="Times New Roman"/>
          <w:color w:val="auto"/>
          <w:sz w:val="26"/>
          <w:szCs w:val="26"/>
        </w:rPr>
        <w:t xml:space="preserve">is </w:t>
      </w:r>
      <w:r w:rsidR="00856049" w:rsidRPr="00414C69">
        <w:rPr>
          <w:rFonts w:ascii="Times New Roman" w:eastAsia="Calibri" w:hAnsi="Times New Roman" w:cs="Times New Roman"/>
          <w:color w:val="auto"/>
          <w:sz w:val="26"/>
          <w:szCs w:val="26"/>
        </w:rPr>
        <w:t>in addition to the continuity in the sectoral str</w:t>
      </w:r>
      <w:r w:rsidR="009B5B55" w:rsidRPr="00414C69">
        <w:rPr>
          <w:rFonts w:ascii="Times New Roman" w:eastAsia="Calibri" w:hAnsi="Times New Roman" w:cs="Times New Roman"/>
          <w:color w:val="auto"/>
          <w:sz w:val="26"/>
          <w:szCs w:val="26"/>
        </w:rPr>
        <w:t xml:space="preserve">ategies and clusters based development with focusing on the productive sectors, especially clean energy sector, and the technological innovation abiding by the government's economic policies related to the gradual </w:t>
      </w:r>
      <w:r w:rsidR="000116DE" w:rsidRPr="00414C69">
        <w:rPr>
          <w:rFonts w:ascii="Times New Roman" w:eastAsia="Calibri" w:hAnsi="Times New Roman" w:cs="Times New Roman"/>
          <w:color w:val="auto"/>
          <w:sz w:val="26"/>
          <w:szCs w:val="26"/>
        </w:rPr>
        <w:t xml:space="preserve">economic detachment from the Israeli occupation economy. In addition, a relative improvement is </w:t>
      </w:r>
      <w:r w:rsidR="00C079EF" w:rsidRPr="00414C69">
        <w:rPr>
          <w:rFonts w:ascii="Times New Roman" w:eastAsia="Calibri" w:hAnsi="Times New Roman" w:cs="Times New Roman"/>
          <w:color w:val="auto"/>
          <w:sz w:val="26"/>
          <w:szCs w:val="26"/>
        </w:rPr>
        <w:t>anticipated</w:t>
      </w:r>
      <w:r w:rsidR="00E4720D" w:rsidRPr="00414C69">
        <w:rPr>
          <w:rFonts w:ascii="Times New Roman" w:eastAsia="Calibri" w:hAnsi="Times New Roman" w:cs="Times New Roman"/>
          <w:color w:val="auto"/>
          <w:sz w:val="26"/>
          <w:szCs w:val="26"/>
        </w:rPr>
        <w:t xml:space="preserve"> in the levels of employment and local employment as well a</w:t>
      </w:r>
      <w:r w:rsidR="00024EDB" w:rsidRPr="00414C69">
        <w:rPr>
          <w:rFonts w:ascii="Times New Roman" w:eastAsia="Calibri" w:hAnsi="Times New Roman" w:cs="Times New Roman"/>
          <w:color w:val="auto"/>
          <w:sz w:val="26"/>
          <w:szCs w:val="26"/>
        </w:rPr>
        <w:t xml:space="preserve">s the rising number of Palestinian </w:t>
      </w:r>
      <w:r w:rsidR="006375AB" w:rsidRPr="00414C69">
        <w:rPr>
          <w:rFonts w:ascii="Times New Roman" w:eastAsia="Calibri" w:hAnsi="Times New Roman" w:cs="Times New Roman"/>
          <w:color w:val="auto"/>
          <w:sz w:val="26"/>
          <w:szCs w:val="26"/>
        </w:rPr>
        <w:t>employees</w:t>
      </w:r>
      <w:r w:rsidR="00024EDB" w:rsidRPr="00414C69">
        <w:rPr>
          <w:rFonts w:ascii="Times New Roman" w:eastAsia="Calibri" w:hAnsi="Times New Roman" w:cs="Times New Roman"/>
          <w:color w:val="auto"/>
          <w:sz w:val="26"/>
          <w:szCs w:val="26"/>
        </w:rPr>
        <w:t xml:space="preserve"> inside Israel.</w:t>
      </w:r>
    </w:p>
    <w:p w:rsidR="002A0C7A" w:rsidRPr="00414C69" w:rsidRDefault="00024EDB" w:rsidP="006375AB">
      <w:pPr>
        <w:pStyle w:val="Normal1"/>
        <w:numPr>
          <w:ilvl w:val="0"/>
          <w:numId w:val="44"/>
        </w:numPr>
        <w:spacing w:before="120" w:after="120"/>
        <w:jc w:val="both"/>
        <w:rPr>
          <w:rFonts w:ascii="Times New Roman" w:eastAsia="Calibri" w:hAnsi="Times New Roman" w:cs="Times New Roman"/>
          <w:color w:val="auto"/>
          <w:sz w:val="26"/>
          <w:szCs w:val="26"/>
        </w:rPr>
      </w:pPr>
      <w:r w:rsidRPr="00414C69">
        <w:rPr>
          <w:rFonts w:ascii="Times New Roman" w:eastAsia="Calibri" w:hAnsi="Times New Roman" w:cs="Times New Roman"/>
          <w:color w:val="auto"/>
          <w:sz w:val="26"/>
          <w:szCs w:val="26"/>
        </w:rPr>
        <w:t xml:space="preserve">Regarding the </w:t>
      </w:r>
      <w:r w:rsidR="006375AB" w:rsidRPr="00414C69">
        <w:rPr>
          <w:rFonts w:ascii="Times New Roman" w:eastAsia="Calibri" w:hAnsi="Times New Roman" w:cs="Times New Roman"/>
          <w:color w:val="auto"/>
          <w:sz w:val="26"/>
          <w:szCs w:val="26"/>
        </w:rPr>
        <w:t>fiscal</w:t>
      </w:r>
      <w:r w:rsidRPr="00414C69">
        <w:rPr>
          <w:rFonts w:ascii="Times New Roman" w:eastAsia="Calibri" w:hAnsi="Times New Roman" w:cs="Times New Roman"/>
          <w:color w:val="auto"/>
          <w:sz w:val="26"/>
          <w:szCs w:val="26"/>
        </w:rPr>
        <w:t xml:space="preserve"> sector </w:t>
      </w:r>
      <w:r w:rsidR="002A0C7A" w:rsidRPr="00414C69">
        <w:rPr>
          <w:rFonts w:ascii="Times New Roman" w:eastAsia="Calibri" w:hAnsi="Times New Roman" w:cs="Times New Roman"/>
          <w:color w:val="auto"/>
          <w:sz w:val="26"/>
          <w:szCs w:val="26"/>
        </w:rPr>
        <w:t>(</w:t>
      </w:r>
      <w:r w:rsidRPr="00414C69">
        <w:rPr>
          <w:rFonts w:ascii="Times New Roman" w:eastAsia="Calibri" w:hAnsi="Times New Roman" w:cs="Times New Roman"/>
          <w:color w:val="auto"/>
          <w:sz w:val="26"/>
          <w:szCs w:val="26"/>
        </w:rPr>
        <w:t>revenues</w:t>
      </w:r>
      <w:r w:rsidR="002A0C7A" w:rsidRPr="00414C69">
        <w:rPr>
          <w:rFonts w:ascii="Times New Roman" w:eastAsia="Calibri" w:hAnsi="Times New Roman" w:cs="Times New Roman"/>
          <w:color w:val="auto"/>
          <w:sz w:val="26"/>
          <w:szCs w:val="26"/>
        </w:rPr>
        <w:t>, expenditures and central go</w:t>
      </w:r>
      <w:r w:rsidR="006375AB" w:rsidRPr="00414C69">
        <w:rPr>
          <w:rFonts w:ascii="Times New Roman" w:eastAsia="Calibri" w:hAnsi="Times New Roman" w:cs="Times New Roman"/>
          <w:color w:val="auto"/>
          <w:sz w:val="26"/>
          <w:szCs w:val="26"/>
        </w:rPr>
        <w:t>vernment deb</w:t>
      </w:r>
      <w:r w:rsidR="002A0C7A" w:rsidRPr="00414C69">
        <w:rPr>
          <w:rFonts w:ascii="Times New Roman" w:eastAsia="Calibri" w:hAnsi="Times New Roman" w:cs="Times New Roman"/>
          <w:color w:val="auto"/>
          <w:sz w:val="26"/>
          <w:szCs w:val="26"/>
        </w:rPr>
        <w:t xml:space="preserve">t), it was assumed </w:t>
      </w:r>
      <w:r w:rsidR="00C079EF" w:rsidRPr="00414C69">
        <w:rPr>
          <w:rFonts w:ascii="Times New Roman" w:eastAsia="Calibri" w:hAnsi="Times New Roman" w:cs="Times New Roman"/>
          <w:color w:val="auto"/>
          <w:sz w:val="26"/>
          <w:szCs w:val="26"/>
        </w:rPr>
        <w:t xml:space="preserve">that </w:t>
      </w:r>
      <w:r w:rsidR="002A0C7A" w:rsidRPr="00414C69">
        <w:rPr>
          <w:rFonts w:ascii="Times New Roman" w:eastAsia="Calibri" w:hAnsi="Times New Roman" w:cs="Times New Roman"/>
          <w:color w:val="auto"/>
          <w:sz w:val="26"/>
          <w:szCs w:val="26"/>
        </w:rPr>
        <w:t xml:space="preserve">the level of government revenues will rise compared to its level in 2020 </w:t>
      </w:r>
      <w:r w:rsidR="00C079EF" w:rsidRPr="00414C69">
        <w:rPr>
          <w:rFonts w:ascii="Times New Roman" w:eastAsia="Calibri" w:hAnsi="Times New Roman" w:cs="Times New Roman"/>
          <w:color w:val="auto"/>
          <w:sz w:val="26"/>
          <w:szCs w:val="26"/>
        </w:rPr>
        <w:t xml:space="preserve">in addition to </w:t>
      </w:r>
      <w:r w:rsidR="002A0C7A" w:rsidRPr="00414C69">
        <w:rPr>
          <w:rFonts w:ascii="Times New Roman" w:eastAsia="Calibri" w:hAnsi="Times New Roman" w:cs="Times New Roman"/>
          <w:color w:val="auto"/>
          <w:sz w:val="26"/>
          <w:szCs w:val="26"/>
        </w:rPr>
        <w:t xml:space="preserve">an improvement </w:t>
      </w:r>
      <w:r w:rsidR="00C079EF" w:rsidRPr="00414C69">
        <w:rPr>
          <w:rFonts w:ascii="Times New Roman" w:eastAsia="Calibri" w:hAnsi="Times New Roman" w:cs="Times New Roman"/>
          <w:color w:val="auto"/>
          <w:sz w:val="26"/>
          <w:szCs w:val="26"/>
        </w:rPr>
        <w:t xml:space="preserve">that </w:t>
      </w:r>
      <w:r w:rsidR="002A0C7A" w:rsidRPr="00414C69">
        <w:rPr>
          <w:rFonts w:ascii="Times New Roman" w:eastAsia="Calibri" w:hAnsi="Times New Roman" w:cs="Times New Roman"/>
          <w:color w:val="auto"/>
          <w:sz w:val="26"/>
          <w:szCs w:val="26"/>
        </w:rPr>
        <w:t xml:space="preserve">will occur </w:t>
      </w:r>
      <w:r w:rsidR="00C079EF" w:rsidRPr="00414C69">
        <w:rPr>
          <w:rFonts w:ascii="Times New Roman" w:eastAsia="Calibri" w:hAnsi="Times New Roman" w:cs="Times New Roman"/>
          <w:color w:val="auto"/>
          <w:sz w:val="26"/>
          <w:szCs w:val="26"/>
        </w:rPr>
        <w:t>in</w:t>
      </w:r>
      <w:r w:rsidR="002A0C7A" w:rsidRPr="00414C69">
        <w:rPr>
          <w:rFonts w:ascii="Times New Roman" w:eastAsia="Calibri" w:hAnsi="Times New Roman" w:cs="Times New Roman"/>
          <w:color w:val="auto"/>
          <w:sz w:val="26"/>
          <w:szCs w:val="26"/>
        </w:rPr>
        <w:t xml:space="preserve"> the government expenditure pace.</w:t>
      </w:r>
    </w:p>
    <w:p w:rsidR="002A0C7A" w:rsidRPr="00414C69" w:rsidRDefault="002A0C7A" w:rsidP="006375AB">
      <w:pPr>
        <w:pStyle w:val="Normal1"/>
        <w:numPr>
          <w:ilvl w:val="0"/>
          <w:numId w:val="44"/>
        </w:numPr>
        <w:spacing w:before="120" w:after="120"/>
        <w:jc w:val="both"/>
        <w:rPr>
          <w:rFonts w:ascii="Times New Roman" w:eastAsia="Calibri" w:hAnsi="Times New Roman" w:cs="Times New Roman"/>
          <w:color w:val="auto"/>
          <w:sz w:val="26"/>
          <w:szCs w:val="26"/>
        </w:rPr>
      </w:pPr>
      <w:r w:rsidRPr="00414C69">
        <w:rPr>
          <w:rFonts w:ascii="Times New Roman" w:eastAsia="Calibri" w:hAnsi="Times New Roman" w:cs="Times New Roman"/>
          <w:color w:val="auto"/>
          <w:sz w:val="26"/>
          <w:szCs w:val="26"/>
        </w:rPr>
        <w:t>As for the external sector (foreign trade and balance of payment), it was assumed that foreign trade indicators and the current transfers made to the private sector will recover.</w:t>
      </w:r>
    </w:p>
    <w:p w:rsidR="002A0C7A" w:rsidRPr="00414C69" w:rsidRDefault="002A0C7A" w:rsidP="003B7217">
      <w:pPr>
        <w:pStyle w:val="Normal1"/>
        <w:numPr>
          <w:ilvl w:val="0"/>
          <w:numId w:val="44"/>
        </w:numPr>
        <w:spacing w:before="120" w:after="120"/>
        <w:jc w:val="both"/>
        <w:rPr>
          <w:rFonts w:ascii="Times New Roman" w:eastAsia="Calibri" w:hAnsi="Times New Roman" w:cs="Times New Roman"/>
          <w:color w:val="auto"/>
          <w:sz w:val="26"/>
          <w:szCs w:val="26"/>
        </w:rPr>
      </w:pPr>
      <w:r w:rsidRPr="00414C69">
        <w:rPr>
          <w:rFonts w:ascii="Times New Roman" w:eastAsia="Calibri" w:hAnsi="Times New Roman" w:cs="Times New Roman"/>
          <w:color w:val="auto"/>
          <w:sz w:val="26"/>
          <w:szCs w:val="26"/>
        </w:rPr>
        <w:t>As for the monetary sector (credit facilities, deposits and interest value), it was assumed that the levels of credit facilities provided to the private sector to support development projects will improve.</w:t>
      </w:r>
    </w:p>
    <w:p w:rsidR="002A0C7A" w:rsidRPr="00414C69" w:rsidRDefault="002A0C7A" w:rsidP="00596EDD">
      <w:pPr>
        <w:pStyle w:val="Normal1"/>
        <w:spacing w:before="120" w:after="120"/>
        <w:jc w:val="both"/>
        <w:rPr>
          <w:rFonts w:ascii="Times New Roman" w:eastAsia="Calibri" w:hAnsi="Times New Roman" w:cs="Times New Roman"/>
          <w:color w:val="auto"/>
          <w:sz w:val="26"/>
          <w:szCs w:val="26"/>
        </w:rPr>
      </w:pPr>
      <w:r w:rsidRPr="00414C69">
        <w:rPr>
          <w:rFonts w:ascii="Times New Roman" w:eastAsia="Calibri" w:hAnsi="Times New Roman" w:cs="Times New Roman"/>
          <w:color w:val="auto"/>
          <w:sz w:val="26"/>
          <w:szCs w:val="26"/>
        </w:rPr>
        <w:t>According to these assumptions, economic forecasts indicate that there will a possibility for achieving a real growth during 2021 based on the baseline scenario with</w:t>
      </w:r>
      <w:r w:rsidR="000427C4" w:rsidRPr="00414C69">
        <w:rPr>
          <w:rFonts w:ascii="Times New Roman" w:eastAsia="Calibri" w:hAnsi="Times New Roman" w:cs="Times New Roman"/>
          <w:color w:val="auto"/>
          <w:sz w:val="26"/>
          <w:szCs w:val="26"/>
        </w:rPr>
        <w:t xml:space="preserve"> a</w:t>
      </w:r>
      <w:r w:rsidRPr="00414C69">
        <w:rPr>
          <w:rFonts w:ascii="Times New Roman" w:eastAsia="Calibri" w:hAnsi="Times New Roman" w:cs="Times New Roman"/>
          <w:color w:val="auto"/>
          <w:sz w:val="26"/>
          <w:szCs w:val="26"/>
        </w:rPr>
        <w:t xml:space="preserve"> percentage rang</w:t>
      </w:r>
      <w:r w:rsidR="00C079EF" w:rsidRPr="00414C69">
        <w:rPr>
          <w:rFonts w:ascii="Times New Roman" w:eastAsia="Calibri" w:hAnsi="Times New Roman" w:cs="Times New Roman"/>
          <w:color w:val="auto"/>
          <w:sz w:val="26"/>
          <w:szCs w:val="26"/>
        </w:rPr>
        <w:t>ing</w:t>
      </w:r>
      <w:r w:rsidRPr="00414C69">
        <w:rPr>
          <w:rFonts w:ascii="Times New Roman" w:eastAsia="Calibri" w:hAnsi="Times New Roman" w:cs="Times New Roman"/>
          <w:color w:val="auto"/>
          <w:sz w:val="26"/>
          <w:szCs w:val="26"/>
        </w:rPr>
        <w:t xml:space="preserve"> between 6% </w:t>
      </w:r>
      <w:r w:rsidR="00C079EF" w:rsidRPr="00414C69">
        <w:rPr>
          <w:rFonts w:ascii="Times New Roman" w:eastAsia="Calibri" w:hAnsi="Times New Roman" w:cs="Times New Roman"/>
          <w:color w:val="auto"/>
          <w:sz w:val="26"/>
          <w:szCs w:val="26"/>
        </w:rPr>
        <w:t>and</w:t>
      </w:r>
      <w:r w:rsidRPr="00414C69">
        <w:rPr>
          <w:rFonts w:ascii="Times New Roman" w:eastAsia="Calibri" w:hAnsi="Times New Roman" w:cs="Times New Roman"/>
          <w:color w:val="auto"/>
          <w:sz w:val="26"/>
          <w:szCs w:val="26"/>
        </w:rPr>
        <w:t xml:space="preserve"> 7%. Such growth shall lead to an anticipated improvement in the level of individual income of about 4%</w:t>
      </w:r>
      <w:r w:rsidR="008859BA" w:rsidRPr="00414C69">
        <w:rPr>
          <w:rFonts w:ascii="Times New Roman" w:eastAsia="Calibri" w:hAnsi="Times New Roman" w:cs="Times New Roman"/>
          <w:color w:val="auto"/>
          <w:sz w:val="26"/>
          <w:szCs w:val="26"/>
        </w:rPr>
        <w:t xml:space="preserve">. Also, the forecasts indicate that this performance will be driven by the recovery of the total </w:t>
      </w:r>
      <w:r w:rsidR="00B35A0F" w:rsidRPr="00414C69">
        <w:rPr>
          <w:rFonts w:ascii="Times New Roman" w:eastAsia="Calibri" w:hAnsi="Times New Roman" w:cs="Times New Roman"/>
          <w:color w:val="auto"/>
          <w:sz w:val="26"/>
          <w:szCs w:val="26"/>
        </w:rPr>
        <w:t xml:space="preserve">consumption expenditure with </w:t>
      </w:r>
      <w:r w:rsidR="000427C4" w:rsidRPr="00414C69">
        <w:rPr>
          <w:rFonts w:ascii="Times New Roman" w:eastAsia="Calibri" w:hAnsi="Times New Roman" w:cs="Times New Roman"/>
          <w:color w:val="auto"/>
          <w:sz w:val="26"/>
          <w:szCs w:val="26"/>
        </w:rPr>
        <w:t xml:space="preserve">a </w:t>
      </w:r>
      <w:r w:rsidR="00B35A0F" w:rsidRPr="00414C69">
        <w:rPr>
          <w:rFonts w:ascii="Times New Roman" w:eastAsia="Calibri" w:hAnsi="Times New Roman" w:cs="Times New Roman"/>
          <w:color w:val="auto"/>
          <w:sz w:val="26"/>
          <w:szCs w:val="26"/>
        </w:rPr>
        <w:t xml:space="preserve">percentage ranging between </w:t>
      </w:r>
      <w:r w:rsidR="000427C4" w:rsidRPr="00414C69">
        <w:rPr>
          <w:rFonts w:ascii="Times New Roman" w:eastAsia="Calibri" w:hAnsi="Times New Roman" w:cs="Times New Roman"/>
          <w:color w:val="auto"/>
          <w:sz w:val="26"/>
          <w:szCs w:val="26"/>
        </w:rPr>
        <w:t>3% and 5% with an improvement in the investments growth pace to 20%. Accordingly, this performance will also affect the external sector, where exports are anticipated to grow at a percentage ranging between 4% to 8%</w:t>
      </w:r>
      <w:r w:rsidR="006B50D1" w:rsidRPr="00414C69">
        <w:rPr>
          <w:rFonts w:ascii="Times New Roman" w:eastAsia="Calibri" w:hAnsi="Times New Roman" w:cs="Times New Roman"/>
          <w:color w:val="auto"/>
          <w:sz w:val="26"/>
          <w:szCs w:val="26"/>
        </w:rPr>
        <w:t xml:space="preserve">. This is in addition to </w:t>
      </w:r>
      <w:r w:rsidR="0095382F" w:rsidRPr="00414C69">
        <w:rPr>
          <w:rFonts w:ascii="Times New Roman" w:eastAsia="Calibri" w:hAnsi="Times New Roman" w:cs="Times New Roman"/>
          <w:color w:val="auto"/>
          <w:sz w:val="26"/>
          <w:szCs w:val="26"/>
        </w:rPr>
        <w:t xml:space="preserve">a rapid growth in imports at a percentage ranging </w:t>
      </w:r>
      <w:r w:rsidR="0095382F" w:rsidRPr="00414C69">
        <w:rPr>
          <w:rFonts w:ascii="Times New Roman" w:eastAsia="Calibri" w:hAnsi="Times New Roman" w:cs="Times New Roman"/>
          <w:color w:val="auto"/>
          <w:sz w:val="26"/>
          <w:szCs w:val="26"/>
        </w:rPr>
        <w:lastRenderedPageBreak/>
        <w:t>between 5% and 8%. Nonetheless, it is also expected that the economic improvement will positively, but slightly, affect unemployment rates, so that the unemployment rate decreases only one point in this scenario.</w:t>
      </w:r>
    </w:p>
    <w:p w:rsidR="0095382F" w:rsidRPr="00414C69" w:rsidRDefault="000472B8" w:rsidP="009464BB">
      <w:pPr>
        <w:pStyle w:val="Normal1"/>
        <w:spacing w:before="120" w:after="120"/>
        <w:jc w:val="both"/>
        <w:rPr>
          <w:rFonts w:ascii="Times New Roman" w:eastAsia="Calibri" w:hAnsi="Times New Roman" w:cs="Times New Roman"/>
          <w:color w:val="auto"/>
          <w:sz w:val="26"/>
          <w:szCs w:val="26"/>
        </w:rPr>
      </w:pPr>
      <w:r w:rsidRPr="00414C69">
        <w:rPr>
          <w:rFonts w:ascii="Times New Roman" w:eastAsia="Calibri" w:hAnsi="Times New Roman" w:cs="Times New Roman"/>
          <w:color w:val="auto"/>
          <w:sz w:val="26"/>
          <w:szCs w:val="26"/>
        </w:rPr>
        <w:t xml:space="preserve">Furthermore, such forecasts are </w:t>
      </w:r>
      <w:r w:rsidR="00F1479F" w:rsidRPr="00414C69">
        <w:rPr>
          <w:rFonts w:ascii="Times New Roman" w:eastAsia="Calibri" w:hAnsi="Times New Roman" w:cs="Times New Roman"/>
          <w:color w:val="auto"/>
          <w:sz w:val="26"/>
          <w:szCs w:val="26"/>
        </w:rPr>
        <w:t>subject to some potential, especially that the Palestinian economy is working in an environment surrounded by great risks, dangers and uncertainty, in addition to all other implications and reflections on the overall economic activity. There is a new</w:t>
      </w:r>
      <w:r w:rsidR="00D9704C" w:rsidRPr="00414C69">
        <w:rPr>
          <w:rFonts w:ascii="Times New Roman" w:eastAsia="Calibri" w:hAnsi="Times New Roman" w:cs="Times New Roman"/>
          <w:color w:val="auto"/>
          <w:sz w:val="26"/>
          <w:szCs w:val="26"/>
        </w:rPr>
        <w:t xml:space="preserve"> emerging crisis each year or a previous crisis continues, whether at the political level or at the economic level. In light of such reality, the forecasts included an analysis of potential risks at different degrees (optimistic scenario and pessimistic scenario) which are anticipated to have positive or negative impacts on the economic performance in the near future.</w:t>
      </w:r>
    </w:p>
    <w:p w:rsidR="009464BB" w:rsidRPr="0074411C" w:rsidRDefault="009464BB" w:rsidP="009464BB">
      <w:pPr>
        <w:pStyle w:val="BodyText"/>
        <w:bidi w:val="0"/>
        <w:jc w:val="left"/>
        <w:rPr>
          <w:rFonts w:cs="Times New Roman"/>
          <w:b/>
          <w:bCs/>
          <w:rtl/>
        </w:rPr>
      </w:pPr>
      <w:r w:rsidRPr="0074411C">
        <w:rPr>
          <w:rFonts w:cs="Times New Roman"/>
          <w:b/>
          <w:bCs/>
        </w:rPr>
        <w:t>For further details, please contact:</w:t>
      </w:r>
    </w:p>
    <w:tbl>
      <w:tblPr>
        <w:tblW w:w="5000" w:type="pct"/>
        <w:tblLook w:val="04A0" w:firstRow="1" w:lastRow="0" w:firstColumn="1" w:lastColumn="0" w:noHBand="0" w:noVBand="1"/>
      </w:tblPr>
      <w:tblGrid>
        <w:gridCol w:w="4570"/>
        <w:gridCol w:w="1009"/>
        <w:gridCol w:w="3849"/>
      </w:tblGrid>
      <w:tr w:rsidR="00902E1E" w:rsidRPr="00902E1E" w:rsidTr="0074411C">
        <w:tc>
          <w:tcPr>
            <w:tcW w:w="2424" w:type="pct"/>
            <w:shd w:val="clear" w:color="auto" w:fill="auto"/>
            <w:vAlign w:val="center"/>
          </w:tcPr>
          <w:p w:rsidR="009464BB" w:rsidRPr="0074411C" w:rsidRDefault="009464BB" w:rsidP="0074411C">
            <w:pPr>
              <w:pStyle w:val="BodyText"/>
              <w:bidi w:val="0"/>
              <w:jc w:val="left"/>
              <w:rPr>
                <w:rFonts w:eastAsia="Calibri" w:cs="Times New Roman"/>
                <w:sz w:val="20"/>
                <w:szCs w:val="20"/>
              </w:rPr>
            </w:pPr>
            <w:r w:rsidRPr="0074411C">
              <w:rPr>
                <w:rFonts w:eastAsia="Calibri" w:cs="Times New Roman"/>
                <w:sz w:val="20"/>
                <w:szCs w:val="20"/>
              </w:rPr>
              <w:t xml:space="preserve">Palestinian Central Bureau of Statistics           </w:t>
            </w:r>
          </w:p>
        </w:tc>
        <w:tc>
          <w:tcPr>
            <w:tcW w:w="535" w:type="pct"/>
            <w:shd w:val="clear" w:color="auto" w:fill="auto"/>
            <w:vAlign w:val="center"/>
          </w:tcPr>
          <w:p w:rsidR="009464BB" w:rsidRPr="0074411C" w:rsidRDefault="009464BB" w:rsidP="0074411C">
            <w:pPr>
              <w:pStyle w:val="BodyText"/>
              <w:bidi w:val="0"/>
              <w:jc w:val="left"/>
              <w:rPr>
                <w:rFonts w:eastAsia="Calibri" w:cs="Times New Roman"/>
                <w:sz w:val="20"/>
                <w:szCs w:val="20"/>
              </w:rPr>
            </w:pPr>
            <w:r w:rsidRPr="0074411C">
              <w:rPr>
                <w:rFonts w:eastAsia="Calibri" w:cs="Times New Roman"/>
                <w:sz w:val="20"/>
                <w:szCs w:val="20"/>
              </w:rPr>
              <w:t>Or</w:t>
            </w:r>
          </w:p>
        </w:tc>
        <w:tc>
          <w:tcPr>
            <w:tcW w:w="2041" w:type="pct"/>
            <w:shd w:val="clear" w:color="auto" w:fill="auto"/>
            <w:vAlign w:val="center"/>
          </w:tcPr>
          <w:p w:rsidR="009464BB" w:rsidRPr="0074411C" w:rsidRDefault="009464BB" w:rsidP="0074411C">
            <w:pPr>
              <w:pStyle w:val="BodyText"/>
              <w:bidi w:val="0"/>
              <w:jc w:val="left"/>
              <w:rPr>
                <w:rFonts w:eastAsia="Calibri" w:cs="Times New Roman"/>
                <w:sz w:val="20"/>
                <w:szCs w:val="20"/>
              </w:rPr>
            </w:pPr>
            <w:r w:rsidRPr="0074411C">
              <w:rPr>
                <w:rFonts w:eastAsia="Calibri" w:cs="Times New Roman"/>
                <w:sz w:val="20"/>
                <w:szCs w:val="20"/>
              </w:rPr>
              <w:t>Palestine Monetary Authority</w:t>
            </w:r>
          </w:p>
        </w:tc>
      </w:tr>
      <w:tr w:rsidR="00902E1E" w:rsidRPr="00902E1E" w:rsidTr="0074411C">
        <w:tc>
          <w:tcPr>
            <w:tcW w:w="2424" w:type="pct"/>
            <w:shd w:val="clear" w:color="auto" w:fill="auto"/>
            <w:vAlign w:val="center"/>
          </w:tcPr>
          <w:p w:rsidR="009464BB" w:rsidRPr="0074411C" w:rsidRDefault="009464BB" w:rsidP="0074411C">
            <w:pPr>
              <w:pStyle w:val="BodyText"/>
              <w:bidi w:val="0"/>
              <w:jc w:val="left"/>
              <w:rPr>
                <w:rFonts w:eastAsia="Calibri" w:cs="Times New Roman"/>
                <w:sz w:val="20"/>
                <w:szCs w:val="20"/>
              </w:rPr>
            </w:pPr>
            <w:r w:rsidRPr="0074411C">
              <w:rPr>
                <w:rFonts w:eastAsia="Calibri" w:cs="Times New Roman"/>
                <w:b/>
                <w:bCs/>
                <w:sz w:val="20"/>
                <w:szCs w:val="20"/>
              </w:rPr>
              <w:t>P.O. Box 1647, Ramallah- Palestine.</w:t>
            </w:r>
          </w:p>
        </w:tc>
        <w:tc>
          <w:tcPr>
            <w:tcW w:w="535" w:type="pct"/>
            <w:shd w:val="clear" w:color="auto" w:fill="auto"/>
            <w:vAlign w:val="center"/>
          </w:tcPr>
          <w:p w:rsidR="009464BB" w:rsidRPr="0074411C" w:rsidRDefault="009464BB" w:rsidP="0074411C">
            <w:pPr>
              <w:pStyle w:val="BodyText"/>
              <w:bidi w:val="0"/>
              <w:jc w:val="left"/>
              <w:rPr>
                <w:rFonts w:eastAsia="Calibri" w:cs="Times New Roman"/>
                <w:sz w:val="20"/>
                <w:szCs w:val="20"/>
              </w:rPr>
            </w:pPr>
          </w:p>
        </w:tc>
        <w:tc>
          <w:tcPr>
            <w:tcW w:w="2041" w:type="pct"/>
            <w:shd w:val="clear" w:color="auto" w:fill="auto"/>
            <w:vAlign w:val="center"/>
          </w:tcPr>
          <w:p w:rsidR="009464BB" w:rsidRPr="0074411C" w:rsidRDefault="009464BB" w:rsidP="0074411C">
            <w:pPr>
              <w:pStyle w:val="BodyText"/>
              <w:bidi w:val="0"/>
              <w:jc w:val="left"/>
              <w:rPr>
                <w:rFonts w:eastAsia="Calibri" w:cs="Times New Roman"/>
                <w:sz w:val="20"/>
                <w:szCs w:val="20"/>
              </w:rPr>
            </w:pPr>
            <w:r w:rsidRPr="0074411C">
              <w:rPr>
                <w:rFonts w:eastAsia="Calibri" w:cs="Times New Roman"/>
                <w:b/>
                <w:bCs/>
                <w:sz w:val="20"/>
                <w:szCs w:val="20"/>
              </w:rPr>
              <w:t>P.O. Box 452, Ramallah and Al Bireh- Palestine.</w:t>
            </w:r>
          </w:p>
        </w:tc>
      </w:tr>
      <w:tr w:rsidR="00902E1E" w:rsidRPr="00902E1E" w:rsidTr="0074411C">
        <w:tc>
          <w:tcPr>
            <w:tcW w:w="2424" w:type="pct"/>
            <w:shd w:val="clear" w:color="auto" w:fill="auto"/>
            <w:vAlign w:val="center"/>
          </w:tcPr>
          <w:p w:rsidR="009464BB" w:rsidRPr="0074411C" w:rsidRDefault="009464BB" w:rsidP="0074411C">
            <w:pPr>
              <w:tabs>
                <w:tab w:val="right" w:pos="367"/>
                <w:tab w:val="right" w:pos="543"/>
              </w:tabs>
              <w:bidi w:val="0"/>
              <w:rPr>
                <w:rFonts w:eastAsia="Calibri"/>
                <w:b/>
                <w:bCs/>
                <w:i/>
                <w:iCs/>
                <w:sz w:val="20"/>
                <w:szCs w:val="20"/>
              </w:rPr>
            </w:pPr>
            <w:r w:rsidRPr="0074411C">
              <w:rPr>
                <w:rFonts w:eastAsia="Calibri"/>
                <w:bCs/>
                <w:iCs/>
                <w:sz w:val="20"/>
                <w:szCs w:val="20"/>
              </w:rPr>
              <w:t>Tel:   (972/970) 2 2982700</w:t>
            </w:r>
          </w:p>
        </w:tc>
        <w:tc>
          <w:tcPr>
            <w:tcW w:w="535" w:type="pct"/>
            <w:shd w:val="clear" w:color="auto" w:fill="auto"/>
            <w:vAlign w:val="center"/>
          </w:tcPr>
          <w:p w:rsidR="009464BB" w:rsidRPr="0074411C" w:rsidRDefault="009464BB" w:rsidP="0074411C">
            <w:pPr>
              <w:pStyle w:val="BodyText"/>
              <w:bidi w:val="0"/>
              <w:jc w:val="left"/>
              <w:rPr>
                <w:rFonts w:eastAsia="Calibri" w:cs="Times New Roman"/>
                <w:sz w:val="20"/>
                <w:szCs w:val="20"/>
              </w:rPr>
            </w:pPr>
          </w:p>
        </w:tc>
        <w:tc>
          <w:tcPr>
            <w:tcW w:w="2041" w:type="pct"/>
            <w:shd w:val="clear" w:color="auto" w:fill="auto"/>
            <w:vAlign w:val="center"/>
          </w:tcPr>
          <w:p w:rsidR="009464BB" w:rsidRPr="0074411C" w:rsidRDefault="009464BB" w:rsidP="0074411C">
            <w:pPr>
              <w:pStyle w:val="BodyText"/>
              <w:bidi w:val="0"/>
              <w:jc w:val="left"/>
              <w:rPr>
                <w:rFonts w:eastAsia="Calibri" w:cs="Times New Roman"/>
                <w:sz w:val="20"/>
                <w:szCs w:val="20"/>
              </w:rPr>
            </w:pPr>
            <w:r w:rsidRPr="0074411C">
              <w:rPr>
                <w:rFonts w:eastAsia="Calibri" w:cs="Times New Roman"/>
                <w:sz w:val="20"/>
                <w:szCs w:val="20"/>
              </w:rPr>
              <w:t>Tel:   (972/970) 2 2415250</w:t>
            </w:r>
          </w:p>
        </w:tc>
      </w:tr>
      <w:tr w:rsidR="00902E1E" w:rsidRPr="00902E1E" w:rsidTr="0074411C">
        <w:tc>
          <w:tcPr>
            <w:tcW w:w="2424" w:type="pct"/>
            <w:shd w:val="clear" w:color="auto" w:fill="auto"/>
            <w:vAlign w:val="center"/>
          </w:tcPr>
          <w:p w:rsidR="009464BB" w:rsidRPr="0074411C" w:rsidRDefault="009464BB" w:rsidP="0074411C">
            <w:pPr>
              <w:pStyle w:val="BodyText"/>
              <w:bidi w:val="0"/>
              <w:jc w:val="left"/>
              <w:rPr>
                <w:rFonts w:eastAsia="Calibri" w:cs="Times New Roman"/>
                <w:sz w:val="20"/>
                <w:szCs w:val="20"/>
              </w:rPr>
            </w:pPr>
            <w:r w:rsidRPr="0074411C">
              <w:rPr>
                <w:rFonts w:eastAsia="Calibri" w:cs="Times New Roman"/>
                <w:sz w:val="20"/>
                <w:szCs w:val="20"/>
              </w:rPr>
              <w:t xml:space="preserve">Toll free: </w:t>
            </w:r>
            <w:r w:rsidRPr="0074411C">
              <w:rPr>
                <w:rFonts w:eastAsia="Calibri" w:cs="Times New Roman"/>
                <w:sz w:val="20"/>
                <w:szCs w:val="20"/>
                <w:rtl/>
                <w:lang w:val="en-GB"/>
              </w:rPr>
              <w:t>1800300300</w:t>
            </w:r>
          </w:p>
        </w:tc>
        <w:tc>
          <w:tcPr>
            <w:tcW w:w="535" w:type="pct"/>
            <w:shd w:val="clear" w:color="auto" w:fill="auto"/>
            <w:vAlign w:val="center"/>
          </w:tcPr>
          <w:p w:rsidR="009464BB" w:rsidRPr="0074411C" w:rsidRDefault="009464BB" w:rsidP="0074411C">
            <w:pPr>
              <w:pStyle w:val="BodyText"/>
              <w:bidi w:val="0"/>
              <w:jc w:val="left"/>
              <w:rPr>
                <w:rFonts w:eastAsia="Calibri" w:cs="Times New Roman"/>
                <w:sz w:val="20"/>
                <w:szCs w:val="20"/>
              </w:rPr>
            </w:pPr>
          </w:p>
        </w:tc>
        <w:tc>
          <w:tcPr>
            <w:tcW w:w="2041" w:type="pct"/>
            <w:shd w:val="clear" w:color="auto" w:fill="auto"/>
            <w:vAlign w:val="center"/>
          </w:tcPr>
          <w:p w:rsidR="009464BB" w:rsidRPr="0074411C" w:rsidRDefault="009464BB" w:rsidP="0074411C">
            <w:pPr>
              <w:pStyle w:val="BodyText"/>
              <w:bidi w:val="0"/>
              <w:jc w:val="left"/>
              <w:rPr>
                <w:rFonts w:eastAsia="Calibri" w:cs="Times New Roman"/>
                <w:sz w:val="20"/>
                <w:szCs w:val="20"/>
              </w:rPr>
            </w:pPr>
          </w:p>
        </w:tc>
      </w:tr>
      <w:tr w:rsidR="00902E1E" w:rsidRPr="00902E1E" w:rsidTr="0074411C">
        <w:tc>
          <w:tcPr>
            <w:tcW w:w="2424" w:type="pct"/>
            <w:shd w:val="clear" w:color="auto" w:fill="auto"/>
            <w:vAlign w:val="center"/>
          </w:tcPr>
          <w:p w:rsidR="009464BB" w:rsidRPr="0074411C" w:rsidRDefault="009464BB" w:rsidP="0074411C">
            <w:pPr>
              <w:pStyle w:val="BodyText"/>
              <w:bidi w:val="0"/>
              <w:jc w:val="left"/>
              <w:rPr>
                <w:rFonts w:eastAsia="Calibri" w:cs="Times New Roman"/>
                <w:sz w:val="20"/>
                <w:szCs w:val="20"/>
                <w:lang w:val="fr-CA"/>
              </w:rPr>
            </w:pPr>
            <w:r w:rsidRPr="0074411C">
              <w:rPr>
                <w:rFonts w:eastAsia="Calibri" w:cs="Times New Roman"/>
                <w:sz w:val="20"/>
                <w:szCs w:val="20"/>
                <w:lang w:val="fr-FR" w:eastAsia="fr-FR"/>
              </w:rPr>
              <w:t xml:space="preserve">Email: </w:t>
            </w:r>
            <w:hyperlink r:id="rId10" w:history="1">
              <w:r w:rsidRPr="0074411C">
                <w:rPr>
                  <w:rStyle w:val="Hyperlink"/>
                  <w:rFonts w:eastAsia="Calibri"/>
                  <w:color w:val="auto"/>
                  <w:sz w:val="20"/>
                  <w:szCs w:val="20"/>
                  <w:lang w:val="fr-FR" w:eastAsia="fr-FR"/>
                </w:rPr>
                <w:t>diwan@pcbs.gov.ps</w:t>
              </w:r>
            </w:hyperlink>
          </w:p>
        </w:tc>
        <w:tc>
          <w:tcPr>
            <w:tcW w:w="535" w:type="pct"/>
            <w:shd w:val="clear" w:color="auto" w:fill="auto"/>
            <w:vAlign w:val="center"/>
          </w:tcPr>
          <w:p w:rsidR="009464BB" w:rsidRPr="0074411C" w:rsidRDefault="009464BB" w:rsidP="0074411C">
            <w:pPr>
              <w:pStyle w:val="BodyText"/>
              <w:bidi w:val="0"/>
              <w:jc w:val="left"/>
              <w:rPr>
                <w:rFonts w:eastAsia="Calibri" w:cs="Times New Roman"/>
                <w:sz w:val="20"/>
                <w:szCs w:val="20"/>
                <w:lang w:val="fr-CA"/>
              </w:rPr>
            </w:pPr>
          </w:p>
        </w:tc>
        <w:tc>
          <w:tcPr>
            <w:tcW w:w="2041" w:type="pct"/>
            <w:shd w:val="clear" w:color="auto" w:fill="auto"/>
            <w:vAlign w:val="center"/>
          </w:tcPr>
          <w:p w:rsidR="009464BB" w:rsidRPr="0074411C" w:rsidRDefault="009464BB" w:rsidP="0074411C">
            <w:pPr>
              <w:pStyle w:val="BodyText"/>
              <w:bidi w:val="0"/>
              <w:jc w:val="left"/>
              <w:rPr>
                <w:rFonts w:eastAsia="Calibri" w:cs="Times New Roman"/>
                <w:sz w:val="20"/>
                <w:szCs w:val="20"/>
                <w:lang w:val="fr-CA"/>
              </w:rPr>
            </w:pPr>
            <w:r w:rsidRPr="0074411C">
              <w:rPr>
                <w:rFonts w:eastAsia="Calibri" w:cs="Times New Roman"/>
                <w:sz w:val="20"/>
                <w:szCs w:val="20"/>
                <w:lang w:val="fr-FR" w:eastAsia="fr-FR"/>
              </w:rPr>
              <w:t xml:space="preserve">Email: </w:t>
            </w:r>
            <w:hyperlink r:id="rId11" w:history="1">
              <w:r w:rsidRPr="0074411C">
                <w:rPr>
                  <w:rStyle w:val="Hyperlink"/>
                  <w:rFonts w:eastAsia="Calibri"/>
                  <w:color w:val="auto"/>
                  <w:sz w:val="20"/>
                  <w:szCs w:val="20"/>
                  <w:lang w:val="fr-FR" w:eastAsia="fr-FR"/>
                </w:rPr>
                <w:t>Info@pma.ps</w:t>
              </w:r>
            </w:hyperlink>
          </w:p>
        </w:tc>
      </w:tr>
      <w:tr w:rsidR="00902E1E" w:rsidRPr="00902E1E" w:rsidTr="0074411C">
        <w:tc>
          <w:tcPr>
            <w:tcW w:w="2424" w:type="pct"/>
            <w:shd w:val="clear" w:color="auto" w:fill="auto"/>
            <w:vAlign w:val="center"/>
          </w:tcPr>
          <w:p w:rsidR="009464BB" w:rsidRPr="0074411C" w:rsidRDefault="009464BB" w:rsidP="0074411C">
            <w:pPr>
              <w:pStyle w:val="BodyText"/>
              <w:bidi w:val="0"/>
              <w:jc w:val="left"/>
              <w:rPr>
                <w:rFonts w:eastAsia="Calibri" w:cs="Times New Roman"/>
                <w:sz w:val="20"/>
                <w:szCs w:val="20"/>
              </w:rPr>
            </w:pPr>
            <w:r w:rsidRPr="0074411C">
              <w:rPr>
                <w:rFonts w:eastAsia="Calibri" w:cs="Times New Roman"/>
                <w:sz w:val="20"/>
                <w:szCs w:val="20"/>
              </w:rPr>
              <w:t xml:space="preserve">Website:  </w:t>
            </w:r>
            <w:hyperlink r:id="rId12" w:history="1">
              <w:r w:rsidRPr="0074411C">
                <w:rPr>
                  <w:rStyle w:val="Hyperlink"/>
                  <w:rFonts w:eastAsia="Calibri"/>
                  <w:color w:val="auto"/>
                  <w:sz w:val="20"/>
                  <w:szCs w:val="20"/>
                </w:rPr>
                <w:t>http://www.pcbs.gov.ps</w:t>
              </w:r>
            </w:hyperlink>
          </w:p>
        </w:tc>
        <w:tc>
          <w:tcPr>
            <w:tcW w:w="535" w:type="pct"/>
            <w:shd w:val="clear" w:color="auto" w:fill="auto"/>
            <w:vAlign w:val="center"/>
          </w:tcPr>
          <w:p w:rsidR="009464BB" w:rsidRPr="0074411C" w:rsidRDefault="009464BB" w:rsidP="0074411C">
            <w:pPr>
              <w:pStyle w:val="BodyText"/>
              <w:bidi w:val="0"/>
              <w:jc w:val="left"/>
              <w:rPr>
                <w:rFonts w:eastAsia="Calibri" w:cs="Times New Roman"/>
                <w:sz w:val="20"/>
                <w:szCs w:val="20"/>
              </w:rPr>
            </w:pPr>
          </w:p>
        </w:tc>
        <w:tc>
          <w:tcPr>
            <w:tcW w:w="2041" w:type="pct"/>
            <w:shd w:val="clear" w:color="auto" w:fill="auto"/>
            <w:vAlign w:val="center"/>
          </w:tcPr>
          <w:p w:rsidR="009464BB" w:rsidRPr="0074411C" w:rsidRDefault="009464BB" w:rsidP="0074411C">
            <w:pPr>
              <w:pStyle w:val="BodyText"/>
              <w:bidi w:val="0"/>
              <w:jc w:val="left"/>
              <w:rPr>
                <w:rFonts w:eastAsia="Calibri" w:cs="Times New Roman"/>
                <w:sz w:val="20"/>
                <w:szCs w:val="20"/>
                <w:lang w:eastAsia="fr-FR"/>
              </w:rPr>
            </w:pPr>
            <w:r w:rsidRPr="0074411C">
              <w:rPr>
                <w:rFonts w:eastAsia="Calibri" w:cs="Times New Roman"/>
                <w:sz w:val="20"/>
                <w:szCs w:val="20"/>
              </w:rPr>
              <w:t xml:space="preserve">Website:  </w:t>
            </w:r>
            <w:r w:rsidRPr="0074411C">
              <w:rPr>
                <w:rStyle w:val="Hyperlink"/>
                <w:rFonts w:eastAsia="Calibri"/>
                <w:color w:val="auto"/>
                <w:sz w:val="20"/>
                <w:szCs w:val="20"/>
                <w:lang w:val="fr-FR" w:eastAsia="fr-FR"/>
              </w:rPr>
              <w:t>http://www.</w:t>
            </w:r>
            <w:r w:rsidRPr="0074411C">
              <w:rPr>
                <w:rStyle w:val="Hyperlink"/>
                <w:rFonts w:eastAsia="Calibri"/>
                <w:color w:val="auto"/>
                <w:sz w:val="20"/>
                <w:szCs w:val="20"/>
                <w:lang w:val="fr-FR"/>
              </w:rPr>
              <w:t xml:space="preserve"> pma.ps</w:t>
            </w:r>
          </w:p>
        </w:tc>
      </w:tr>
      <w:tr w:rsidR="00902E1E" w:rsidRPr="00902E1E" w:rsidTr="0074411C">
        <w:tc>
          <w:tcPr>
            <w:tcW w:w="2424" w:type="pct"/>
            <w:shd w:val="clear" w:color="auto" w:fill="auto"/>
          </w:tcPr>
          <w:p w:rsidR="009464BB" w:rsidRPr="0074411C" w:rsidRDefault="004B5F5F" w:rsidP="0074411C">
            <w:pPr>
              <w:pStyle w:val="BodyText"/>
              <w:jc w:val="both"/>
              <w:rPr>
                <w:rFonts w:eastAsia="Calibri" w:cs="Times New Roman"/>
                <w:sz w:val="22"/>
                <w:szCs w:val="22"/>
              </w:rPr>
            </w:pPr>
            <w:r>
              <w:rPr>
                <w:noProof/>
                <w:lang w:eastAsia="en-US"/>
              </w:rPr>
              <w:drawing>
                <wp:anchor distT="0" distB="0" distL="114300" distR="114300" simplePos="0" relativeHeight="251657728" behindDoc="1" locked="0" layoutInCell="1" allowOverlap="1">
                  <wp:simplePos x="0" y="0"/>
                  <wp:positionH relativeFrom="column">
                    <wp:posOffset>615950</wp:posOffset>
                  </wp:positionH>
                  <wp:positionV relativeFrom="paragraph">
                    <wp:posOffset>56515</wp:posOffset>
                  </wp:positionV>
                  <wp:extent cx="814705" cy="738505"/>
                  <wp:effectExtent l="0" t="0" r="0" b="0"/>
                  <wp:wrapTight wrapText="bothSides">
                    <wp:wrapPolygon edited="0">
                      <wp:start x="0" y="0"/>
                      <wp:lineTo x="0" y="21173"/>
                      <wp:lineTo x="21213" y="21173"/>
                      <wp:lineTo x="21213" y="0"/>
                      <wp:lineTo x="0" y="0"/>
                    </wp:wrapPolygon>
                  </wp:wrapTight>
                  <wp:docPr id="3" name="Picture 2" descr="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4705"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4BB" w:rsidRPr="0074411C" w:rsidRDefault="009464BB" w:rsidP="009B6B56">
            <w:pPr>
              <w:rPr>
                <w:rFonts w:ascii="Calibri" w:eastAsia="Calibri" w:hAnsi="Calibri" w:cs="Arial"/>
                <w:sz w:val="22"/>
                <w:szCs w:val="22"/>
              </w:rPr>
            </w:pPr>
          </w:p>
          <w:p w:rsidR="009464BB" w:rsidRPr="0074411C" w:rsidRDefault="009464BB" w:rsidP="0074411C">
            <w:pPr>
              <w:jc w:val="center"/>
              <w:rPr>
                <w:rFonts w:ascii="Calibri" w:eastAsia="Calibri" w:hAnsi="Calibri" w:cs="Arial"/>
                <w:sz w:val="22"/>
                <w:szCs w:val="22"/>
              </w:rPr>
            </w:pPr>
          </w:p>
        </w:tc>
        <w:tc>
          <w:tcPr>
            <w:tcW w:w="535" w:type="pct"/>
            <w:shd w:val="clear" w:color="auto" w:fill="auto"/>
          </w:tcPr>
          <w:p w:rsidR="009464BB" w:rsidRPr="0074411C" w:rsidRDefault="009464BB" w:rsidP="0074411C">
            <w:pPr>
              <w:pStyle w:val="BodyText"/>
              <w:bidi w:val="0"/>
              <w:jc w:val="both"/>
              <w:rPr>
                <w:rFonts w:eastAsia="Calibri" w:cs="Times New Roman"/>
                <w:sz w:val="22"/>
                <w:szCs w:val="22"/>
              </w:rPr>
            </w:pPr>
          </w:p>
        </w:tc>
        <w:tc>
          <w:tcPr>
            <w:tcW w:w="2041" w:type="pct"/>
            <w:shd w:val="clear" w:color="auto" w:fill="auto"/>
          </w:tcPr>
          <w:p w:rsidR="009464BB" w:rsidRPr="0074411C" w:rsidRDefault="009464BB" w:rsidP="0074411C">
            <w:pPr>
              <w:pStyle w:val="BodyText"/>
              <w:bidi w:val="0"/>
              <w:jc w:val="both"/>
              <w:rPr>
                <w:rFonts w:eastAsia="Calibri" w:cs="Times New Roman"/>
                <w:sz w:val="22"/>
                <w:szCs w:val="22"/>
              </w:rPr>
            </w:pPr>
          </w:p>
        </w:tc>
      </w:tr>
      <w:tr w:rsidR="00902E1E" w:rsidRPr="00902E1E" w:rsidTr="0074411C">
        <w:tc>
          <w:tcPr>
            <w:tcW w:w="2424" w:type="pct"/>
            <w:shd w:val="clear" w:color="auto" w:fill="auto"/>
          </w:tcPr>
          <w:p w:rsidR="009464BB" w:rsidRPr="0074411C" w:rsidRDefault="004B5F5F" w:rsidP="0074411C">
            <w:pPr>
              <w:pStyle w:val="BodyText"/>
              <w:bidi w:val="0"/>
              <w:jc w:val="both"/>
              <w:rPr>
                <w:rFonts w:eastAsia="Calibri" w:cs="Times New Roman"/>
                <w:sz w:val="22"/>
                <w:szCs w:val="22"/>
              </w:rPr>
            </w:pPr>
            <w:r>
              <w:rPr>
                <w:noProof/>
                <w:lang w:eastAsia="en-US"/>
              </w:rPr>
              <w:drawing>
                <wp:anchor distT="0" distB="0" distL="114300" distR="114300" simplePos="0" relativeHeight="251658752" behindDoc="1" locked="0" layoutInCell="1" allowOverlap="1">
                  <wp:simplePos x="0" y="0"/>
                  <wp:positionH relativeFrom="column">
                    <wp:posOffset>596900</wp:posOffset>
                  </wp:positionH>
                  <wp:positionV relativeFrom="paragraph">
                    <wp:posOffset>48895</wp:posOffset>
                  </wp:positionV>
                  <wp:extent cx="758825" cy="804545"/>
                  <wp:effectExtent l="0" t="0" r="0" b="0"/>
                  <wp:wrapTight wrapText="bothSides">
                    <wp:wrapPolygon edited="0">
                      <wp:start x="6507" y="0"/>
                      <wp:lineTo x="0" y="3069"/>
                      <wp:lineTo x="0" y="14320"/>
                      <wp:lineTo x="542" y="16366"/>
                      <wp:lineTo x="5423" y="20969"/>
                      <wp:lineTo x="6507" y="20969"/>
                      <wp:lineTo x="14641" y="20969"/>
                      <wp:lineTo x="15726" y="20969"/>
                      <wp:lineTo x="20606" y="16366"/>
                      <wp:lineTo x="21148" y="14320"/>
                      <wp:lineTo x="21148" y="3069"/>
                      <wp:lineTo x="14641" y="0"/>
                      <wp:lineTo x="6507" y="0"/>
                    </wp:wrapPolygon>
                  </wp:wrapTight>
                  <wp:docPr id="2" name="Picture 3" descr="الشعار بيت لحم المعتم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شعار بيت لحم المعتمد.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8825" cy="804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5" w:type="pct"/>
            <w:shd w:val="clear" w:color="auto" w:fill="auto"/>
          </w:tcPr>
          <w:p w:rsidR="009464BB" w:rsidRPr="0074411C" w:rsidRDefault="009464BB" w:rsidP="0074411C">
            <w:pPr>
              <w:pStyle w:val="BodyText"/>
              <w:bidi w:val="0"/>
              <w:jc w:val="both"/>
              <w:rPr>
                <w:rFonts w:eastAsia="Calibri" w:cs="Times New Roman"/>
                <w:sz w:val="22"/>
                <w:szCs w:val="22"/>
              </w:rPr>
            </w:pPr>
          </w:p>
        </w:tc>
        <w:tc>
          <w:tcPr>
            <w:tcW w:w="2041" w:type="pct"/>
            <w:shd w:val="clear" w:color="auto" w:fill="auto"/>
          </w:tcPr>
          <w:p w:rsidR="009464BB" w:rsidRPr="0074411C" w:rsidRDefault="009464BB" w:rsidP="0074411C">
            <w:pPr>
              <w:pStyle w:val="BodyText"/>
              <w:bidi w:val="0"/>
              <w:jc w:val="both"/>
              <w:rPr>
                <w:rFonts w:eastAsia="Calibri" w:cs="Times New Roman"/>
                <w:sz w:val="22"/>
                <w:szCs w:val="22"/>
              </w:rPr>
            </w:pPr>
          </w:p>
        </w:tc>
      </w:tr>
      <w:tr w:rsidR="009464BB" w:rsidRPr="00902E1E" w:rsidTr="0074411C">
        <w:tc>
          <w:tcPr>
            <w:tcW w:w="2424" w:type="pct"/>
            <w:shd w:val="clear" w:color="auto" w:fill="auto"/>
          </w:tcPr>
          <w:p w:rsidR="009464BB" w:rsidRPr="0074411C" w:rsidRDefault="009464BB" w:rsidP="0074411C">
            <w:pPr>
              <w:pStyle w:val="BodyText"/>
              <w:tabs>
                <w:tab w:val="right" w:pos="-249"/>
                <w:tab w:val="right" w:pos="176"/>
                <w:tab w:val="right" w:pos="743"/>
                <w:tab w:val="right" w:pos="1735"/>
                <w:tab w:val="right" w:pos="2940"/>
              </w:tabs>
              <w:bidi w:val="0"/>
              <w:ind w:right="1797"/>
              <w:rPr>
                <w:rFonts w:eastAsia="Calibri" w:cs="Times New Roman"/>
                <w:sz w:val="20"/>
                <w:szCs w:val="20"/>
              </w:rPr>
            </w:pPr>
          </w:p>
        </w:tc>
        <w:tc>
          <w:tcPr>
            <w:tcW w:w="535" w:type="pct"/>
            <w:shd w:val="clear" w:color="auto" w:fill="auto"/>
          </w:tcPr>
          <w:p w:rsidR="009464BB" w:rsidRPr="0074411C" w:rsidRDefault="009464BB" w:rsidP="0074411C">
            <w:pPr>
              <w:pStyle w:val="BodyText"/>
              <w:bidi w:val="0"/>
              <w:jc w:val="both"/>
              <w:rPr>
                <w:rFonts w:eastAsia="Calibri" w:cs="Times New Roman"/>
                <w:sz w:val="22"/>
                <w:szCs w:val="22"/>
                <w:rtl/>
              </w:rPr>
            </w:pPr>
          </w:p>
        </w:tc>
        <w:tc>
          <w:tcPr>
            <w:tcW w:w="2041" w:type="pct"/>
            <w:shd w:val="clear" w:color="auto" w:fill="auto"/>
          </w:tcPr>
          <w:p w:rsidR="009464BB" w:rsidRPr="0074411C" w:rsidRDefault="009464BB" w:rsidP="0074411C">
            <w:pPr>
              <w:pStyle w:val="BodyText"/>
              <w:bidi w:val="0"/>
              <w:jc w:val="both"/>
              <w:rPr>
                <w:rFonts w:eastAsia="Calibri" w:cs="Times New Roman"/>
                <w:sz w:val="22"/>
                <w:szCs w:val="22"/>
              </w:rPr>
            </w:pPr>
          </w:p>
        </w:tc>
      </w:tr>
    </w:tbl>
    <w:p w:rsidR="00161219" w:rsidRPr="00902E1E" w:rsidRDefault="00161219" w:rsidP="002772A6">
      <w:pPr>
        <w:ind w:right="-993"/>
        <w:rPr>
          <w:rFonts w:ascii="Simplified Arabic" w:hAnsi="Simplified Arabic" w:cs="Simplified Arabic"/>
          <w:sz w:val="20"/>
          <w:szCs w:val="20"/>
          <w:rtl/>
        </w:rPr>
      </w:pPr>
    </w:p>
    <w:sectPr w:rsidR="00161219" w:rsidRPr="00902E1E" w:rsidSect="00DF5E7B">
      <w:footerReference w:type="even" r:id="rId15"/>
      <w:footerReference w:type="default" r:id="rId16"/>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CDE" w:rsidRDefault="00214CDE">
      <w:r>
        <w:separator/>
      </w:r>
    </w:p>
  </w:endnote>
  <w:endnote w:type="continuationSeparator" w:id="0">
    <w:p w:rsidR="00214CDE" w:rsidRDefault="0021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18656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18656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4B5F5F">
      <w:rPr>
        <w:rStyle w:val="PageNumber"/>
        <w:noProof/>
        <w:rtl/>
      </w:rPr>
      <w:t>1</w:t>
    </w:r>
    <w:r>
      <w:rPr>
        <w:rStyle w:val="PageNumber"/>
        <w:rtl/>
      </w:rPr>
      <w:fldChar w:fldCharType="end"/>
    </w:r>
  </w:p>
  <w:p w:rsidR="00EF779D" w:rsidRDefault="00EF779D">
    <w:pPr>
      <w:pStyle w:val="Footer"/>
      <w:framePr w:wrap="around" w:vAnchor="text" w:hAnchor="margin" w:xAlign="center" w:y="1"/>
      <w:rPr>
        <w:rStyle w:val="PageNumber"/>
        <w:rtl/>
      </w:rPr>
    </w:pPr>
  </w:p>
  <w:p w:rsidR="00EF779D" w:rsidRDefault="00EF779D" w:rsidP="002772A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CDE" w:rsidRDefault="00214CDE">
      <w:r>
        <w:separator/>
      </w:r>
    </w:p>
  </w:footnote>
  <w:footnote w:type="continuationSeparator" w:id="0">
    <w:p w:rsidR="00214CDE" w:rsidRDefault="00214CDE">
      <w:r>
        <w:continuationSeparator/>
      </w:r>
    </w:p>
  </w:footnote>
  <w:footnote w:id="1">
    <w:p w:rsidR="00662A8C" w:rsidRPr="00902E1E" w:rsidRDefault="00662A8C" w:rsidP="00662A8C">
      <w:pPr>
        <w:bidi w:val="0"/>
        <w:rPr>
          <w:snapToGrid w:val="0"/>
          <w:sz w:val="20"/>
          <w:szCs w:val="20"/>
          <w:lang w:bidi="ar-JO"/>
        </w:rPr>
      </w:pPr>
      <w:r w:rsidRPr="00902E1E">
        <w:rPr>
          <w:snapToGrid w:val="0"/>
          <w:sz w:val="20"/>
          <w:szCs w:val="20"/>
          <w:lang w:bidi="ar-JO"/>
        </w:rPr>
        <w:footnoteRef/>
      </w:r>
      <w:r w:rsidRPr="00902E1E">
        <w:rPr>
          <w:snapToGrid w:val="0"/>
          <w:sz w:val="20"/>
          <w:szCs w:val="20"/>
          <w:lang w:bidi="ar-JO"/>
        </w:rPr>
        <w:t xml:space="preserve"> Data at constant prices with 2015 as the base year.  D</w:t>
      </w:r>
      <w:r w:rsidRPr="0074411C">
        <w:rPr>
          <w:sz w:val="20"/>
          <w:szCs w:val="20"/>
        </w:rPr>
        <w:t xml:space="preserve">ata excludes those parts of Jerusalem which were annexed by Israeli occupation in 1967.  Data for </w:t>
      </w:r>
      <w:r w:rsidRPr="0074411C">
        <w:rPr>
          <w:rFonts w:hint="cs"/>
          <w:sz w:val="20"/>
          <w:szCs w:val="20"/>
          <w:rtl/>
        </w:rPr>
        <w:t>2020</w:t>
      </w:r>
      <w:r w:rsidRPr="0074411C">
        <w:rPr>
          <w:sz w:val="20"/>
          <w:szCs w:val="20"/>
        </w:rPr>
        <w:t xml:space="preserve"> were based on preliminary estimates and may be revised</w:t>
      </w:r>
      <w:r w:rsidRPr="00902E1E">
        <w:rPr>
          <w:snapToGrid w:val="0"/>
          <w:sz w:val="20"/>
          <w:szCs w:val="20"/>
          <w:rtl/>
          <w:lang w:bidi="ar-JO"/>
        </w:rPr>
        <w:t>.</w:t>
      </w:r>
    </w:p>
  </w:footnote>
  <w:footnote w:id="2">
    <w:p w:rsidR="00662A8C" w:rsidRPr="0074411C" w:rsidRDefault="00662A8C" w:rsidP="00662A8C">
      <w:pPr>
        <w:pStyle w:val="FootnoteText"/>
        <w:bidi w:val="0"/>
      </w:pPr>
      <w:r w:rsidRPr="0074411C">
        <w:rPr>
          <w:rStyle w:val="FootnoteReference"/>
          <w:rFonts w:cs="Times New Roman"/>
          <w:color w:val="auto"/>
        </w:rPr>
        <w:footnoteRef/>
      </w:r>
      <w:r w:rsidRPr="0074411C">
        <w:t xml:space="preserve"> Data includes those parts of Jerusalem which were annexed by Israeli occupation in 1967.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8"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1"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2"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6"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7"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8"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1"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2"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6"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0"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3"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39"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7"/>
  </w:num>
  <w:num w:numId="2">
    <w:abstractNumId w:val="21"/>
  </w:num>
  <w:num w:numId="3">
    <w:abstractNumId w:val="8"/>
  </w:num>
  <w:num w:numId="4">
    <w:abstractNumId w:val="43"/>
  </w:num>
  <w:num w:numId="5">
    <w:abstractNumId w:val="16"/>
  </w:num>
  <w:num w:numId="6">
    <w:abstractNumId w:val="29"/>
  </w:num>
  <w:num w:numId="7">
    <w:abstractNumId w:val="38"/>
  </w:num>
  <w:num w:numId="8">
    <w:abstractNumId w:val="25"/>
  </w:num>
  <w:num w:numId="9">
    <w:abstractNumId w:val="5"/>
  </w:num>
  <w:num w:numId="10">
    <w:abstractNumId w:val="15"/>
  </w:num>
  <w:num w:numId="11">
    <w:abstractNumId w:val="40"/>
  </w:num>
  <w:num w:numId="12">
    <w:abstractNumId w:val="28"/>
  </w:num>
  <w:num w:numId="13">
    <w:abstractNumId w:val="7"/>
  </w:num>
  <w:num w:numId="14">
    <w:abstractNumId w:val="18"/>
  </w:num>
  <w:num w:numId="15">
    <w:abstractNumId w:val="36"/>
  </w:num>
  <w:num w:numId="16">
    <w:abstractNumId w:val="22"/>
  </w:num>
  <w:num w:numId="17">
    <w:abstractNumId w:val="19"/>
  </w:num>
  <w:num w:numId="18">
    <w:abstractNumId w:val="1"/>
  </w:num>
  <w:num w:numId="19">
    <w:abstractNumId w:val="17"/>
  </w:num>
  <w:num w:numId="20">
    <w:abstractNumId w:val="20"/>
  </w:num>
  <w:num w:numId="21">
    <w:abstractNumId w:val="32"/>
  </w:num>
  <w:num w:numId="22">
    <w:abstractNumId w:val="26"/>
  </w:num>
  <w:num w:numId="23">
    <w:abstractNumId w:val="13"/>
  </w:num>
  <w:num w:numId="24">
    <w:abstractNumId w:val="42"/>
  </w:num>
  <w:num w:numId="25">
    <w:abstractNumId w:val="34"/>
  </w:num>
  <w:num w:numId="26">
    <w:abstractNumId w:val="9"/>
  </w:num>
  <w:num w:numId="27">
    <w:abstractNumId w:val="4"/>
  </w:num>
  <w:num w:numId="28">
    <w:abstractNumId w:val="2"/>
  </w:num>
  <w:num w:numId="29">
    <w:abstractNumId w:val="10"/>
  </w:num>
  <w:num w:numId="30">
    <w:abstractNumId w:val="33"/>
  </w:num>
  <w:num w:numId="31">
    <w:abstractNumId w:val="41"/>
  </w:num>
  <w:num w:numId="32">
    <w:abstractNumId w:val="0"/>
  </w:num>
  <w:num w:numId="33">
    <w:abstractNumId w:val="23"/>
  </w:num>
  <w:num w:numId="34">
    <w:abstractNumId w:val="14"/>
  </w:num>
  <w:num w:numId="35">
    <w:abstractNumId w:val="12"/>
  </w:num>
  <w:num w:numId="36">
    <w:abstractNumId w:val="37"/>
  </w:num>
  <w:num w:numId="37">
    <w:abstractNumId w:val="30"/>
  </w:num>
  <w:num w:numId="38">
    <w:abstractNumId w:val="24"/>
  </w:num>
  <w:num w:numId="39">
    <w:abstractNumId w:val="3"/>
  </w:num>
  <w:num w:numId="40">
    <w:abstractNumId w:val="6"/>
  </w:num>
  <w:num w:numId="41">
    <w:abstractNumId w:val="11"/>
  </w:num>
  <w:num w:numId="42">
    <w:abstractNumId w:val="39"/>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C2"/>
    <w:rsid w:val="00003758"/>
    <w:rsid w:val="00003C5A"/>
    <w:rsid w:val="00004EBE"/>
    <w:rsid w:val="000062CB"/>
    <w:rsid w:val="00006393"/>
    <w:rsid w:val="0000683C"/>
    <w:rsid w:val="00006B0D"/>
    <w:rsid w:val="00006D99"/>
    <w:rsid w:val="00010EE8"/>
    <w:rsid w:val="000111FB"/>
    <w:rsid w:val="00011403"/>
    <w:rsid w:val="000116DE"/>
    <w:rsid w:val="00011BF2"/>
    <w:rsid w:val="0001220E"/>
    <w:rsid w:val="00012A8E"/>
    <w:rsid w:val="00013731"/>
    <w:rsid w:val="00013B07"/>
    <w:rsid w:val="00014CBC"/>
    <w:rsid w:val="000152D0"/>
    <w:rsid w:val="00015497"/>
    <w:rsid w:val="00017BBE"/>
    <w:rsid w:val="00020672"/>
    <w:rsid w:val="00020CB1"/>
    <w:rsid w:val="000214B1"/>
    <w:rsid w:val="00021CA9"/>
    <w:rsid w:val="0002232F"/>
    <w:rsid w:val="000235FD"/>
    <w:rsid w:val="00023956"/>
    <w:rsid w:val="000242DA"/>
    <w:rsid w:val="00024EDB"/>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367E1"/>
    <w:rsid w:val="00040C4C"/>
    <w:rsid w:val="00040D25"/>
    <w:rsid w:val="000427C4"/>
    <w:rsid w:val="00042B02"/>
    <w:rsid w:val="00043A12"/>
    <w:rsid w:val="00043C12"/>
    <w:rsid w:val="0004417D"/>
    <w:rsid w:val="00044A39"/>
    <w:rsid w:val="00044CAB"/>
    <w:rsid w:val="000452C8"/>
    <w:rsid w:val="00045833"/>
    <w:rsid w:val="00045AE3"/>
    <w:rsid w:val="000468B6"/>
    <w:rsid w:val="00046A9D"/>
    <w:rsid w:val="00046B78"/>
    <w:rsid w:val="00046DAC"/>
    <w:rsid w:val="000472B8"/>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39"/>
    <w:rsid w:val="00072C8F"/>
    <w:rsid w:val="00072DF9"/>
    <w:rsid w:val="00072FDA"/>
    <w:rsid w:val="00073903"/>
    <w:rsid w:val="000742CE"/>
    <w:rsid w:val="00074708"/>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FA7"/>
    <w:rsid w:val="000B4B3C"/>
    <w:rsid w:val="000B52BE"/>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5E5D"/>
    <w:rsid w:val="000F739C"/>
    <w:rsid w:val="000F7998"/>
    <w:rsid w:val="000F79E7"/>
    <w:rsid w:val="000F7D78"/>
    <w:rsid w:val="000F7F22"/>
    <w:rsid w:val="00101EF1"/>
    <w:rsid w:val="001021B8"/>
    <w:rsid w:val="00103148"/>
    <w:rsid w:val="0010320B"/>
    <w:rsid w:val="0010461A"/>
    <w:rsid w:val="00104A74"/>
    <w:rsid w:val="00106D72"/>
    <w:rsid w:val="001101C4"/>
    <w:rsid w:val="00110BAB"/>
    <w:rsid w:val="00112BF2"/>
    <w:rsid w:val="001131CE"/>
    <w:rsid w:val="00113259"/>
    <w:rsid w:val="00113560"/>
    <w:rsid w:val="00114017"/>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829"/>
    <w:rsid w:val="00182C7B"/>
    <w:rsid w:val="00182D68"/>
    <w:rsid w:val="00182F72"/>
    <w:rsid w:val="00183262"/>
    <w:rsid w:val="001836F2"/>
    <w:rsid w:val="0018452B"/>
    <w:rsid w:val="001849DE"/>
    <w:rsid w:val="00184B0A"/>
    <w:rsid w:val="00184F4B"/>
    <w:rsid w:val="0018656E"/>
    <w:rsid w:val="00187B01"/>
    <w:rsid w:val="001909B4"/>
    <w:rsid w:val="00190DA4"/>
    <w:rsid w:val="00192CEC"/>
    <w:rsid w:val="00193B3E"/>
    <w:rsid w:val="00193E5F"/>
    <w:rsid w:val="00193EDA"/>
    <w:rsid w:val="00193F57"/>
    <w:rsid w:val="001944EC"/>
    <w:rsid w:val="0019453A"/>
    <w:rsid w:val="00195968"/>
    <w:rsid w:val="00197187"/>
    <w:rsid w:val="001979A2"/>
    <w:rsid w:val="001A010E"/>
    <w:rsid w:val="001A0B2F"/>
    <w:rsid w:val="001A201A"/>
    <w:rsid w:val="001A2F70"/>
    <w:rsid w:val="001A40E5"/>
    <w:rsid w:val="001A4786"/>
    <w:rsid w:val="001A4B9B"/>
    <w:rsid w:val="001A4D0F"/>
    <w:rsid w:val="001A6232"/>
    <w:rsid w:val="001A7050"/>
    <w:rsid w:val="001A7593"/>
    <w:rsid w:val="001A765B"/>
    <w:rsid w:val="001A788D"/>
    <w:rsid w:val="001A7C00"/>
    <w:rsid w:val="001B0219"/>
    <w:rsid w:val="001B2339"/>
    <w:rsid w:val="001B2CEA"/>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828"/>
    <w:rsid w:val="00214B0B"/>
    <w:rsid w:val="00214CDE"/>
    <w:rsid w:val="00214E29"/>
    <w:rsid w:val="002154FB"/>
    <w:rsid w:val="00215670"/>
    <w:rsid w:val="00216751"/>
    <w:rsid w:val="00216BEE"/>
    <w:rsid w:val="00216FCB"/>
    <w:rsid w:val="002170F6"/>
    <w:rsid w:val="00217DC2"/>
    <w:rsid w:val="002217A1"/>
    <w:rsid w:val="00221EB0"/>
    <w:rsid w:val="00223F9C"/>
    <w:rsid w:val="00224BBF"/>
    <w:rsid w:val="00226961"/>
    <w:rsid w:val="00227340"/>
    <w:rsid w:val="00227474"/>
    <w:rsid w:val="0023125B"/>
    <w:rsid w:val="002316DA"/>
    <w:rsid w:val="0023292A"/>
    <w:rsid w:val="00232B58"/>
    <w:rsid w:val="00232DB7"/>
    <w:rsid w:val="00233080"/>
    <w:rsid w:val="00233610"/>
    <w:rsid w:val="00234068"/>
    <w:rsid w:val="002342D3"/>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488"/>
    <w:rsid w:val="002722B2"/>
    <w:rsid w:val="002732FE"/>
    <w:rsid w:val="002738E2"/>
    <w:rsid w:val="00273BAE"/>
    <w:rsid w:val="0027433C"/>
    <w:rsid w:val="002752AE"/>
    <w:rsid w:val="0027579D"/>
    <w:rsid w:val="0027587A"/>
    <w:rsid w:val="00276162"/>
    <w:rsid w:val="00276F9B"/>
    <w:rsid w:val="00277215"/>
    <w:rsid w:val="002772A6"/>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3CD"/>
    <w:rsid w:val="00291F13"/>
    <w:rsid w:val="00291F97"/>
    <w:rsid w:val="002927B1"/>
    <w:rsid w:val="002928FC"/>
    <w:rsid w:val="00293A0E"/>
    <w:rsid w:val="00293E5C"/>
    <w:rsid w:val="00294A9E"/>
    <w:rsid w:val="00294E07"/>
    <w:rsid w:val="002953EA"/>
    <w:rsid w:val="002953F7"/>
    <w:rsid w:val="00296797"/>
    <w:rsid w:val="00296961"/>
    <w:rsid w:val="002971DD"/>
    <w:rsid w:val="00297B43"/>
    <w:rsid w:val="00297EFA"/>
    <w:rsid w:val="002A0A15"/>
    <w:rsid w:val="002A0C7A"/>
    <w:rsid w:val="002A29B5"/>
    <w:rsid w:val="002A3A6F"/>
    <w:rsid w:val="002A3D77"/>
    <w:rsid w:val="002A3DA2"/>
    <w:rsid w:val="002A4CD9"/>
    <w:rsid w:val="002A545B"/>
    <w:rsid w:val="002A61C0"/>
    <w:rsid w:val="002A6B04"/>
    <w:rsid w:val="002A6DDC"/>
    <w:rsid w:val="002A6E6B"/>
    <w:rsid w:val="002A6E82"/>
    <w:rsid w:val="002A709D"/>
    <w:rsid w:val="002A7410"/>
    <w:rsid w:val="002B05B0"/>
    <w:rsid w:val="002B109E"/>
    <w:rsid w:val="002B1856"/>
    <w:rsid w:val="002B364A"/>
    <w:rsid w:val="002B3864"/>
    <w:rsid w:val="002B3D62"/>
    <w:rsid w:val="002B5115"/>
    <w:rsid w:val="002B5568"/>
    <w:rsid w:val="002B57F2"/>
    <w:rsid w:val="002B6585"/>
    <w:rsid w:val="002B6822"/>
    <w:rsid w:val="002B7AB5"/>
    <w:rsid w:val="002B7F29"/>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D12"/>
    <w:rsid w:val="002F376B"/>
    <w:rsid w:val="002F3BDB"/>
    <w:rsid w:val="002F3DD5"/>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C8E"/>
    <w:rsid w:val="0031411C"/>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709"/>
    <w:rsid w:val="00326D5A"/>
    <w:rsid w:val="003276F9"/>
    <w:rsid w:val="003315B6"/>
    <w:rsid w:val="00331C5C"/>
    <w:rsid w:val="00332756"/>
    <w:rsid w:val="00332995"/>
    <w:rsid w:val="00332BE0"/>
    <w:rsid w:val="00332F5B"/>
    <w:rsid w:val="00333373"/>
    <w:rsid w:val="00334737"/>
    <w:rsid w:val="00334B1F"/>
    <w:rsid w:val="00335254"/>
    <w:rsid w:val="00335553"/>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96B5C"/>
    <w:rsid w:val="003A03BE"/>
    <w:rsid w:val="003A0463"/>
    <w:rsid w:val="003A0B28"/>
    <w:rsid w:val="003A1274"/>
    <w:rsid w:val="003A2463"/>
    <w:rsid w:val="003A2BAA"/>
    <w:rsid w:val="003A4997"/>
    <w:rsid w:val="003A49FD"/>
    <w:rsid w:val="003A4D3C"/>
    <w:rsid w:val="003A5C55"/>
    <w:rsid w:val="003A6D0C"/>
    <w:rsid w:val="003A6E72"/>
    <w:rsid w:val="003A7017"/>
    <w:rsid w:val="003A736C"/>
    <w:rsid w:val="003A745B"/>
    <w:rsid w:val="003A7BCA"/>
    <w:rsid w:val="003A7BEB"/>
    <w:rsid w:val="003A7C9A"/>
    <w:rsid w:val="003B15AD"/>
    <w:rsid w:val="003B22BA"/>
    <w:rsid w:val="003B2782"/>
    <w:rsid w:val="003B2B7A"/>
    <w:rsid w:val="003B34D5"/>
    <w:rsid w:val="003B4539"/>
    <w:rsid w:val="003B4658"/>
    <w:rsid w:val="003B6119"/>
    <w:rsid w:val="003B7217"/>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72F3"/>
    <w:rsid w:val="003F7485"/>
    <w:rsid w:val="004000DA"/>
    <w:rsid w:val="004000E6"/>
    <w:rsid w:val="0040138A"/>
    <w:rsid w:val="004014A0"/>
    <w:rsid w:val="00401843"/>
    <w:rsid w:val="0040306A"/>
    <w:rsid w:val="004047FE"/>
    <w:rsid w:val="00404AA1"/>
    <w:rsid w:val="004066E9"/>
    <w:rsid w:val="00407003"/>
    <w:rsid w:val="004071F7"/>
    <w:rsid w:val="00407822"/>
    <w:rsid w:val="00410C05"/>
    <w:rsid w:val="0041127B"/>
    <w:rsid w:val="00411B70"/>
    <w:rsid w:val="00411FE0"/>
    <w:rsid w:val="0041207E"/>
    <w:rsid w:val="00414762"/>
    <w:rsid w:val="00414A9B"/>
    <w:rsid w:val="00414C69"/>
    <w:rsid w:val="004158B0"/>
    <w:rsid w:val="00415AE3"/>
    <w:rsid w:val="00415CF8"/>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B01"/>
    <w:rsid w:val="0044051C"/>
    <w:rsid w:val="004412E3"/>
    <w:rsid w:val="00442693"/>
    <w:rsid w:val="00442AB3"/>
    <w:rsid w:val="00442D10"/>
    <w:rsid w:val="00442DBB"/>
    <w:rsid w:val="00442EE4"/>
    <w:rsid w:val="00443A70"/>
    <w:rsid w:val="004448E4"/>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5F5F"/>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47C"/>
    <w:rsid w:val="004D0D84"/>
    <w:rsid w:val="004D1054"/>
    <w:rsid w:val="004D16AD"/>
    <w:rsid w:val="004D1841"/>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61BF"/>
    <w:rsid w:val="005269FC"/>
    <w:rsid w:val="00526A7B"/>
    <w:rsid w:val="00526C1F"/>
    <w:rsid w:val="00527056"/>
    <w:rsid w:val="00527515"/>
    <w:rsid w:val="00530D11"/>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4638"/>
    <w:rsid w:val="0056475A"/>
    <w:rsid w:val="00564907"/>
    <w:rsid w:val="00564D56"/>
    <w:rsid w:val="00565F3F"/>
    <w:rsid w:val="00566949"/>
    <w:rsid w:val="00566CAF"/>
    <w:rsid w:val="005672CD"/>
    <w:rsid w:val="00571DD7"/>
    <w:rsid w:val="00573137"/>
    <w:rsid w:val="00575AC5"/>
    <w:rsid w:val="00576186"/>
    <w:rsid w:val="00576B8A"/>
    <w:rsid w:val="00576E8A"/>
    <w:rsid w:val="00577379"/>
    <w:rsid w:val="005774A7"/>
    <w:rsid w:val="005778CB"/>
    <w:rsid w:val="005801C3"/>
    <w:rsid w:val="005828E1"/>
    <w:rsid w:val="00583BB3"/>
    <w:rsid w:val="00584EB9"/>
    <w:rsid w:val="005850C2"/>
    <w:rsid w:val="0058539E"/>
    <w:rsid w:val="0058577E"/>
    <w:rsid w:val="00585F98"/>
    <w:rsid w:val="00586032"/>
    <w:rsid w:val="00590669"/>
    <w:rsid w:val="00591D43"/>
    <w:rsid w:val="00592414"/>
    <w:rsid w:val="005929D3"/>
    <w:rsid w:val="005935BA"/>
    <w:rsid w:val="005936CA"/>
    <w:rsid w:val="0059458B"/>
    <w:rsid w:val="00594977"/>
    <w:rsid w:val="00594FE2"/>
    <w:rsid w:val="00596EDD"/>
    <w:rsid w:val="005A01CB"/>
    <w:rsid w:val="005A054C"/>
    <w:rsid w:val="005A0CE4"/>
    <w:rsid w:val="005A181E"/>
    <w:rsid w:val="005A1D36"/>
    <w:rsid w:val="005A1EA6"/>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0F66"/>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521A"/>
    <w:rsid w:val="005D55BC"/>
    <w:rsid w:val="005D5911"/>
    <w:rsid w:val="005D630D"/>
    <w:rsid w:val="005D6CC8"/>
    <w:rsid w:val="005D78D8"/>
    <w:rsid w:val="005D7AC3"/>
    <w:rsid w:val="005E0134"/>
    <w:rsid w:val="005E1859"/>
    <w:rsid w:val="005E1D72"/>
    <w:rsid w:val="005E28E6"/>
    <w:rsid w:val="005E2CDC"/>
    <w:rsid w:val="005E3782"/>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24C4"/>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114A"/>
    <w:rsid w:val="00612033"/>
    <w:rsid w:val="00612318"/>
    <w:rsid w:val="00612929"/>
    <w:rsid w:val="00613914"/>
    <w:rsid w:val="00613D39"/>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3072"/>
    <w:rsid w:val="00633182"/>
    <w:rsid w:val="00633584"/>
    <w:rsid w:val="00633F2E"/>
    <w:rsid w:val="006341F7"/>
    <w:rsid w:val="00634360"/>
    <w:rsid w:val="00636246"/>
    <w:rsid w:val="00637241"/>
    <w:rsid w:val="006375AB"/>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2A8C"/>
    <w:rsid w:val="00664A40"/>
    <w:rsid w:val="00664D4F"/>
    <w:rsid w:val="00664DC7"/>
    <w:rsid w:val="00666344"/>
    <w:rsid w:val="00666AA0"/>
    <w:rsid w:val="00666DAE"/>
    <w:rsid w:val="00667868"/>
    <w:rsid w:val="00667C90"/>
    <w:rsid w:val="00670111"/>
    <w:rsid w:val="0067020D"/>
    <w:rsid w:val="006703AB"/>
    <w:rsid w:val="0067057E"/>
    <w:rsid w:val="0067099C"/>
    <w:rsid w:val="006714F3"/>
    <w:rsid w:val="00671B21"/>
    <w:rsid w:val="00671CEC"/>
    <w:rsid w:val="00671FCA"/>
    <w:rsid w:val="006721A4"/>
    <w:rsid w:val="0067273B"/>
    <w:rsid w:val="006728AE"/>
    <w:rsid w:val="00672EE4"/>
    <w:rsid w:val="00672EE5"/>
    <w:rsid w:val="006731B7"/>
    <w:rsid w:val="00673A35"/>
    <w:rsid w:val="00674280"/>
    <w:rsid w:val="006748EF"/>
    <w:rsid w:val="00674AF7"/>
    <w:rsid w:val="00674E2C"/>
    <w:rsid w:val="00676B43"/>
    <w:rsid w:val="00677042"/>
    <w:rsid w:val="00680024"/>
    <w:rsid w:val="00680B00"/>
    <w:rsid w:val="00682276"/>
    <w:rsid w:val="0068312E"/>
    <w:rsid w:val="00683ABC"/>
    <w:rsid w:val="00684F40"/>
    <w:rsid w:val="006853F7"/>
    <w:rsid w:val="006859F6"/>
    <w:rsid w:val="00685F42"/>
    <w:rsid w:val="0068684A"/>
    <w:rsid w:val="00686EB4"/>
    <w:rsid w:val="00687C6E"/>
    <w:rsid w:val="00687C98"/>
    <w:rsid w:val="006907F2"/>
    <w:rsid w:val="00690B6F"/>
    <w:rsid w:val="006916CE"/>
    <w:rsid w:val="00691B3A"/>
    <w:rsid w:val="0069245E"/>
    <w:rsid w:val="00692DA9"/>
    <w:rsid w:val="00693E1B"/>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6B8E"/>
    <w:rsid w:val="006A7320"/>
    <w:rsid w:val="006A7E25"/>
    <w:rsid w:val="006B0B0B"/>
    <w:rsid w:val="006B136B"/>
    <w:rsid w:val="006B18F4"/>
    <w:rsid w:val="006B23FF"/>
    <w:rsid w:val="006B2FDE"/>
    <w:rsid w:val="006B50D1"/>
    <w:rsid w:val="006B5322"/>
    <w:rsid w:val="006B5494"/>
    <w:rsid w:val="006B6161"/>
    <w:rsid w:val="006B6AB9"/>
    <w:rsid w:val="006B6C60"/>
    <w:rsid w:val="006B76F3"/>
    <w:rsid w:val="006B7C56"/>
    <w:rsid w:val="006C149B"/>
    <w:rsid w:val="006C17C4"/>
    <w:rsid w:val="006C19F4"/>
    <w:rsid w:val="006C20FE"/>
    <w:rsid w:val="006C3124"/>
    <w:rsid w:val="006C3A4B"/>
    <w:rsid w:val="006C4CA3"/>
    <w:rsid w:val="006C5475"/>
    <w:rsid w:val="006C643F"/>
    <w:rsid w:val="006D0B67"/>
    <w:rsid w:val="006D0CA1"/>
    <w:rsid w:val="006D22E9"/>
    <w:rsid w:val="006D308F"/>
    <w:rsid w:val="006D38A0"/>
    <w:rsid w:val="006D4A81"/>
    <w:rsid w:val="006D5A80"/>
    <w:rsid w:val="006D5DE9"/>
    <w:rsid w:val="006D5F8F"/>
    <w:rsid w:val="006D61F8"/>
    <w:rsid w:val="006D746C"/>
    <w:rsid w:val="006D7E89"/>
    <w:rsid w:val="006E0F52"/>
    <w:rsid w:val="006E1897"/>
    <w:rsid w:val="006E1B6D"/>
    <w:rsid w:val="006E1DE1"/>
    <w:rsid w:val="006E337D"/>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78F"/>
    <w:rsid w:val="00714C20"/>
    <w:rsid w:val="00715084"/>
    <w:rsid w:val="00716E1C"/>
    <w:rsid w:val="00720139"/>
    <w:rsid w:val="0072065A"/>
    <w:rsid w:val="00721864"/>
    <w:rsid w:val="00721969"/>
    <w:rsid w:val="00721DCB"/>
    <w:rsid w:val="00721E19"/>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40751"/>
    <w:rsid w:val="007408AE"/>
    <w:rsid w:val="00740B0A"/>
    <w:rsid w:val="0074140C"/>
    <w:rsid w:val="00741471"/>
    <w:rsid w:val="00741880"/>
    <w:rsid w:val="00741F37"/>
    <w:rsid w:val="00742CA0"/>
    <w:rsid w:val="0074393A"/>
    <w:rsid w:val="00743B21"/>
    <w:rsid w:val="00743ED3"/>
    <w:rsid w:val="00743FCD"/>
    <w:rsid w:val="0074411C"/>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66F6"/>
    <w:rsid w:val="007C70E7"/>
    <w:rsid w:val="007D10C5"/>
    <w:rsid w:val="007D1A01"/>
    <w:rsid w:val="007D1BF3"/>
    <w:rsid w:val="007D3752"/>
    <w:rsid w:val="007D3822"/>
    <w:rsid w:val="007D469A"/>
    <w:rsid w:val="007D4867"/>
    <w:rsid w:val="007D4B25"/>
    <w:rsid w:val="007D56C4"/>
    <w:rsid w:val="007D58EE"/>
    <w:rsid w:val="007D5A48"/>
    <w:rsid w:val="007D6175"/>
    <w:rsid w:val="007D62DA"/>
    <w:rsid w:val="007D6B68"/>
    <w:rsid w:val="007D74E5"/>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6E9"/>
    <w:rsid w:val="007F5878"/>
    <w:rsid w:val="007F5B8F"/>
    <w:rsid w:val="007F63DA"/>
    <w:rsid w:val="007F6455"/>
    <w:rsid w:val="007F6DE9"/>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5043C"/>
    <w:rsid w:val="008508A6"/>
    <w:rsid w:val="00851412"/>
    <w:rsid w:val="0085350A"/>
    <w:rsid w:val="00853654"/>
    <w:rsid w:val="00853D79"/>
    <w:rsid w:val="00854969"/>
    <w:rsid w:val="00854AE7"/>
    <w:rsid w:val="0085577F"/>
    <w:rsid w:val="00856049"/>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5078"/>
    <w:rsid w:val="00875844"/>
    <w:rsid w:val="00875F72"/>
    <w:rsid w:val="00876B8A"/>
    <w:rsid w:val="00877288"/>
    <w:rsid w:val="008805D5"/>
    <w:rsid w:val="00881319"/>
    <w:rsid w:val="0088179F"/>
    <w:rsid w:val="00884786"/>
    <w:rsid w:val="008850A7"/>
    <w:rsid w:val="008859BA"/>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5A1"/>
    <w:rsid w:val="008A4E02"/>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2EA4"/>
    <w:rsid w:val="008C3F65"/>
    <w:rsid w:val="008C4388"/>
    <w:rsid w:val="008C4D2E"/>
    <w:rsid w:val="008C4D2F"/>
    <w:rsid w:val="008C500D"/>
    <w:rsid w:val="008C5D94"/>
    <w:rsid w:val="008C6839"/>
    <w:rsid w:val="008C7080"/>
    <w:rsid w:val="008C7451"/>
    <w:rsid w:val="008C74B6"/>
    <w:rsid w:val="008D05CC"/>
    <w:rsid w:val="008D086E"/>
    <w:rsid w:val="008D09CD"/>
    <w:rsid w:val="008D2867"/>
    <w:rsid w:val="008D2C47"/>
    <w:rsid w:val="008D2D93"/>
    <w:rsid w:val="008D4D21"/>
    <w:rsid w:val="008D4F05"/>
    <w:rsid w:val="008D5B34"/>
    <w:rsid w:val="008D5C6D"/>
    <w:rsid w:val="008D696C"/>
    <w:rsid w:val="008D6B1F"/>
    <w:rsid w:val="008D6DD1"/>
    <w:rsid w:val="008D7763"/>
    <w:rsid w:val="008E01B2"/>
    <w:rsid w:val="008E0D92"/>
    <w:rsid w:val="008E2A23"/>
    <w:rsid w:val="008E2B02"/>
    <w:rsid w:val="008E3553"/>
    <w:rsid w:val="008E4651"/>
    <w:rsid w:val="008E4C15"/>
    <w:rsid w:val="008E5035"/>
    <w:rsid w:val="008E59A9"/>
    <w:rsid w:val="008E6125"/>
    <w:rsid w:val="008E6A69"/>
    <w:rsid w:val="008F0FAB"/>
    <w:rsid w:val="008F1167"/>
    <w:rsid w:val="008F1C30"/>
    <w:rsid w:val="008F21D7"/>
    <w:rsid w:val="008F467B"/>
    <w:rsid w:val="008F4BDF"/>
    <w:rsid w:val="008F51DE"/>
    <w:rsid w:val="008F51FA"/>
    <w:rsid w:val="008F5649"/>
    <w:rsid w:val="008F5B99"/>
    <w:rsid w:val="008F5BCA"/>
    <w:rsid w:val="008F6DBD"/>
    <w:rsid w:val="008F701A"/>
    <w:rsid w:val="008F7464"/>
    <w:rsid w:val="008F7D9C"/>
    <w:rsid w:val="009001F2"/>
    <w:rsid w:val="009024EE"/>
    <w:rsid w:val="00902E1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463F"/>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334C"/>
    <w:rsid w:val="0093444B"/>
    <w:rsid w:val="009346A8"/>
    <w:rsid w:val="00934945"/>
    <w:rsid w:val="0093592F"/>
    <w:rsid w:val="00936090"/>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4BB"/>
    <w:rsid w:val="009475E7"/>
    <w:rsid w:val="00947753"/>
    <w:rsid w:val="00947AA0"/>
    <w:rsid w:val="009509A8"/>
    <w:rsid w:val="00950DA5"/>
    <w:rsid w:val="00951062"/>
    <w:rsid w:val="009514DF"/>
    <w:rsid w:val="0095168C"/>
    <w:rsid w:val="009516E9"/>
    <w:rsid w:val="009531A8"/>
    <w:rsid w:val="0095382F"/>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84B"/>
    <w:rsid w:val="00972C8C"/>
    <w:rsid w:val="009736A9"/>
    <w:rsid w:val="00973A1C"/>
    <w:rsid w:val="00973DBA"/>
    <w:rsid w:val="009749F7"/>
    <w:rsid w:val="0097569E"/>
    <w:rsid w:val="00976423"/>
    <w:rsid w:val="0097648C"/>
    <w:rsid w:val="00976A45"/>
    <w:rsid w:val="00976FD5"/>
    <w:rsid w:val="0097746E"/>
    <w:rsid w:val="0098081F"/>
    <w:rsid w:val="00980A97"/>
    <w:rsid w:val="0098378D"/>
    <w:rsid w:val="00983BE8"/>
    <w:rsid w:val="009849A4"/>
    <w:rsid w:val="00985D03"/>
    <w:rsid w:val="00985D28"/>
    <w:rsid w:val="0098614F"/>
    <w:rsid w:val="0098675B"/>
    <w:rsid w:val="00986E9F"/>
    <w:rsid w:val="009875DF"/>
    <w:rsid w:val="00987612"/>
    <w:rsid w:val="009876B3"/>
    <w:rsid w:val="00991054"/>
    <w:rsid w:val="00991D37"/>
    <w:rsid w:val="00992189"/>
    <w:rsid w:val="00992433"/>
    <w:rsid w:val="009929D6"/>
    <w:rsid w:val="00993217"/>
    <w:rsid w:val="00993434"/>
    <w:rsid w:val="009934B2"/>
    <w:rsid w:val="00993858"/>
    <w:rsid w:val="009942E7"/>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92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5B55"/>
    <w:rsid w:val="009B68C0"/>
    <w:rsid w:val="009B6B56"/>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436B"/>
    <w:rsid w:val="009E57EC"/>
    <w:rsid w:val="009E59E1"/>
    <w:rsid w:val="009E61F6"/>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1F60"/>
    <w:rsid w:val="00A02D8E"/>
    <w:rsid w:val="00A03299"/>
    <w:rsid w:val="00A03AC9"/>
    <w:rsid w:val="00A0424C"/>
    <w:rsid w:val="00A04981"/>
    <w:rsid w:val="00A05CDF"/>
    <w:rsid w:val="00A06BE9"/>
    <w:rsid w:val="00A06D59"/>
    <w:rsid w:val="00A06E3B"/>
    <w:rsid w:val="00A07432"/>
    <w:rsid w:val="00A07467"/>
    <w:rsid w:val="00A07727"/>
    <w:rsid w:val="00A07E36"/>
    <w:rsid w:val="00A1025A"/>
    <w:rsid w:val="00A11CCF"/>
    <w:rsid w:val="00A123BD"/>
    <w:rsid w:val="00A12D3A"/>
    <w:rsid w:val="00A12E5A"/>
    <w:rsid w:val="00A138F6"/>
    <w:rsid w:val="00A14BD9"/>
    <w:rsid w:val="00A1535C"/>
    <w:rsid w:val="00A15AFF"/>
    <w:rsid w:val="00A16F90"/>
    <w:rsid w:val="00A17450"/>
    <w:rsid w:val="00A17FE6"/>
    <w:rsid w:val="00A20118"/>
    <w:rsid w:val="00A20BA5"/>
    <w:rsid w:val="00A21263"/>
    <w:rsid w:val="00A21588"/>
    <w:rsid w:val="00A220DF"/>
    <w:rsid w:val="00A2231A"/>
    <w:rsid w:val="00A22617"/>
    <w:rsid w:val="00A23958"/>
    <w:rsid w:val="00A23D7D"/>
    <w:rsid w:val="00A243FF"/>
    <w:rsid w:val="00A24F8C"/>
    <w:rsid w:val="00A24FD3"/>
    <w:rsid w:val="00A25029"/>
    <w:rsid w:val="00A256EE"/>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57B72"/>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5EC0"/>
    <w:rsid w:val="00AA6DC6"/>
    <w:rsid w:val="00AA7702"/>
    <w:rsid w:val="00AA7FCF"/>
    <w:rsid w:val="00AB0272"/>
    <w:rsid w:val="00AB0CFD"/>
    <w:rsid w:val="00AB0DAE"/>
    <w:rsid w:val="00AB1B1F"/>
    <w:rsid w:val="00AB320B"/>
    <w:rsid w:val="00AB338C"/>
    <w:rsid w:val="00AB36A2"/>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F0"/>
    <w:rsid w:val="00AD3E79"/>
    <w:rsid w:val="00AD41B0"/>
    <w:rsid w:val="00AD54F4"/>
    <w:rsid w:val="00AD5DDA"/>
    <w:rsid w:val="00AD677C"/>
    <w:rsid w:val="00AD6D77"/>
    <w:rsid w:val="00AD7465"/>
    <w:rsid w:val="00AD7517"/>
    <w:rsid w:val="00AE03EA"/>
    <w:rsid w:val="00AE1EB4"/>
    <w:rsid w:val="00AE22C4"/>
    <w:rsid w:val="00AE2EB8"/>
    <w:rsid w:val="00AE3346"/>
    <w:rsid w:val="00AE383F"/>
    <w:rsid w:val="00AE45BB"/>
    <w:rsid w:val="00AE4996"/>
    <w:rsid w:val="00AE49A2"/>
    <w:rsid w:val="00AE4B71"/>
    <w:rsid w:val="00AE4D3C"/>
    <w:rsid w:val="00AE4F13"/>
    <w:rsid w:val="00AE4FB6"/>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B00417"/>
    <w:rsid w:val="00B0156D"/>
    <w:rsid w:val="00B0159F"/>
    <w:rsid w:val="00B02743"/>
    <w:rsid w:val="00B0436A"/>
    <w:rsid w:val="00B04B39"/>
    <w:rsid w:val="00B05237"/>
    <w:rsid w:val="00B05759"/>
    <w:rsid w:val="00B05FEB"/>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9BD"/>
    <w:rsid w:val="00B33EAB"/>
    <w:rsid w:val="00B34DE1"/>
    <w:rsid w:val="00B351F3"/>
    <w:rsid w:val="00B35A0F"/>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C87"/>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D2F"/>
    <w:rsid w:val="00B65FCD"/>
    <w:rsid w:val="00B664A8"/>
    <w:rsid w:val="00B66A2C"/>
    <w:rsid w:val="00B66F3A"/>
    <w:rsid w:val="00B67003"/>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5D33"/>
    <w:rsid w:val="00BB6200"/>
    <w:rsid w:val="00BB67D3"/>
    <w:rsid w:val="00BB68EA"/>
    <w:rsid w:val="00BB7268"/>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9EF"/>
    <w:rsid w:val="00C07EBC"/>
    <w:rsid w:val="00C101EA"/>
    <w:rsid w:val="00C10876"/>
    <w:rsid w:val="00C10D0D"/>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322D"/>
    <w:rsid w:val="00C34879"/>
    <w:rsid w:val="00C34C77"/>
    <w:rsid w:val="00C34D1A"/>
    <w:rsid w:val="00C34F88"/>
    <w:rsid w:val="00C35984"/>
    <w:rsid w:val="00C3610E"/>
    <w:rsid w:val="00C36C05"/>
    <w:rsid w:val="00C36EF4"/>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6009"/>
    <w:rsid w:val="00C66F17"/>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AC8"/>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9F"/>
    <w:rsid w:val="00CA79B5"/>
    <w:rsid w:val="00CB0A79"/>
    <w:rsid w:val="00CB1317"/>
    <w:rsid w:val="00CB19DE"/>
    <w:rsid w:val="00CB1CFA"/>
    <w:rsid w:val="00CB1DAF"/>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D7692"/>
    <w:rsid w:val="00CE0A4B"/>
    <w:rsid w:val="00CE1222"/>
    <w:rsid w:val="00CE128B"/>
    <w:rsid w:val="00CE1596"/>
    <w:rsid w:val="00CE17CF"/>
    <w:rsid w:val="00CE5131"/>
    <w:rsid w:val="00CE6223"/>
    <w:rsid w:val="00CE62ED"/>
    <w:rsid w:val="00CE66FB"/>
    <w:rsid w:val="00CE6834"/>
    <w:rsid w:val="00CE6866"/>
    <w:rsid w:val="00CE6D31"/>
    <w:rsid w:val="00CE7862"/>
    <w:rsid w:val="00CF02CC"/>
    <w:rsid w:val="00CF191A"/>
    <w:rsid w:val="00CF1B0D"/>
    <w:rsid w:val="00CF2DC2"/>
    <w:rsid w:val="00CF425A"/>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C50"/>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04C"/>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2064"/>
    <w:rsid w:val="00DC279D"/>
    <w:rsid w:val="00DC31EB"/>
    <w:rsid w:val="00DC362E"/>
    <w:rsid w:val="00DC3718"/>
    <w:rsid w:val="00DC3846"/>
    <w:rsid w:val="00DC4367"/>
    <w:rsid w:val="00DC4592"/>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312C"/>
    <w:rsid w:val="00E1447C"/>
    <w:rsid w:val="00E152A9"/>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4FC7"/>
    <w:rsid w:val="00E25798"/>
    <w:rsid w:val="00E25A75"/>
    <w:rsid w:val="00E275EC"/>
    <w:rsid w:val="00E278F1"/>
    <w:rsid w:val="00E27962"/>
    <w:rsid w:val="00E27EE2"/>
    <w:rsid w:val="00E27F4C"/>
    <w:rsid w:val="00E30D7F"/>
    <w:rsid w:val="00E3145B"/>
    <w:rsid w:val="00E32F5A"/>
    <w:rsid w:val="00E3304A"/>
    <w:rsid w:val="00E3321B"/>
    <w:rsid w:val="00E33248"/>
    <w:rsid w:val="00E336D6"/>
    <w:rsid w:val="00E3424C"/>
    <w:rsid w:val="00E349AB"/>
    <w:rsid w:val="00E34EDD"/>
    <w:rsid w:val="00E3501B"/>
    <w:rsid w:val="00E35208"/>
    <w:rsid w:val="00E35ADA"/>
    <w:rsid w:val="00E35B11"/>
    <w:rsid w:val="00E3702D"/>
    <w:rsid w:val="00E405A2"/>
    <w:rsid w:val="00E411D2"/>
    <w:rsid w:val="00E41246"/>
    <w:rsid w:val="00E42C05"/>
    <w:rsid w:val="00E42F96"/>
    <w:rsid w:val="00E430D0"/>
    <w:rsid w:val="00E43481"/>
    <w:rsid w:val="00E434A4"/>
    <w:rsid w:val="00E435F5"/>
    <w:rsid w:val="00E4393C"/>
    <w:rsid w:val="00E43E74"/>
    <w:rsid w:val="00E45C38"/>
    <w:rsid w:val="00E46053"/>
    <w:rsid w:val="00E4720D"/>
    <w:rsid w:val="00E47998"/>
    <w:rsid w:val="00E523A2"/>
    <w:rsid w:val="00E523BA"/>
    <w:rsid w:val="00E52BBC"/>
    <w:rsid w:val="00E5439A"/>
    <w:rsid w:val="00E5454B"/>
    <w:rsid w:val="00E548EC"/>
    <w:rsid w:val="00E54BE0"/>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803AD"/>
    <w:rsid w:val="00E805BC"/>
    <w:rsid w:val="00E81B2B"/>
    <w:rsid w:val="00E81D87"/>
    <w:rsid w:val="00E82FE8"/>
    <w:rsid w:val="00E831F8"/>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5CB"/>
    <w:rsid w:val="00EB676C"/>
    <w:rsid w:val="00EB69E2"/>
    <w:rsid w:val="00EB6AD7"/>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6247"/>
    <w:rsid w:val="00EE6CEA"/>
    <w:rsid w:val="00EF0032"/>
    <w:rsid w:val="00EF03B1"/>
    <w:rsid w:val="00EF0D2A"/>
    <w:rsid w:val="00EF145D"/>
    <w:rsid w:val="00EF2DBE"/>
    <w:rsid w:val="00EF2FD2"/>
    <w:rsid w:val="00EF3652"/>
    <w:rsid w:val="00EF37B0"/>
    <w:rsid w:val="00EF3878"/>
    <w:rsid w:val="00EF39E6"/>
    <w:rsid w:val="00EF3B4C"/>
    <w:rsid w:val="00EF47DE"/>
    <w:rsid w:val="00EF4FA5"/>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C80"/>
    <w:rsid w:val="00F13EE5"/>
    <w:rsid w:val="00F13F17"/>
    <w:rsid w:val="00F14525"/>
    <w:rsid w:val="00F1479F"/>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584"/>
    <w:rsid w:val="00F26F81"/>
    <w:rsid w:val="00F274C9"/>
    <w:rsid w:val="00F27962"/>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AC3"/>
    <w:rsid w:val="00F462F8"/>
    <w:rsid w:val="00F4736E"/>
    <w:rsid w:val="00F4766F"/>
    <w:rsid w:val="00F47AE6"/>
    <w:rsid w:val="00F50694"/>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875"/>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30D3"/>
    <w:rsid w:val="00FD3427"/>
    <w:rsid w:val="00FD3AB5"/>
    <w:rsid w:val="00FD7B74"/>
    <w:rsid w:val="00FE06E2"/>
    <w:rsid w:val="00FE0EDA"/>
    <w:rsid w:val="00FE152F"/>
    <w:rsid w:val="00FE17EF"/>
    <w:rsid w:val="00FE184E"/>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F59"/>
    <w:rsid w:val="00FF206E"/>
    <w:rsid w:val="00FF20FB"/>
    <w:rsid w:val="00FF3804"/>
    <w:rsid w:val="00FF3E14"/>
    <w:rsid w:val="00FF4248"/>
    <w:rsid w:val="00FF4BE1"/>
    <w:rsid w:val="00FF5AC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92350D-3156-46D9-B192-9856102E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rsid w:val="00F63205"/>
    <w:rPr>
      <w:sz w:val="20"/>
      <w:szCs w:val="20"/>
    </w:rPr>
  </w:style>
  <w:style w:type="character" w:styleId="FootnoteReference">
    <w:name w:val="footnote reference"/>
    <w:semiHidden/>
    <w:rsid w:val="00AB75C8"/>
    <w:rPr>
      <w:rFonts w:cs="Simplified Arabic"/>
      <w:b/>
      <w:bCs/>
      <w:color w:val="000000"/>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link w:val="EndnoteText"/>
    <w:uiPriority w:val="99"/>
    <w:semiHidden/>
    <w:rsid w:val="00DE4F17"/>
    <w:rPr>
      <w:lang w:eastAsia="ar-SA"/>
    </w:rPr>
  </w:style>
  <w:style w:type="character" w:styleId="EndnoteReference">
    <w:name w:val="endnote reference"/>
    <w:uiPriority w:val="99"/>
    <w:semiHidden/>
    <w:unhideWhenUsed/>
    <w:rsid w:val="00DE4F17"/>
    <w:rPr>
      <w:vertAlign w:val="superscript"/>
    </w:rPr>
  </w:style>
  <w:style w:type="character" w:styleId="CommentReference">
    <w:name w:val="annotation reference"/>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link w:val="CommentSubject"/>
    <w:uiPriority w:val="99"/>
    <w:semiHidden/>
    <w:rsid w:val="007545B3"/>
    <w:rPr>
      <w:b/>
      <w:bCs/>
      <w:lang w:eastAsia="ar-SA"/>
    </w:rPr>
  </w:style>
  <w:style w:type="character" w:customStyle="1" w:styleId="Heading1Char">
    <w:name w:val="Heading 1 Char"/>
    <w:link w:val="Heading1"/>
    <w:rsid w:val="00C743BA"/>
    <w:rPr>
      <w:rFonts w:cs="Simplified Arabic"/>
      <w:b/>
      <w:bCs/>
      <w:sz w:val="24"/>
      <w:szCs w:val="24"/>
      <w:lang w:eastAsia="ar-SA"/>
    </w:rPr>
  </w:style>
  <w:style w:type="character" w:customStyle="1" w:styleId="Heading2Char">
    <w:name w:val="Heading 2 Char"/>
    <w:link w:val="Heading2"/>
    <w:rsid w:val="00C743BA"/>
    <w:rPr>
      <w:rFonts w:cs="Simplified Arabic"/>
      <w:b/>
      <w:bCs/>
      <w:sz w:val="24"/>
      <w:szCs w:val="24"/>
      <w:lang w:eastAsia="ar-SA"/>
    </w:rPr>
  </w:style>
  <w:style w:type="character" w:customStyle="1" w:styleId="Heading3Char">
    <w:name w:val="Heading 3 Char"/>
    <w:link w:val="Heading3"/>
    <w:rsid w:val="00C743BA"/>
    <w:rPr>
      <w:rFonts w:cs="Simplified Arabic"/>
      <w:b/>
      <w:bCs/>
      <w:sz w:val="24"/>
      <w:szCs w:val="24"/>
      <w:lang w:eastAsia="ar-SA"/>
    </w:rPr>
  </w:style>
  <w:style w:type="character" w:customStyle="1" w:styleId="Heading6Char">
    <w:name w:val="Heading 6 Char"/>
    <w:link w:val="Heading6"/>
    <w:rsid w:val="00C743BA"/>
    <w:rPr>
      <w:rFonts w:cs="Simplified Arabic"/>
      <w:b/>
      <w:bCs/>
      <w:sz w:val="22"/>
      <w:szCs w:val="22"/>
      <w:lang w:eastAsia="ar-SA"/>
    </w:rPr>
  </w:style>
  <w:style w:type="character" w:customStyle="1" w:styleId="Heading7Char">
    <w:name w:val="Heading 7 Char"/>
    <w:link w:val="Heading7"/>
    <w:rsid w:val="00C743BA"/>
    <w:rPr>
      <w:rFonts w:cs="Simplified Arabic"/>
      <w:b/>
      <w:bCs/>
      <w:sz w:val="22"/>
      <w:szCs w:val="22"/>
      <w:lang w:eastAsia="ar-SA"/>
    </w:rPr>
  </w:style>
  <w:style w:type="character" w:customStyle="1" w:styleId="BodyTextChar">
    <w:name w:val="Body Text Char"/>
    <w:link w:val="BodyText"/>
    <w:semiHidden/>
    <w:rsid w:val="00C743BA"/>
    <w:rPr>
      <w:rFonts w:cs="Simplified Arabic"/>
      <w:sz w:val="24"/>
      <w:szCs w:val="24"/>
      <w:lang w:eastAsia="ar-SA"/>
    </w:rPr>
  </w:style>
  <w:style w:type="character" w:customStyle="1" w:styleId="FootnoteTextChar">
    <w:name w:val="Footnote Text Char"/>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link w:val="Subtitle"/>
    <w:rsid w:val="00CC3C27"/>
    <w:rPr>
      <w:rFonts w:cs="Simplified Arabic"/>
      <w:b/>
      <w:bCs/>
      <w:sz w:val="24"/>
      <w:szCs w:val="24"/>
      <w:lang w:eastAsia="ar-SA"/>
    </w:rPr>
  </w:style>
  <w:style w:type="table" w:styleId="TableGrid">
    <w:name w:val="Table Grid"/>
    <w:basedOn w:val="TableNormal"/>
    <w:uiPriority w:val="59"/>
    <w:rsid w:val="00CC3C2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09932145">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bs.gov.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ma.p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wan@pcbs.gov.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35426-C061-4FE3-8081-7C2CC82C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7392</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الثاني</vt:lpstr>
      <vt:lpstr>الفصل الثاني</vt:lpstr>
    </vt:vector>
  </TitlesOfParts>
  <Company>Hewlett-Packard</Company>
  <LinksUpToDate>false</LinksUpToDate>
  <CharactersWithSpaces>8671</CharactersWithSpaces>
  <SharedDoc>false</SharedDoc>
  <HLinks>
    <vt:vector size="18" baseType="variant">
      <vt:variant>
        <vt:i4>2424865</vt:i4>
      </vt:variant>
      <vt:variant>
        <vt:i4>6</vt:i4>
      </vt:variant>
      <vt:variant>
        <vt:i4>0</vt:i4>
      </vt:variant>
      <vt:variant>
        <vt:i4>5</vt:i4>
      </vt:variant>
      <vt:variant>
        <vt:lpwstr>http://www.pcbs.gov.ps/</vt:lpwstr>
      </vt:variant>
      <vt:variant>
        <vt:lpwstr/>
      </vt:variant>
      <vt:variant>
        <vt:i4>1900586</vt:i4>
      </vt:variant>
      <vt:variant>
        <vt:i4>3</vt:i4>
      </vt:variant>
      <vt:variant>
        <vt:i4>0</vt:i4>
      </vt:variant>
      <vt:variant>
        <vt:i4>5</vt:i4>
      </vt:variant>
      <vt:variant>
        <vt:lpwstr>mailto:Info@pma.ps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subject/>
  <dc:creator>mqlalwah</dc:creator>
  <cp:keywords/>
  <cp:lastModifiedBy>Adham Dwikat</cp:lastModifiedBy>
  <cp:revision>2</cp:revision>
  <cp:lastPrinted>2020-12-13T09:25:00Z</cp:lastPrinted>
  <dcterms:created xsi:type="dcterms:W3CDTF">2020-12-20T08:35:00Z</dcterms:created>
  <dcterms:modified xsi:type="dcterms:W3CDTF">2020-12-20T08:35:00Z</dcterms:modified>
</cp:coreProperties>
</file>