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D8" w:rsidRDefault="007016D8" w:rsidP="007016D8">
      <w:pPr>
        <w:pStyle w:val="Heading1"/>
        <w:jc w:val="center"/>
        <w:rPr>
          <w:sz w:val="32"/>
          <w:szCs w:val="32"/>
        </w:rPr>
      </w:pPr>
    </w:p>
    <w:p w:rsidR="007016D8" w:rsidRPr="007016D8" w:rsidRDefault="007016D8" w:rsidP="007016D8">
      <w:pPr>
        <w:pStyle w:val="Heading1"/>
        <w:jc w:val="center"/>
        <w:rPr>
          <w:rFonts w:cs="Simplified Arabic"/>
          <w:sz w:val="32"/>
          <w:szCs w:val="32"/>
        </w:rPr>
      </w:pPr>
      <w:bookmarkStart w:id="0" w:name="_GoBack"/>
      <w:r w:rsidRPr="001E586E">
        <w:rPr>
          <w:sz w:val="32"/>
          <w:szCs w:val="32"/>
        </w:rPr>
        <w:t xml:space="preserve">Palestinian Central Bureau </w:t>
      </w:r>
      <w:r w:rsidRPr="001E586E">
        <w:rPr>
          <w:rFonts w:cs="Simplified Arabic"/>
          <w:sz w:val="32"/>
          <w:szCs w:val="32"/>
        </w:rPr>
        <w:t>of Statistics</w:t>
      </w:r>
      <w:r>
        <w:rPr>
          <w:rFonts w:cs="Simplified Arabic"/>
          <w:sz w:val="32"/>
          <w:szCs w:val="32"/>
        </w:rPr>
        <w:t xml:space="preserve"> (PCBS)</w:t>
      </w:r>
    </w:p>
    <w:p w:rsidR="007016D8" w:rsidRPr="007016D8" w:rsidRDefault="007016D8" w:rsidP="007016D8">
      <w:pPr>
        <w:rPr>
          <w:rtl/>
          <w:lang w:eastAsia="en-US"/>
        </w:rPr>
      </w:pPr>
    </w:p>
    <w:p w:rsidR="00ED16E5" w:rsidRPr="007016D8" w:rsidRDefault="006B279C" w:rsidP="007016D8">
      <w:pPr>
        <w:bidi w:val="0"/>
        <w:jc w:val="center"/>
        <w:outlineLvl w:val="1"/>
        <w:rPr>
          <w:b/>
          <w:bCs/>
          <w:sz w:val="28"/>
          <w:szCs w:val="28"/>
        </w:rPr>
      </w:pPr>
      <w:r w:rsidRPr="007016D8">
        <w:rPr>
          <w:b/>
          <w:bCs/>
          <w:color w:val="000000"/>
          <w:sz w:val="28"/>
          <w:szCs w:val="28"/>
        </w:rPr>
        <w:t>De</w:t>
      </w:r>
      <w:r w:rsidR="00936FAF" w:rsidRPr="007016D8">
        <w:rPr>
          <w:b/>
          <w:bCs/>
          <w:color w:val="000000"/>
          <w:sz w:val="28"/>
          <w:szCs w:val="28"/>
        </w:rPr>
        <w:t>crease</w:t>
      </w:r>
      <w:r w:rsidR="00ED16E5" w:rsidRPr="007016D8">
        <w:rPr>
          <w:b/>
          <w:bCs/>
          <w:color w:val="000000"/>
          <w:sz w:val="28"/>
          <w:szCs w:val="28"/>
        </w:rPr>
        <w:t xml:space="preserve"> in</w:t>
      </w:r>
      <w:r w:rsidR="00ED16E5" w:rsidRPr="007016D8">
        <w:rPr>
          <w:b/>
          <w:bCs/>
          <w:sz w:val="28"/>
          <w:szCs w:val="28"/>
        </w:rPr>
        <w:t xml:space="preserve"> the Wholesale Price</w:t>
      </w:r>
      <w:r w:rsidR="00FF11C1" w:rsidRPr="007016D8">
        <w:rPr>
          <w:rStyle w:val="FootnoteReference"/>
          <w:b/>
          <w:bCs/>
          <w:sz w:val="28"/>
          <w:szCs w:val="28"/>
        </w:rPr>
        <w:footnoteReference w:id="1"/>
      </w:r>
      <w:r w:rsidR="00ED16E5" w:rsidRPr="007016D8">
        <w:rPr>
          <w:b/>
          <w:bCs/>
          <w:sz w:val="28"/>
          <w:szCs w:val="28"/>
        </w:rPr>
        <w:t xml:space="preserve"> Index (WPI) During</w:t>
      </w:r>
      <w:r w:rsidR="000A3D33" w:rsidRPr="007016D8">
        <w:rPr>
          <w:b/>
          <w:bCs/>
          <w:sz w:val="28"/>
          <w:szCs w:val="28"/>
        </w:rPr>
        <w:t xml:space="preserve"> the </w:t>
      </w:r>
      <w:r w:rsidR="00AF14AC" w:rsidRPr="007016D8">
        <w:rPr>
          <w:b/>
          <w:bCs/>
          <w:kern w:val="36"/>
          <w:sz w:val="28"/>
          <w:szCs w:val="28"/>
        </w:rPr>
        <w:t>First</w:t>
      </w:r>
      <w:r w:rsidR="000A3D33" w:rsidRPr="007016D8">
        <w:rPr>
          <w:b/>
          <w:bCs/>
          <w:kern w:val="36"/>
          <w:sz w:val="28"/>
          <w:szCs w:val="28"/>
        </w:rPr>
        <w:t xml:space="preserve"> Quarter of </w:t>
      </w:r>
      <w:r w:rsidR="00AF14AC" w:rsidRPr="007016D8">
        <w:rPr>
          <w:b/>
          <w:bCs/>
          <w:kern w:val="36"/>
          <w:sz w:val="28"/>
          <w:szCs w:val="28"/>
        </w:rPr>
        <w:t>2021</w:t>
      </w:r>
    </w:p>
    <w:bookmarkEnd w:id="0"/>
    <w:p w:rsidR="000A3D33" w:rsidRPr="007016D8" w:rsidRDefault="000A3D33" w:rsidP="000A3D33">
      <w:pPr>
        <w:bidi w:val="0"/>
        <w:jc w:val="both"/>
        <w:outlineLvl w:val="1"/>
        <w:rPr>
          <w:b/>
          <w:bCs/>
          <w:sz w:val="26"/>
          <w:szCs w:val="26"/>
        </w:rPr>
      </w:pPr>
    </w:p>
    <w:p w:rsidR="00936337" w:rsidRPr="007016D8" w:rsidRDefault="00936337" w:rsidP="00AF14AC">
      <w:pPr>
        <w:bidi w:val="0"/>
        <w:jc w:val="both"/>
        <w:outlineLvl w:val="0"/>
        <w:rPr>
          <w:sz w:val="26"/>
          <w:szCs w:val="26"/>
        </w:rPr>
      </w:pPr>
      <w:r w:rsidRPr="007016D8">
        <w:rPr>
          <w:sz w:val="26"/>
          <w:szCs w:val="26"/>
        </w:rPr>
        <w:t xml:space="preserve">The overall WPI in Palestine with its base year (2007=100) reached </w:t>
      </w:r>
      <w:r w:rsidR="00AF14AC" w:rsidRPr="007016D8">
        <w:rPr>
          <w:sz w:val="26"/>
          <w:szCs w:val="26"/>
        </w:rPr>
        <w:t>124.73</w:t>
      </w:r>
      <w:r w:rsidRPr="007016D8">
        <w:rPr>
          <w:sz w:val="26"/>
          <w:szCs w:val="26"/>
        </w:rPr>
        <w:t xml:space="preserve"> in the </w:t>
      </w:r>
      <w:r w:rsidR="00AF14AC" w:rsidRPr="007016D8">
        <w:rPr>
          <w:sz w:val="26"/>
          <w:szCs w:val="26"/>
        </w:rPr>
        <w:t>First</w:t>
      </w:r>
      <w:r w:rsidRPr="007016D8">
        <w:rPr>
          <w:sz w:val="26"/>
          <w:szCs w:val="26"/>
        </w:rPr>
        <w:t xml:space="preserve"> quarter 202</w:t>
      </w:r>
      <w:r w:rsidR="00AF14AC" w:rsidRPr="007016D8">
        <w:rPr>
          <w:sz w:val="26"/>
          <w:szCs w:val="26"/>
        </w:rPr>
        <w:t>1</w:t>
      </w:r>
      <w:r w:rsidRPr="007016D8">
        <w:rPr>
          <w:sz w:val="26"/>
          <w:szCs w:val="26"/>
        </w:rPr>
        <w:t xml:space="preserve">, which Recorded a decrease of </w:t>
      </w:r>
      <w:r w:rsidR="00AF14AC" w:rsidRPr="007016D8">
        <w:rPr>
          <w:sz w:val="26"/>
          <w:szCs w:val="26"/>
        </w:rPr>
        <w:t>0.64</w:t>
      </w:r>
      <w:r w:rsidRPr="007016D8">
        <w:rPr>
          <w:sz w:val="26"/>
          <w:szCs w:val="26"/>
        </w:rPr>
        <w:t xml:space="preserve">% compared with the </w:t>
      </w:r>
      <w:r w:rsidR="00AF14AC" w:rsidRPr="007016D8">
        <w:rPr>
          <w:sz w:val="26"/>
          <w:szCs w:val="26"/>
        </w:rPr>
        <w:t xml:space="preserve">Fourth </w:t>
      </w:r>
      <w:r w:rsidRPr="007016D8">
        <w:rPr>
          <w:sz w:val="26"/>
          <w:szCs w:val="26"/>
        </w:rPr>
        <w:t>quarter 2020.</w:t>
      </w:r>
    </w:p>
    <w:p w:rsidR="00726D03" w:rsidRPr="007016D8" w:rsidRDefault="00726D03" w:rsidP="00936337">
      <w:pPr>
        <w:pStyle w:val="BodyText2"/>
        <w:bidi w:val="0"/>
        <w:spacing w:after="0" w:line="240" w:lineRule="auto"/>
        <w:jc w:val="both"/>
        <w:outlineLvl w:val="0"/>
        <w:rPr>
          <w:sz w:val="26"/>
          <w:szCs w:val="26"/>
        </w:rPr>
      </w:pPr>
    </w:p>
    <w:p w:rsidR="00936337" w:rsidRPr="007016D8" w:rsidRDefault="00936337" w:rsidP="00AF14AC">
      <w:pPr>
        <w:pStyle w:val="BodyText2"/>
        <w:bidi w:val="0"/>
        <w:spacing w:after="0" w:line="240" w:lineRule="auto"/>
        <w:jc w:val="both"/>
        <w:outlineLvl w:val="0"/>
        <w:rPr>
          <w:sz w:val="26"/>
          <w:szCs w:val="26"/>
        </w:rPr>
      </w:pPr>
      <w:r w:rsidRPr="007016D8">
        <w:rPr>
          <w:sz w:val="26"/>
          <w:szCs w:val="26"/>
        </w:rPr>
        <w:t xml:space="preserve">WPI for local products (2007=100) reached </w:t>
      </w:r>
      <w:r w:rsidR="00AF14AC" w:rsidRPr="007016D8">
        <w:rPr>
          <w:sz w:val="26"/>
          <w:szCs w:val="26"/>
        </w:rPr>
        <w:t>127.30</w:t>
      </w:r>
      <w:r w:rsidRPr="007016D8">
        <w:rPr>
          <w:sz w:val="26"/>
          <w:szCs w:val="26"/>
        </w:rPr>
        <w:t xml:space="preserve"> in the </w:t>
      </w:r>
      <w:r w:rsidR="00AF14AC" w:rsidRPr="007016D8">
        <w:rPr>
          <w:sz w:val="26"/>
          <w:szCs w:val="26"/>
        </w:rPr>
        <w:t>First</w:t>
      </w:r>
      <w:r w:rsidRPr="007016D8">
        <w:rPr>
          <w:sz w:val="26"/>
          <w:szCs w:val="26"/>
        </w:rPr>
        <w:t xml:space="preserve"> quarter 202</w:t>
      </w:r>
      <w:r w:rsidR="00AF14AC" w:rsidRPr="007016D8">
        <w:rPr>
          <w:sz w:val="26"/>
          <w:szCs w:val="26"/>
        </w:rPr>
        <w:t>1</w:t>
      </w:r>
      <w:r w:rsidRPr="007016D8">
        <w:rPr>
          <w:sz w:val="26"/>
          <w:szCs w:val="26"/>
        </w:rPr>
        <w:t xml:space="preserve">, which indicates a decrease of </w:t>
      </w:r>
      <w:r w:rsidR="00AF14AC" w:rsidRPr="007016D8">
        <w:rPr>
          <w:sz w:val="26"/>
          <w:szCs w:val="26"/>
        </w:rPr>
        <w:t>1.52</w:t>
      </w:r>
      <w:r w:rsidRPr="007016D8">
        <w:rPr>
          <w:sz w:val="26"/>
          <w:szCs w:val="26"/>
        </w:rPr>
        <w:t xml:space="preserve">% compared with the </w:t>
      </w:r>
      <w:r w:rsidR="00AF14AC" w:rsidRPr="007016D8">
        <w:rPr>
          <w:sz w:val="26"/>
          <w:szCs w:val="26"/>
        </w:rPr>
        <w:t xml:space="preserve">Fourth </w:t>
      </w:r>
      <w:r w:rsidRPr="007016D8">
        <w:rPr>
          <w:sz w:val="26"/>
          <w:szCs w:val="26"/>
        </w:rPr>
        <w:t xml:space="preserve">quarter 2020. </w:t>
      </w:r>
    </w:p>
    <w:p w:rsidR="00936337" w:rsidRPr="007016D8" w:rsidRDefault="00936337" w:rsidP="00936337">
      <w:pPr>
        <w:pStyle w:val="BodyText2"/>
        <w:bidi w:val="0"/>
        <w:spacing w:after="0" w:line="240" w:lineRule="auto"/>
        <w:jc w:val="both"/>
        <w:outlineLvl w:val="0"/>
        <w:rPr>
          <w:sz w:val="26"/>
          <w:szCs w:val="26"/>
        </w:rPr>
      </w:pPr>
    </w:p>
    <w:p w:rsidR="00936337" w:rsidRPr="007016D8" w:rsidRDefault="00936337" w:rsidP="00536F57">
      <w:pPr>
        <w:pStyle w:val="BodyText2"/>
        <w:bidi w:val="0"/>
        <w:spacing w:after="0" w:line="240" w:lineRule="auto"/>
        <w:jc w:val="both"/>
        <w:outlineLvl w:val="0"/>
        <w:rPr>
          <w:sz w:val="26"/>
          <w:szCs w:val="26"/>
        </w:rPr>
      </w:pPr>
      <w:r w:rsidRPr="007016D8">
        <w:rPr>
          <w:sz w:val="26"/>
          <w:szCs w:val="26"/>
        </w:rPr>
        <w:t xml:space="preserve">WPI for imported products (2007=100) </w:t>
      </w:r>
      <w:r w:rsidR="00536F57" w:rsidRPr="007016D8">
        <w:rPr>
          <w:sz w:val="26"/>
          <w:szCs w:val="26"/>
        </w:rPr>
        <w:t>reached 121.08 in the First quarter 2021, which indicates an increase of 0.27% compared with the Fourth quarter 2020.</w:t>
      </w:r>
    </w:p>
    <w:p w:rsidR="00936337" w:rsidRPr="007016D8" w:rsidRDefault="00936337" w:rsidP="00936337">
      <w:pPr>
        <w:pStyle w:val="BodyText2"/>
        <w:bidi w:val="0"/>
        <w:spacing w:after="0" w:line="240" w:lineRule="auto"/>
        <w:jc w:val="both"/>
        <w:outlineLvl w:val="0"/>
        <w:rPr>
          <w:sz w:val="26"/>
          <w:szCs w:val="26"/>
        </w:rPr>
      </w:pPr>
    </w:p>
    <w:p w:rsidR="00936337" w:rsidRPr="007016D8" w:rsidRDefault="00936337" w:rsidP="00940F6F">
      <w:pPr>
        <w:bidi w:val="0"/>
        <w:jc w:val="both"/>
        <w:rPr>
          <w:b/>
          <w:bCs/>
          <w:color w:val="FF0000"/>
          <w:sz w:val="26"/>
          <w:szCs w:val="26"/>
        </w:rPr>
      </w:pPr>
      <w:r w:rsidRPr="007016D8">
        <w:rPr>
          <w:sz w:val="26"/>
          <w:szCs w:val="26"/>
        </w:rPr>
        <w:t xml:space="preserve">WPI for the </w:t>
      </w:r>
      <w:r w:rsidR="00940F6F" w:rsidRPr="007016D8">
        <w:rPr>
          <w:sz w:val="26"/>
          <w:szCs w:val="26"/>
        </w:rPr>
        <w:t>First</w:t>
      </w:r>
      <w:r w:rsidRPr="007016D8">
        <w:rPr>
          <w:sz w:val="26"/>
          <w:szCs w:val="26"/>
        </w:rPr>
        <w:t xml:space="preserve"> Quarter of 202</w:t>
      </w:r>
      <w:r w:rsidR="00940F6F" w:rsidRPr="007016D8">
        <w:rPr>
          <w:sz w:val="26"/>
          <w:szCs w:val="26"/>
        </w:rPr>
        <w:t>1</w:t>
      </w:r>
      <w:r w:rsidRPr="007016D8">
        <w:rPr>
          <w:sz w:val="26"/>
          <w:szCs w:val="26"/>
        </w:rPr>
        <w:t xml:space="preserve"> </w:t>
      </w:r>
      <w:r w:rsidR="0033708C" w:rsidRPr="007016D8">
        <w:rPr>
          <w:sz w:val="26"/>
          <w:szCs w:val="26"/>
        </w:rPr>
        <w:t>de</w:t>
      </w:r>
      <w:r w:rsidRPr="007016D8">
        <w:rPr>
          <w:sz w:val="26"/>
          <w:szCs w:val="26"/>
        </w:rPr>
        <w:t xml:space="preserve">creased due to the </w:t>
      </w:r>
      <w:r w:rsidR="0033708C" w:rsidRPr="007016D8">
        <w:rPr>
          <w:b/>
          <w:bCs/>
          <w:sz w:val="26"/>
          <w:szCs w:val="26"/>
        </w:rPr>
        <w:t>de</w:t>
      </w:r>
      <w:r w:rsidRPr="007016D8">
        <w:rPr>
          <w:b/>
          <w:bCs/>
          <w:sz w:val="26"/>
          <w:szCs w:val="26"/>
        </w:rPr>
        <w:t>crease</w:t>
      </w:r>
      <w:r w:rsidRPr="007016D8">
        <w:rPr>
          <w:sz w:val="26"/>
          <w:szCs w:val="26"/>
        </w:rPr>
        <w:t xml:space="preserve"> in </w:t>
      </w:r>
      <w:r w:rsidR="00940F6F" w:rsidRPr="007016D8">
        <w:rPr>
          <w:sz w:val="26"/>
          <w:szCs w:val="26"/>
        </w:rPr>
        <w:t>the</w:t>
      </w:r>
      <w:r w:rsidR="00940F6F" w:rsidRPr="007016D8">
        <w:rPr>
          <w:b/>
          <w:bCs/>
          <w:sz w:val="26"/>
          <w:szCs w:val="26"/>
        </w:rPr>
        <w:t xml:space="preserve"> activities of Fishing</w:t>
      </w:r>
      <w:r w:rsidR="00940F6F" w:rsidRPr="007016D8">
        <w:rPr>
          <w:sz w:val="26"/>
          <w:szCs w:val="26"/>
        </w:rPr>
        <w:t xml:space="preserve"> by 10.11%, the </w:t>
      </w:r>
      <w:r w:rsidR="00940F6F" w:rsidRPr="007016D8">
        <w:rPr>
          <w:b/>
          <w:bCs/>
          <w:sz w:val="26"/>
          <w:szCs w:val="26"/>
        </w:rPr>
        <w:t xml:space="preserve">activities of Manufacturing </w:t>
      </w:r>
      <w:r w:rsidR="00940F6F" w:rsidRPr="007016D8">
        <w:rPr>
          <w:sz w:val="26"/>
          <w:szCs w:val="26"/>
        </w:rPr>
        <w:t xml:space="preserve">by 0.79%, </w:t>
      </w:r>
      <w:r w:rsidRPr="007016D8">
        <w:rPr>
          <w:sz w:val="26"/>
          <w:szCs w:val="26"/>
        </w:rPr>
        <w:t>the</w:t>
      </w:r>
      <w:r w:rsidRPr="007016D8">
        <w:rPr>
          <w:b/>
          <w:bCs/>
          <w:sz w:val="26"/>
          <w:szCs w:val="26"/>
        </w:rPr>
        <w:t xml:space="preserve"> activities of Agriculture </w:t>
      </w:r>
      <w:r w:rsidRPr="007016D8">
        <w:rPr>
          <w:sz w:val="26"/>
          <w:szCs w:val="26"/>
        </w:rPr>
        <w:t xml:space="preserve">by </w:t>
      </w:r>
      <w:r w:rsidR="00940F6F" w:rsidRPr="007016D8">
        <w:rPr>
          <w:sz w:val="26"/>
          <w:szCs w:val="26"/>
        </w:rPr>
        <w:t>0.29</w:t>
      </w:r>
      <w:r w:rsidRPr="007016D8">
        <w:rPr>
          <w:sz w:val="26"/>
          <w:szCs w:val="26"/>
        </w:rPr>
        <w:t>%</w:t>
      </w:r>
      <w:r w:rsidRPr="007016D8">
        <w:rPr>
          <w:rFonts w:cs="Simplified Arabic"/>
          <w:snapToGrid w:val="0"/>
          <w:color w:val="000000"/>
          <w:sz w:val="26"/>
          <w:szCs w:val="26"/>
        </w:rPr>
        <w:t xml:space="preserve">, </w:t>
      </w:r>
      <w:r w:rsidR="00940F6F" w:rsidRPr="007016D8">
        <w:rPr>
          <w:rFonts w:cs="Simplified Arabic"/>
          <w:snapToGrid w:val="0"/>
          <w:color w:val="000000"/>
          <w:sz w:val="26"/>
          <w:szCs w:val="26"/>
        </w:rPr>
        <w:t xml:space="preserve">and </w:t>
      </w:r>
      <w:r w:rsidRPr="007016D8">
        <w:rPr>
          <w:rFonts w:cs="Simplified Arabic"/>
          <w:snapToGrid w:val="0"/>
          <w:color w:val="000000"/>
          <w:sz w:val="26"/>
          <w:szCs w:val="26"/>
        </w:rPr>
        <w:t xml:space="preserve">the </w:t>
      </w:r>
      <w:r w:rsidRPr="007016D8">
        <w:rPr>
          <w:b/>
          <w:bCs/>
          <w:sz w:val="26"/>
          <w:szCs w:val="26"/>
        </w:rPr>
        <w:t xml:space="preserve">activities of Mining and Quarrying </w:t>
      </w:r>
      <w:r w:rsidRPr="007016D8">
        <w:rPr>
          <w:sz w:val="26"/>
          <w:szCs w:val="26"/>
        </w:rPr>
        <w:t xml:space="preserve">by </w:t>
      </w:r>
      <w:r w:rsidR="00940F6F" w:rsidRPr="007016D8">
        <w:rPr>
          <w:sz w:val="26"/>
          <w:szCs w:val="26"/>
        </w:rPr>
        <w:t>0.15</w:t>
      </w:r>
      <w:r w:rsidRPr="007016D8">
        <w:rPr>
          <w:sz w:val="26"/>
          <w:szCs w:val="26"/>
        </w:rPr>
        <w:t>%</w:t>
      </w:r>
      <w:r w:rsidR="00940F6F" w:rsidRPr="007016D8">
        <w:rPr>
          <w:sz w:val="26"/>
          <w:szCs w:val="26"/>
        </w:rPr>
        <w:t>.</w:t>
      </w:r>
    </w:p>
    <w:p w:rsidR="00677C79" w:rsidRDefault="00677C79" w:rsidP="00677C79">
      <w:pPr>
        <w:autoSpaceDE w:val="0"/>
        <w:autoSpaceDN w:val="0"/>
        <w:bidi w:val="0"/>
        <w:adjustRightInd w:val="0"/>
        <w:jc w:val="both"/>
        <w:rPr>
          <w:snapToGrid w:val="0"/>
          <w:sz w:val="26"/>
          <w:szCs w:val="26"/>
        </w:rPr>
      </w:pPr>
    </w:p>
    <w:p w:rsidR="007016D8" w:rsidRDefault="007016D8" w:rsidP="007016D8">
      <w:pPr>
        <w:autoSpaceDE w:val="0"/>
        <w:autoSpaceDN w:val="0"/>
        <w:bidi w:val="0"/>
        <w:adjustRightInd w:val="0"/>
        <w:jc w:val="both"/>
        <w:rPr>
          <w:snapToGrid w:val="0"/>
          <w:sz w:val="26"/>
          <w:szCs w:val="26"/>
        </w:rPr>
      </w:pPr>
    </w:p>
    <w:p w:rsidR="007016D8" w:rsidRDefault="007016D8" w:rsidP="007016D8">
      <w:pPr>
        <w:autoSpaceDE w:val="0"/>
        <w:autoSpaceDN w:val="0"/>
        <w:bidi w:val="0"/>
        <w:adjustRightInd w:val="0"/>
        <w:jc w:val="both"/>
        <w:rPr>
          <w:snapToGrid w:val="0"/>
          <w:sz w:val="26"/>
          <w:szCs w:val="26"/>
        </w:rPr>
      </w:pPr>
    </w:p>
    <w:p w:rsidR="007016D8" w:rsidRPr="007016D8" w:rsidRDefault="007016D8" w:rsidP="007016D8">
      <w:pPr>
        <w:autoSpaceDE w:val="0"/>
        <w:autoSpaceDN w:val="0"/>
        <w:bidi w:val="0"/>
        <w:adjustRightInd w:val="0"/>
        <w:jc w:val="both"/>
        <w:rPr>
          <w:snapToGrid w:val="0"/>
          <w:sz w:val="26"/>
          <w:szCs w:val="26"/>
        </w:rPr>
      </w:pPr>
    </w:p>
    <w:p w:rsidR="006A698D" w:rsidRPr="007016D8" w:rsidRDefault="006A698D" w:rsidP="006A698D">
      <w:pPr>
        <w:bidi w:val="0"/>
        <w:rPr>
          <w:b/>
          <w:bCs/>
        </w:rPr>
      </w:pPr>
      <w:r w:rsidRPr="007016D8">
        <w:rPr>
          <w:b/>
          <w:bCs/>
        </w:rPr>
        <w:t>Notice for Users:</w:t>
      </w:r>
    </w:p>
    <w:p w:rsidR="006A698D" w:rsidRPr="007016D8" w:rsidRDefault="006A698D" w:rsidP="006A698D">
      <w:pPr>
        <w:pStyle w:val="ListParagraph"/>
        <w:numPr>
          <w:ilvl w:val="0"/>
          <w:numId w:val="9"/>
        </w:numPr>
        <w:tabs>
          <w:tab w:val="right" w:pos="284"/>
        </w:tabs>
        <w:bidi w:val="0"/>
        <w:ind w:left="0" w:firstLine="0"/>
        <w:jc w:val="both"/>
        <w:rPr>
          <w:rtl/>
        </w:rPr>
      </w:pPr>
      <w:r w:rsidRPr="007016D8">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6A698D" w:rsidRPr="007016D8" w:rsidRDefault="006A698D" w:rsidP="006A698D">
      <w:pPr>
        <w:bidi w:val="0"/>
        <w:jc w:val="both"/>
        <w:rPr>
          <w:b/>
          <w:bCs/>
        </w:rPr>
      </w:pPr>
    </w:p>
    <w:p w:rsidR="006A698D" w:rsidRPr="007016D8" w:rsidRDefault="006A698D" w:rsidP="006A698D">
      <w:pPr>
        <w:pStyle w:val="ListParagraph"/>
        <w:bidi w:val="0"/>
        <w:ind w:left="0"/>
        <w:jc w:val="both"/>
      </w:pPr>
      <w:r w:rsidRPr="007016D8">
        <w:t>Please note that the press release in English is brief compared to the Arabic version.</w:t>
      </w:r>
    </w:p>
    <w:p w:rsidR="00FF11C1" w:rsidRPr="007016D8" w:rsidRDefault="00FF11C1" w:rsidP="00FF11C1">
      <w:pPr>
        <w:pStyle w:val="ListParagraph"/>
        <w:bidi w:val="0"/>
        <w:ind w:left="0"/>
        <w:jc w:val="both"/>
        <w:rPr>
          <w:sz w:val="26"/>
          <w:szCs w:val="26"/>
        </w:rPr>
      </w:pPr>
    </w:p>
    <w:p w:rsidR="00080A64" w:rsidRDefault="00080A64" w:rsidP="00080A64">
      <w:pPr>
        <w:bidi w:val="0"/>
        <w:jc w:val="both"/>
        <w:rPr>
          <w:b/>
          <w:bCs/>
          <w:sz w:val="20"/>
          <w:szCs w:val="20"/>
        </w:rPr>
      </w:pPr>
    </w:p>
    <w:p w:rsidR="0063279D" w:rsidRDefault="0063279D" w:rsidP="00080A64">
      <w:pPr>
        <w:bidi w:val="0"/>
        <w:jc w:val="both"/>
        <w:rPr>
          <w:b/>
          <w:bCs/>
          <w:noProof/>
          <w:sz w:val="20"/>
          <w:szCs w:val="20"/>
          <w:lang w:eastAsia="en-US"/>
        </w:rPr>
      </w:pPr>
    </w:p>
    <w:sectPr w:rsidR="0063279D" w:rsidSect="007016D8">
      <w:footerReference w:type="even" r:id="rId8"/>
      <w:footerReference w:type="default" r:id="rId9"/>
      <w:pgSz w:w="11907" w:h="16840" w:code="9"/>
      <w:pgMar w:top="1134" w:right="851" w:bottom="851" w:left="851" w:header="720" w:footer="72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C2C" w:rsidRDefault="00941C2C">
      <w:r>
        <w:separator/>
      </w:r>
    </w:p>
  </w:endnote>
  <w:endnote w:type="continuationSeparator" w:id="0">
    <w:p w:rsidR="00941C2C" w:rsidRDefault="0094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B32FF9">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45894956"/>
      <w:docPartObj>
        <w:docPartGallery w:val="Page Numbers (Bottom of Page)"/>
        <w:docPartUnique/>
      </w:docPartObj>
    </w:sdtPr>
    <w:sdtContent>
      <w:p w:rsidR="007016D8" w:rsidRDefault="007016D8">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7016D8" w:rsidRDefault="007016D8">
    <w:pPr>
      <w:pStyle w:val="Foote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C2C" w:rsidRDefault="00941C2C">
      <w:r>
        <w:separator/>
      </w:r>
    </w:p>
  </w:footnote>
  <w:footnote w:type="continuationSeparator" w:id="0">
    <w:p w:rsidR="00941C2C" w:rsidRDefault="00941C2C">
      <w:r>
        <w:continuationSeparator/>
      </w:r>
    </w:p>
  </w:footnote>
  <w:footnote w:id="1">
    <w:p w:rsidR="00FF11C1" w:rsidRDefault="00FF11C1" w:rsidP="00FF11C1">
      <w:pPr>
        <w:pStyle w:val="FootnoteText"/>
        <w:bidi w:val="0"/>
        <w:jc w:val="both"/>
        <w:rPr>
          <w:rtl/>
        </w:rPr>
      </w:pPr>
      <w:r>
        <w:rPr>
          <w:rStyle w:val="FootnoteReference"/>
        </w:rPr>
        <w:footnoteRef/>
      </w:r>
      <w:r>
        <w:rPr>
          <w:rtl/>
        </w:rPr>
        <w:t xml:space="preserve"> </w:t>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22588"/>
    <w:rsid w:val="00023129"/>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054E"/>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27031"/>
    <w:rsid w:val="00234FC5"/>
    <w:rsid w:val="00246756"/>
    <w:rsid w:val="002475A7"/>
    <w:rsid w:val="002475D5"/>
    <w:rsid w:val="00253B7A"/>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1752F"/>
    <w:rsid w:val="00333192"/>
    <w:rsid w:val="0033494D"/>
    <w:rsid w:val="0033708C"/>
    <w:rsid w:val="00352CB9"/>
    <w:rsid w:val="0035475C"/>
    <w:rsid w:val="00357C0F"/>
    <w:rsid w:val="00362C56"/>
    <w:rsid w:val="0036330D"/>
    <w:rsid w:val="00373227"/>
    <w:rsid w:val="00373482"/>
    <w:rsid w:val="0038789F"/>
    <w:rsid w:val="003D1122"/>
    <w:rsid w:val="003D3C6E"/>
    <w:rsid w:val="003D6B61"/>
    <w:rsid w:val="003F6769"/>
    <w:rsid w:val="003F72A5"/>
    <w:rsid w:val="003F79E1"/>
    <w:rsid w:val="004011F9"/>
    <w:rsid w:val="00404AE1"/>
    <w:rsid w:val="00407964"/>
    <w:rsid w:val="00442803"/>
    <w:rsid w:val="004563A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22C8"/>
    <w:rsid w:val="005300FD"/>
    <w:rsid w:val="00536F57"/>
    <w:rsid w:val="0054079E"/>
    <w:rsid w:val="00546DEB"/>
    <w:rsid w:val="00550823"/>
    <w:rsid w:val="00560859"/>
    <w:rsid w:val="00560D95"/>
    <w:rsid w:val="00566005"/>
    <w:rsid w:val="005843A5"/>
    <w:rsid w:val="0059251C"/>
    <w:rsid w:val="00592F97"/>
    <w:rsid w:val="005A114A"/>
    <w:rsid w:val="005A5C14"/>
    <w:rsid w:val="005B0328"/>
    <w:rsid w:val="005B5BA2"/>
    <w:rsid w:val="005C2E3B"/>
    <w:rsid w:val="005C4D5E"/>
    <w:rsid w:val="005C4EA7"/>
    <w:rsid w:val="005D0603"/>
    <w:rsid w:val="005D4495"/>
    <w:rsid w:val="005E333C"/>
    <w:rsid w:val="005F3E9F"/>
    <w:rsid w:val="0061046E"/>
    <w:rsid w:val="006123B9"/>
    <w:rsid w:val="006177C1"/>
    <w:rsid w:val="0063279D"/>
    <w:rsid w:val="00635C53"/>
    <w:rsid w:val="00640614"/>
    <w:rsid w:val="00647C1C"/>
    <w:rsid w:val="006507EC"/>
    <w:rsid w:val="0066695A"/>
    <w:rsid w:val="00674358"/>
    <w:rsid w:val="00677C79"/>
    <w:rsid w:val="0068763B"/>
    <w:rsid w:val="006A06A0"/>
    <w:rsid w:val="006A698D"/>
    <w:rsid w:val="006B020E"/>
    <w:rsid w:val="006B279C"/>
    <w:rsid w:val="006B68B2"/>
    <w:rsid w:val="006C41F9"/>
    <w:rsid w:val="006E16EE"/>
    <w:rsid w:val="006E2866"/>
    <w:rsid w:val="006E3F38"/>
    <w:rsid w:val="006E5FF4"/>
    <w:rsid w:val="007016D8"/>
    <w:rsid w:val="007119C4"/>
    <w:rsid w:val="0071595E"/>
    <w:rsid w:val="00715D0B"/>
    <w:rsid w:val="00716266"/>
    <w:rsid w:val="00724791"/>
    <w:rsid w:val="00726D03"/>
    <w:rsid w:val="00745238"/>
    <w:rsid w:val="00745348"/>
    <w:rsid w:val="00755C5C"/>
    <w:rsid w:val="00760F31"/>
    <w:rsid w:val="00765914"/>
    <w:rsid w:val="00772474"/>
    <w:rsid w:val="007731A1"/>
    <w:rsid w:val="007777B6"/>
    <w:rsid w:val="0078417A"/>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525E4"/>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572E"/>
    <w:rsid w:val="00936337"/>
    <w:rsid w:val="00936FAF"/>
    <w:rsid w:val="00940F6F"/>
    <w:rsid w:val="00941C2C"/>
    <w:rsid w:val="009542BB"/>
    <w:rsid w:val="009577D1"/>
    <w:rsid w:val="0097781A"/>
    <w:rsid w:val="009856DC"/>
    <w:rsid w:val="009863E0"/>
    <w:rsid w:val="009923B4"/>
    <w:rsid w:val="00994EFC"/>
    <w:rsid w:val="009A333D"/>
    <w:rsid w:val="009B4D64"/>
    <w:rsid w:val="009B6ECF"/>
    <w:rsid w:val="009C2C1A"/>
    <w:rsid w:val="009D415E"/>
    <w:rsid w:val="009E6723"/>
    <w:rsid w:val="00A012EE"/>
    <w:rsid w:val="00A02AF4"/>
    <w:rsid w:val="00A16347"/>
    <w:rsid w:val="00A21E96"/>
    <w:rsid w:val="00A25696"/>
    <w:rsid w:val="00A4532A"/>
    <w:rsid w:val="00A45597"/>
    <w:rsid w:val="00A474FA"/>
    <w:rsid w:val="00A53F74"/>
    <w:rsid w:val="00A56B0C"/>
    <w:rsid w:val="00A57B14"/>
    <w:rsid w:val="00A62B39"/>
    <w:rsid w:val="00A673F4"/>
    <w:rsid w:val="00A7058B"/>
    <w:rsid w:val="00AB6BEB"/>
    <w:rsid w:val="00AC24DE"/>
    <w:rsid w:val="00AD2168"/>
    <w:rsid w:val="00AE0AD8"/>
    <w:rsid w:val="00AE5C36"/>
    <w:rsid w:val="00AF0903"/>
    <w:rsid w:val="00AF09FD"/>
    <w:rsid w:val="00AF14AC"/>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D5D5F"/>
    <w:rsid w:val="00CE3A28"/>
    <w:rsid w:val="00CE68DC"/>
    <w:rsid w:val="00CF1492"/>
    <w:rsid w:val="00CF2B37"/>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16C7"/>
    <w:rsid w:val="00DD3467"/>
    <w:rsid w:val="00DD39CD"/>
    <w:rsid w:val="00DD7595"/>
    <w:rsid w:val="00DE2FE2"/>
    <w:rsid w:val="00DF74E6"/>
    <w:rsid w:val="00E073D7"/>
    <w:rsid w:val="00E24833"/>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46874"/>
    <w:rsid w:val="00F53CA2"/>
    <w:rsid w:val="00F56B9E"/>
    <w:rsid w:val="00F61BC3"/>
    <w:rsid w:val="00F679D7"/>
    <w:rsid w:val="00F7525D"/>
    <w:rsid w:val="00F75BB5"/>
    <w:rsid w:val="00F77596"/>
    <w:rsid w:val="00F83D05"/>
    <w:rsid w:val="00F84185"/>
    <w:rsid w:val="00FB2238"/>
    <w:rsid w:val="00FC48A3"/>
    <w:rsid w:val="00FF11C1"/>
    <w:rsid w:val="00FF4B57"/>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F1F52"/>
  <w15:docId w15:val="{C2121996-D09B-42D8-8D12-EEE01278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link w:val="Heading1Char"/>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customStyle="1" w:styleId="Heading1Char">
    <w:name w:val="Heading 1 Char"/>
    <w:basedOn w:val="DefaultParagraphFont"/>
    <w:link w:val="Heading1"/>
    <w:rsid w:val="007016D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C7F5-2360-4EAB-8C19-A5458C83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1294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72</cp:revision>
  <cp:lastPrinted>2021-01-18T07:40:00Z</cp:lastPrinted>
  <dcterms:created xsi:type="dcterms:W3CDTF">2019-01-14T16:11:00Z</dcterms:created>
  <dcterms:modified xsi:type="dcterms:W3CDTF">2021-04-18T10:12:00Z</dcterms:modified>
</cp:coreProperties>
</file>