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34" w:rsidRDefault="00F21834" w:rsidP="00F21834">
      <w:pPr>
        <w:pStyle w:val="Heading1"/>
        <w:jc w:val="center"/>
        <w:rPr>
          <w:rFonts w:hint="cs"/>
          <w:sz w:val="32"/>
          <w:szCs w:val="32"/>
        </w:rPr>
      </w:pPr>
    </w:p>
    <w:p w:rsidR="00F21834" w:rsidRDefault="00F21834" w:rsidP="00F21834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Palestinian Central Bureau of Statistics (PCBS)</w:t>
      </w:r>
    </w:p>
    <w:p w:rsidR="00352CB9" w:rsidRDefault="00352CB9" w:rsidP="00F21834">
      <w:pPr>
        <w:bidi w:val="0"/>
        <w:jc w:val="center"/>
        <w:outlineLvl w:val="1"/>
        <w:rPr>
          <w:b/>
          <w:bCs/>
          <w:color w:val="000000"/>
        </w:rPr>
      </w:pPr>
    </w:p>
    <w:p w:rsidR="00ED16E5" w:rsidRPr="00F21834" w:rsidRDefault="00DF74E6" w:rsidP="00F21834">
      <w:pPr>
        <w:bidi w:val="0"/>
        <w:jc w:val="center"/>
        <w:outlineLvl w:val="1"/>
        <w:rPr>
          <w:b/>
          <w:bCs/>
          <w:sz w:val="28"/>
          <w:szCs w:val="28"/>
        </w:rPr>
      </w:pPr>
      <w:r w:rsidRPr="00F21834">
        <w:rPr>
          <w:b/>
          <w:bCs/>
          <w:color w:val="000000"/>
          <w:sz w:val="28"/>
          <w:szCs w:val="28"/>
        </w:rPr>
        <w:t>In</w:t>
      </w:r>
      <w:r w:rsidR="00936FAF" w:rsidRPr="00F21834">
        <w:rPr>
          <w:b/>
          <w:bCs/>
          <w:color w:val="000000"/>
          <w:sz w:val="28"/>
          <w:szCs w:val="28"/>
        </w:rPr>
        <w:t>crease</w:t>
      </w:r>
      <w:r w:rsidR="00ED16E5" w:rsidRPr="00F21834">
        <w:rPr>
          <w:b/>
          <w:bCs/>
          <w:color w:val="000000"/>
          <w:sz w:val="28"/>
          <w:szCs w:val="28"/>
        </w:rPr>
        <w:t xml:space="preserve"> in</w:t>
      </w:r>
      <w:r w:rsidR="00ED16E5" w:rsidRPr="00F21834">
        <w:rPr>
          <w:b/>
          <w:bCs/>
          <w:sz w:val="28"/>
          <w:szCs w:val="28"/>
        </w:rPr>
        <w:t xml:space="preserve"> the Wholesale Price</w:t>
      </w:r>
      <w:r w:rsidR="00ED16E5" w:rsidRPr="00F21834">
        <w:rPr>
          <w:b/>
          <w:bCs/>
          <w:sz w:val="28"/>
          <w:szCs w:val="28"/>
          <w:vertAlign w:val="superscript"/>
        </w:rPr>
        <w:t>1</w:t>
      </w:r>
      <w:r w:rsidR="00ED16E5" w:rsidRPr="00F21834">
        <w:rPr>
          <w:b/>
          <w:bCs/>
          <w:sz w:val="28"/>
          <w:szCs w:val="28"/>
        </w:rPr>
        <w:t xml:space="preserve"> Index (WPI) During</w:t>
      </w:r>
      <w:r w:rsidR="000A3D33" w:rsidRPr="00F21834">
        <w:rPr>
          <w:b/>
          <w:bCs/>
          <w:sz w:val="28"/>
          <w:szCs w:val="28"/>
        </w:rPr>
        <w:t xml:space="preserve"> the </w:t>
      </w:r>
      <w:r w:rsidRPr="00F21834">
        <w:rPr>
          <w:b/>
          <w:bCs/>
          <w:kern w:val="36"/>
          <w:sz w:val="28"/>
          <w:szCs w:val="28"/>
        </w:rPr>
        <w:t>Third</w:t>
      </w:r>
      <w:r w:rsidR="000A3D33" w:rsidRPr="00F21834">
        <w:rPr>
          <w:b/>
          <w:bCs/>
          <w:kern w:val="36"/>
          <w:sz w:val="28"/>
          <w:szCs w:val="28"/>
        </w:rPr>
        <w:t xml:space="preserve"> Quarter of 2019</w:t>
      </w:r>
    </w:p>
    <w:p w:rsidR="000A3D33" w:rsidRPr="000A3D33" w:rsidRDefault="000A3D33" w:rsidP="000A3D33">
      <w:pPr>
        <w:bidi w:val="0"/>
        <w:jc w:val="both"/>
        <w:outlineLvl w:val="1"/>
        <w:rPr>
          <w:b/>
          <w:bCs/>
        </w:rPr>
      </w:pPr>
    </w:p>
    <w:p w:rsidR="0066695A" w:rsidRPr="00FC160D" w:rsidRDefault="0066695A" w:rsidP="00DF74E6">
      <w:pPr>
        <w:bidi w:val="0"/>
        <w:jc w:val="both"/>
        <w:outlineLvl w:val="0"/>
      </w:pPr>
      <w:r w:rsidRPr="00FC160D">
        <w:t>The overall WPI in Palestine with its base year (2007</w:t>
      </w:r>
      <w:r w:rsidR="00647C1C">
        <w:t xml:space="preserve"> </w:t>
      </w:r>
      <w:r w:rsidRPr="00FC160D">
        <w:t>=</w:t>
      </w:r>
      <w:r w:rsidR="00647C1C">
        <w:t xml:space="preserve"> </w:t>
      </w:r>
      <w:r w:rsidRPr="00FC160D">
        <w:t xml:space="preserve">100) reached </w:t>
      </w:r>
      <w:r w:rsidR="00DF74E6">
        <w:t>126.28</w:t>
      </w:r>
      <w:r w:rsidRPr="00FC160D">
        <w:t xml:space="preserve"> in the </w:t>
      </w:r>
      <w:r w:rsidR="00DF74E6">
        <w:t xml:space="preserve">Third </w:t>
      </w:r>
      <w:r w:rsidRPr="00FC160D">
        <w:t xml:space="preserve">quarter </w:t>
      </w:r>
      <w:r w:rsidR="000A3D33">
        <w:t>2019</w:t>
      </w:r>
      <w:r w:rsidRPr="00FC160D">
        <w:t>, which indicates a</w:t>
      </w:r>
      <w:r w:rsidR="00DF74E6">
        <w:t>n</w:t>
      </w:r>
      <w:r w:rsidRPr="00FC160D">
        <w:t xml:space="preserve"> </w:t>
      </w:r>
      <w:r w:rsidR="00DF74E6">
        <w:t>in</w:t>
      </w:r>
      <w:r w:rsidR="000A30A5">
        <w:t>crease</w:t>
      </w:r>
      <w:r w:rsidRPr="00FC160D">
        <w:t xml:space="preserve"> </w:t>
      </w:r>
      <w:r w:rsidR="00B42AE4">
        <w:t>of</w:t>
      </w:r>
      <w:r w:rsidRPr="00FC160D">
        <w:t xml:space="preserve"> </w:t>
      </w:r>
      <w:r w:rsidR="00DF74E6">
        <w:t>0.94</w:t>
      </w:r>
      <w:r w:rsidRPr="00FC160D">
        <w:t xml:space="preserve">% compared with the </w:t>
      </w:r>
      <w:r w:rsidR="00DF74E6">
        <w:t>Second</w:t>
      </w:r>
      <w:r w:rsidR="007119C4">
        <w:t xml:space="preserve"> </w:t>
      </w:r>
      <w:r w:rsidRPr="00FC160D">
        <w:t xml:space="preserve">quarter </w:t>
      </w:r>
      <w:r w:rsidR="00936FAF">
        <w:t>2019</w:t>
      </w:r>
      <w:r w:rsidRPr="00FC160D">
        <w:t>.</w:t>
      </w:r>
    </w:p>
    <w:p w:rsidR="0066695A" w:rsidRPr="004F25F7" w:rsidRDefault="0066695A" w:rsidP="0066695A">
      <w:pPr>
        <w:bidi w:val="0"/>
        <w:jc w:val="both"/>
        <w:outlineLvl w:val="0"/>
        <w:rPr>
          <w:sz w:val="28"/>
          <w:szCs w:val="28"/>
        </w:rPr>
      </w:pPr>
    </w:p>
    <w:p w:rsidR="007119C4" w:rsidRPr="00FC160D" w:rsidRDefault="007119C4" w:rsidP="00DF74E6">
      <w:pPr>
        <w:pStyle w:val="BodyText2"/>
        <w:bidi w:val="0"/>
        <w:spacing w:after="0" w:line="240" w:lineRule="auto"/>
        <w:jc w:val="both"/>
        <w:outlineLvl w:val="0"/>
      </w:pPr>
      <w:r w:rsidRPr="00FC160D">
        <w:t>WPI for local products (2007</w:t>
      </w:r>
      <w:r>
        <w:t xml:space="preserve"> </w:t>
      </w:r>
      <w:r w:rsidRPr="00FC160D">
        <w:t>=</w:t>
      </w:r>
      <w:r>
        <w:t xml:space="preserve"> </w:t>
      </w:r>
      <w:r w:rsidRPr="00FC160D">
        <w:t xml:space="preserve">100) reached </w:t>
      </w:r>
      <w:r w:rsidR="00DF74E6">
        <w:t>130.06</w:t>
      </w:r>
      <w:r w:rsidRPr="00FC160D">
        <w:t xml:space="preserve"> in the </w:t>
      </w:r>
      <w:r w:rsidR="00DF74E6">
        <w:t>Third</w:t>
      </w:r>
      <w:r>
        <w:t xml:space="preserve"> </w:t>
      </w:r>
      <w:r w:rsidRPr="00FC160D">
        <w:t xml:space="preserve">quarter </w:t>
      </w:r>
      <w:r w:rsidR="000A3D33">
        <w:t>2019</w:t>
      </w:r>
      <w:r w:rsidRPr="00FC160D">
        <w:t>, which indicates a</w:t>
      </w:r>
      <w:r w:rsidR="00DF74E6">
        <w:t>n</w:t>
      </w:r>
      <w:r w:rsidRPr="00FC160D">
        <w:t xml:space="preserve"> </w:t>
      </w:r>
      <w:r w:rsidR="00DF74E6">
        <w:t>in</w:t>
      </w:r>
      <w:r>
        <w:t>crease</w:t>
      </w:r>
      <w:r w:rsidRPr="00FC160D">
        <w:t xml:space="preserve"> </w:t>
      </w:r>
      <w:r w:rsidR="00B42AE4">
        <w:t>of</w:t>
      </w:r>
      <w:r w:rsidRPr="00FC160D">
        <w:t xml:space="preserve"> </w:t>
      </w:r>
      <w:r w:rsidR="00DF74E6">
        <w:t>1.18</w:t>
      </w:r>
      <w:r w:rsidRPr="00FC160D">
        <w:t>% compared with the</w:t>
      </w:r>
      <w:r>
        <w:t xml:space="preserve"> </w:t>
      </w:r>
      <w:r w:rsidR="00DF74E6">
        <w:t>Second</w:t>
      </w:r>
      <w:r w:rsidR="000A3D33">
        <w:t xml:space="preserve"> </w:t>
      </w:r>
      <w:r w:rsidRPr="00FC160D">
        <w:t xml:space="preserve">quarter </w:t>
      </w:r>
      <w:r w:rsidR="00936FAF">
        <w:t>2019</w:t>
      </w:r>
      <w:r w:rsidRPr="00FC160D">
        <w:t xml:space="preserve">. </w:t>
      </w:r>
    </w:p>
    <w:p w:rsidR="007119C4" w:rsidRDefault="007119C4" w:rsidP="0059251C">
      <w:pPr>
        <w:pStyle w:val="BodyText2"/>
        <w:bidi w:val="0"/>
        <w:spacing w:after="0" w:line="240" w:lineRule="auto"/>
        <w:jc w:val="both"/>
        <w:outlineLvl w:val="0"/>
      </w:pPr>
    </w:p>
    <w:p w:rsidR="0059251C" w:rsidRPr="00FC160D" w:rsidRDefault="0059251C" w:rsidP="00DF74E6">
      <w:pPr>
        <w:pStyle w:val="BodyText2"/>
        <w:bidi w:val="0"/>
        <w:spacing w:after="0" w:line="240" w:lineRule="auto"/>
        <w:jc w:val="both"/>
        <w:outlineLvl w:val="0"/>
      </w:pPr>
      <w:r w:rsidRPr="00FC160D">
        <w:t>WPI for imported products (2007</w:t>
      </w:r>
      <w:r>
        <w:t xml:space="preserve"> </w:t>
      </w:r>
      <w:r w:rsidRPr="00FC160D">
        <w:t>=</w:t>
      </w:r>
      <w:r>
        <w:t xml:space="preserve"> </w:t>
      </w:r>
      <w:r w:rsidRPr="00FC160D">
        <w:t xml:space="preserve">100) reached </w:t>
      </w:r>
      <w:r w:rsidR="00DF74E6">
        <w:t>122.25</w:t>
      </w:r>
      <w:r w:rsidRPr="00FC160D">
        <w:t xml:space="preserve"> in the </w:t>
      </w:r>
      <w:r w:rsidR="00DF74E6">
        <w:t>Third</w:t>
      </w:r>
      <w:r>
        <w:t xml:space="preserve"> </w:t>
      </w:r>
      <w:r w:rsidRPr="00FC160D">
        <w:t xml:space="preserve">quarter </w:t>
      </w:r>
      <w:r w:rsidR="000A3D33">
        <w:t>2019</w:t>
      </w:r>
      <w:r w:rsidRPr="00FC160D">
        <w:t xml:space="preserve">, which indicates </w:t>
      </w:r>
      <w:r w:rsidR="000441A2">
        <w:t>a</w:t>
      </w:r>
      <w:r w:rsidR="00DF74E6">
        <w:t>n</w:t>
      </w:r>
      <w:r>
        <w:t xml:space="preserve"> </w:t>
      </w:r>
      <w:r w:rsidR="00DF74E6">
        <w:t>in</w:t>
      </w:r>
      <w:r>
        <w:t>crease</w:t>
      </w:r>
      <w:r w:rsidRPr="00FC160D">
        <w:t xml:space="preserve"> </w:t>
      </w:r>
      <w:r w:rsidR="00B42AE4">
        <w:t>of</w:t>
      </w:r>
      <w:r w:rsidRPr="00FC160D">
        <w:t xml:space="preserve"> </w:t>
      </w:r>
      <w:r w:rsidR="00DF74E6">
        <w:t>0.52</w:t>
      </w:r>
      <w:r w:rsidRPr="00FC160D">
        <w:t xml:space="preserve">% compared with the </w:t>
      </w:r>
      <w:r w:rsidR="00DF74E6">
        <w:t>Second</w:t>
      </w:r>
      <w:r w:rsidRPr="00FC160D">
        <w:t xml:space="preserve"> quarter </w:t>
      </w:r>
      <w:r w:rsidR="00936FAF">
        <w:t>2019</w:t>
      </w:r>
      <w:r w:rsidRPr="00FC160D">
        <w:t>.</w:t>
      </w:r>
    </w:p>
    <w:p w:rsidR="00677C79" w:rsidRDefault="00677C79" w:rsidP="00F21834">
      <w:pPr>
        <w:autoSpaceDE w:val="0"/>
        <w:autoSpaceDN w:val="0"/>
        <w:bidi w:val="0"/>
        <w:adjustRightInd w:val="0"/>
        <w:jc w:val="center"/>
        <w:rPr>
          <w:snapToGrid w:val="0"/>
        </w:rPr>
      </w:pPr>
    </w:p>
    <w:p w:rsidR="00647C1C" w:rsidRPr="00F21834" w:rsidRDefault="006507EC" w:rsidP="00F21834">
      <w:pPr>
        <w:autoSpaceDE w:val="0"/>
        <w:autoSpaceDN w:val="0"/>
        <w:bidi w:val="0"/>
        <w:adjustRightInd w:val="0"/>
        <w:jc w:val="center"/>
        <w:rPr>
          <w:b/>
          <w:bCs/>
          <w:sz w:val="26"/>
          <w:szCs w:val="26"/>
        </w:rPr>
      </w:pPr>
      <w:r w:rsidRPr="00F21834">
        <w:rPr>
          <w:b/>
          <w:bCs/>
          <w:snapToGrid w:val="0"/>
          <w:sz w:val="26"/>
          <w:szCs w:val="26"/>
        </w:rPr>
        <w:t>The t</w:t>
      </w:r>
      <w:r w:rsidR="0066695A" w:rsidRPr="00F21834">
        <w:rPr>
          <w:b/>
          <w:bCs/>
          <w:snapToGrid w:val="0"/>
          <w:sz w:val="26"/>
          <w:szCs w:val="26"/>
        </w:rPr>
        <w:t>able shows the relative share and the quarterly percent changes in WPI by major activities in Palestine for</w:t>
      </w:r>
      <w:r w:rsidR="000E048A" w:rsidRPr="00F21834">
        <w:rPr>
          <w:rFonts w:cs="Simplified Arabic"/>
          <w:b/>
          <w:bCs/>
          <w:snapToGrid w:val="0"/>
          <w:sz w:val="26"/>
          <w:szCs w:val="26"/>
        </w:rPr>
        <w:t xml:space="preserve"> the period</w:t>
      </w:r>
      <w:r w:rsidR="00AF79AE" w:rsidRPr="00F21834">
        <w:rPr>
          <w:rFonts w:cs="Simplified Arabic"/>
          <w:b/>
          <w:bCs/>
          <w:snapToGrid w:val="0"/>
          <w:sz w:val="26"/>
          <w:szCs w:val="26"/>
        </w:rPr>
        <w:t>:</w:t>
      </w:r>
      <w:r w:rsidR="000A30A5" w:rsidRPr="00F21834">
        <w:rPr>
          <w:b/>
          <w:bCs/>
          <w:snapToGrid w:val="0"/>
          <w:sz w:val="26"/>
          <w:szCs w:val="26"/>
        </w:rPr>
        <w:t xml:space="preserve"> </w:t>
      </w:r>
      <w:r w:rsidR="00DF74E6" w:rsidRPr="00F21834">
        <w:rPr>
          <w:b/>
          <w:bCs/>
          <w:snapToGrid w:val="0"/>
          <w:sz w:val="26"/>
          <w:szCs w:val="26"/>
        </w:rPr>
        <w:t>Fourth</w:t>
      </w:r>
      <w:r w:rsidR="000A3D33" w:rsidRPr="00F21834">
        <w:rPr>
          <w:b/>
          <w:bCs/>
          <w:snapToGrid w:val="0"/>
          <w:sz w:val="26"/>
          <w:szCs w:val="26"/>
        </w:rPr>
        <w:t xml:space="preserve"> </w:t>
      </w:r>
      <w:r w:rsidR="0066695A" w:rsidRPr="00F21834">
        <w:rPr>
          <w:b/>
          <w:bCs/>
          <w:snapToGrid w:val="0"/>
          <w:sz w:val="26"/>
          <w:szCs w:val="26"/>
        </w:rPr>
        <w:t>quarter</w:t>
      </w:r>
      <w:r w:rsidR="000A3D33" w:rsidRPr="00F21834">
        <w:rPr>
          <w:b/>
          <w:bCs/>
          <w:snapToGrid w:val="0"/>
          <w:sz w:val="26"/>
          <w:szCs w:val="26"/>
        </w:rPr>
        <w:t xml:space="preserve"> 2018</w:t>
      </w:r>
      <w:r w:rsidR="0066695A" w:rsidRPr="00F21834">
        <w:rPr>
          <w:b/>
          <w:bCs/>
          <w:snapToGrid w:val="0"/>
          <w:sz w:val="26"/>
          <w:szCs w:val="26"/>
        </w:rPr>
        <w:t xml:space="preserve"> – </w:t>
      </w:r>
      <w:r w:rsidR="00DF74E6" w:rsidRPr="00F21834">
        <w:rPr>
          <w:b/>
          <w:bCs/>
          <w:sz w:val="26"/>
          <w:szCs w:val="26"/>
        </w:rPr>
        <w:t>Third</w:t>
      </w:r>
      <w:r w:rsidR="000A30A5" w:rsidRPr="00F21834">
        <w:rPr>
          <w:b/>
          <w:bCs/>
          <w:sz w:val="26"/>
          <w:szCs w:val="26"/>
        </w:rPr>
        <w:t xml:space="preserve"> </w:t>
      </w:r>
      <w:r w:rsidR="0066695A" w:rsidRPr="00F21834">
        <w:rPr>
          <w:b/>
          <w:bCs/>
          <w:snapToGrid w:val="0"/>
          <w:sz w:val="26"/>
          <w:szCs w:val="26"/>
        </w:rPr>
        <w:t>quarter 201</w:t>
      </w:r>
      <w:r w:rsidR="000A3D33" w:rsidRPr="00F21834">
        <w:rPr>
          <w:b/>
          <w:bCs/>
          <w:snapToGrid w:val="0"/>
          <w:sz w:val="26"/>
          <w:szCs w:val="26"/>
        </w:rPr>
        <w:t>9</w:t>
      </w:r>
    </w:p>
    <w:tbl>
      <w:tblPr>
        <w:tblpPr w:leftFromText="180" w:rightFromText="180" w:vertAnchor="text" w:horzAnchor="margin" w:tblpXSpec="center" w:tblpY="163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027"/>
        <w:gridCol w:w="816"/>
        <w:gridCol w:w="850"/>
        <w:gridCol w:w="851"/>
        <w:gridCol w:w="850"/>
      </w:tblGrid>
      <w:tr w:rsidR="00352CB9" w:rsidRPr="00F21834" w:rsidTr="00F21834">
        <w:trPr>
          <w:trHeight w:val="249"/>
        </w:trPr>
        <w:tc>
          <w:tcPr>
            <w:tcW w:w="1951" w:type="dxa"/>
            <w:vMerge w:val="restart"/>
            <w:vAlign w:val="center"/>
          </w:tcPr>
          <w:p w:rsidR="00352CB9" w:rsidRPr="00F21834" w:rsidRDefault="00352CB9" w:rsidP="00352CB9">
            <w:pPr>
              <w:autoSpaceDE w:val="0"/>
              <w:autoSpaceDN w:val="0"/>
              <w:bidi w:val="0"/>
              <w:adjustRightInd w:val="0"/>
              <w:ind w:right="-116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F21834">
              <w:rPr>
                <w:rFonts w:asciiTheme="majorBidi" w:hAnsiTheme="majorBidi" w:cstheme="majorBidi"/>
                <w:b/>
                <w:bCs/>
                <w:snapToGrid w:val="0"/>
              </w:rPr>
              <w:t>Major Activities</w:t>
            </w:r>
          </w:p>
        </w:tc>
        <w:tc>
          <w:tcPr>
            <w:tcW w:w="1027" w:type="dxa"/>
            <w:vMerge w:val="restart"/>
            <w:vAlign w:val="center"/>
          </w:tcPr>
          <w:p w:rsidR="00352CB9" w:rsidRPr="00F21834" w:rsidRDefault="00352CB9" w:rsidP="00352CB9">
            <w:pPr>
              <w:autoSpaceDE w:val="0"/>
              <w:autoSpaceDN w:val="0"/>
              <w:bidi w:val="0"/>
              <w:adjustRightInd w:val="0"/>
              <w:ind w:left="-100" w:right="-20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F21834">
              <w:rPr>
                <w:rFonts w:asciiTheme="majorBidi" w:hAnsiTheme="majorBidi" w:cstheme="majorBidi"/>
                <w:b/>
                <w:bCs/>
                <w:snapToGrid w:val="0"/>
              </w:rPr>
              <w:t>Relative Share %</w:t>
            </w:r>
          </w:p>
        </w:tc>
        <w:tc>
          <w:tcPr>
            <w:tcW w:w="3367" w:type="dxa"/>
            <w:gridSpan w:val="4"/>
            <w:vAlign w:val="center"/>
          </w:tcPr>
          <w:p w:rsidR="00352CB9" w:rsidRPr="00F21834" w:rsidRDefault="00352CB9" w:rsidP="00352CB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F21834">
              <w:rPr>
                <w:rFonts w:asciiTheme="majorBidi" w:hAnsiTheme="majorBidi" w:cstheme="majorBidi"/>
                <w:b/>
                <w:bCs/>
                <w:snapToGrid w:val="0"/>
              </w:rPr>
              <w:t>Quarterly Percent Change</w:t>
            </w:r>
          </w:p>
        </w:tc>
      </w:tr>
      <w:tr w:rsidR="00DF74E6" w:rsidRPr="00F21834" w:rsidTr="00F21834">
        <w:trPr>
          <w:trHeight w:val="150"/>
        </w:trPr>
        <w:tc>
          <w:tcPr>
            <w:tcW w:w="1951" w:type="dxa"/>
            <w:vMerge/>
            <w:vAlign w:val="center"/>
          </w:tcPr>
          <w:p w:rsidR="00DF74E6" w:rsidRPr="00F21834" w:rsidRDefault="00DF74E6" w:rsidP="00352CB9">
            <w:pPr>
              <w:bidi w:val="0"/>
              <w:ind w:right="-11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27" w:type="dxa"/>
            <w:vMerge/>
            <w:vAlign w:val="center"/>
          </w:tcPr>
          <w:p w:rsidR="00DF74E6" w:rsidRPr="00F21834" w:rsidRDefault="00DF74E6" w:rsidP="00352CB9">
            <w:pPr>
              <w:autoSpaceDE w:val="0"/>
              <w:autoSpaceDN w:val="0"/>
              <w:bidi w:val="0"/>
              <w:adjustRightInd w:val="0"/>
              <w:ind w:left="-10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</w:p>
        </w:tc>
        <w:tc>
          <w:tcPr>
            <w:tcW w:w="816" w:type="dxa"/>
            <w:vAlign w:val="center"/>
          </w:tcPr>
          <w:p w:rsidR="00DF74E6" w:rsidRPr="00F21834" w:rsidRDefault="00DF74E6" w:rsidP="00352CB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F21834">
              <w:rPr>
                <w:rFonts w:asciiTheme="majorBidi" w:hAnsiTheme="majorBidi" w:cstheme="majorBidi"/>
                <w:b/>
                <w:bCs/>
                <w:snapToGrid w:val="0"/>
              </w:rPr>
              <w:t>2018</w:t>
            </w:r>
          </w:p>
        </w:tc>
        <w:tc>
          <w:tcPr>
            <w:tcW w:w="2551" w:type="dxa"/>
            <w:gridSpan w:val="3"/>
            <w:vAlign w:val="center"/>
          </w:tcPr>
          <w:p w:rsidR="00DF74E6" w:rsidRPr="00F21834" w:rsidRDefault="00DF74E6" w:rsidP="00352CB9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F21834">
              <w:rPr>
                <w:rFonts w:asciiTheme="majorBidi" w:hAnsiTheme="majorBidi" w:cstheme="majorBidi"/>
                <w:b/>
                <w:bCs/>
                <w:snapToGrid w:val="0"/>
              </w:rPr>
              <w:t>2019</w:t>
            </w:r>
          </w:p>
        </w:tc>
      </w:tr>
      <w:tr w:rsidR="00DF74E6" w:rsidRPr="00F21834" w:rsidTr="00F21834">
        <w:trPr>
          <w:trHeight w:val="150"/>
        </w:trPr>
        <w:tc>
          <w:tcPr>
            <w:tcW w:w="1951" w:type="dxa"/>
            <w:vMerge/>
            <w:vAlign w:val="center"/>
          </w:tcPr>
          <w:p w:rsidR="00DF74E6" w:rsidRPr="00F21834" w:rsidRDefault="00DF74E6" w:rsidP="00DF74E6">
            <w:pPr>
              <w:bidi w:val="0"/>
              <w:ind w:right="-116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27" w:type="dxa"/>
            <w:vMerge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ind w:left="-10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</w:p>
        </w:tc>
        <w:tc>
          <w:tcPr>
            <w:tcW w:w="816" w:type="dxa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F21834">
              <w:rPr>
                <w:rFonts w:asciiTheme="majorBidi" w:hAnsiTheme="majorBidi" w:cstheme="majorBidi"/>
                <w:b/>
                <w:bCs/>
                <w:snapToGrid w:val="0"/>
              </w:rPr>
              <w:t>Q4</w:t>
            </w:r>
          </w:p>
        </w:tc>
        <w:tc>
          <w:tcPr>
            <w:tcW w:w="850" w:type="dxa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F21834">
              <w:rPr>
                <w:rFonts w:asciiTheme="majorBidi" w:hAnsiTheme="majorBidi" w:cstheme="majorBidi"/>
                <w:b/>
                <w:bCs/>
                <w:snapToGrid w:val="0"/>
              </w:rPr>
              <w:t>Q</w:t>
            </w:r>
            <w:r w:rsidRPr="00F21834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1</w:t>
            </w:r>
          </w:p>
        </w:tc>
        <w:tc>
          <w:tcPr>
            <w:tcW w:w="851" w:type="dxa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F21834">
              <w:rPr>
                <w:rFonts w:asciiTheme="majorBidi" w:hAnsiTheme="majorBidi" w:cstheme="majorBidi"/>
                <w:b/>
                <w:bCs/>
                <w:snapToGrid w:val="0"/>
              </w:rPr>
              <w:t>Q2</w:t>
            </w:r>
          </w:p>
        </w:tc>
        <w:tc>
          <w:tcPr>
            <w:tcW w:w="850" w:type="dxa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F21834">
              <w:rPr>
                <w:rFonts w:asciiTheme="majorBidi" w:hAnsiTheme="majorBidi" w:cstheme="majorBidi"/>
                <w:b/>
                <w:bCs/>
                <w:snapToGrid w:val="0"/>
              </w:rPr>
              <w:t>Q3</w:t>
            </w:r>
          </w:p>
        </w:tc>
      </w:tr>
      <w:tr w:rsidR="00DF74E6" w:rsidRPr="00F21834" w:rsidTr="00F21834">
        <w:trPr>
          <w:trHeight w:val="466"/>
        </w:trPr>
        <w:tc>
          <w:tcPr>
            <w:tcW w:w="1951" w:type="dxa"/>
            <w:vAlign w:val="center"/>
          </w:tcPr>
          <w:p w:rsidR="00DF74E6" w:rsidRPr="00F21834" w:rsidRDefault="00DF74E6" w:rsidP="00DF74E6">
            <w:pPr>
              <w:bidi w:val="0"/>
              <w:ind w:right="-116"/>
              <w:rPr>
                <w:rFonts w:asciiTheme="majorBidi" w:hAnsiTheme="majorBidi" w:cstheme="majorBidi"/>
              </w:rPr>
            </w:pPr>
            <w:r w:rsidRPr="00F21834">
              <w:rPr>
                <w:rFonts w:asciiTheme="majorBidi" w:hAnsiTheme="majorBidi" w:cstheme="majorBidi"/>
              </w:rPr>
              <w:t>Agriculture</w:t>
            </w:r>
          </w:p>
        </w:tc>
        <w:tc>
          <w:tcPr>
            <w:tcW w:w="1027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ind w:left="-100"/>
              <w:jc w:val="right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29.0</w:t>
            </w:r>
          </w:p>
        </w:tc>
        <w:tc>
          <w:tcPr>
            <w:tcW w:w="816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+1.26</w:t>
            </w:r>
          </w:p>
        </w:tc>
        <w:tc>
          <w:tcPr>
            <w:tcW w:w="850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+0.99</w:t>
            </w:r>
          </w:p>
        </w:tc>
        <w:tc>
          <w:tcPr>
            <w:tcW w:w="851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-4.25</w:t>
            </w:r>
          </w:p>
        </w:tc>
        <w:tc>
          <w:tcPr>
            <w:tcW w:w="850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+2.19</w:t>
            </w:r>
          </w:p>
        </w:tc>
      </w:tr>
      <w:tr w:rsidR="00DF74E6" w:rsidRPr="00F21834" w:rsidTr="00F21834">
        <w:trPr>
          <w:trHeight w:val="601"/>
        </w:trPr>
        <w:tc>
          <w:tcPr>
            <w:tcW w:w="1951" w:type="dxa"/>
            <w:vAlign w:val="center"/>
          </w:tcPr>
          <w:p w:rsidR="00DF74E6" w:rsidRPr="00F21834" w:rsidRDefault="00DF74E6" w:rsidP="00DF74E6">
            <w:pPr>
              <w:bidi w:val="0"/>
              <w:ind w:right="-116"/>
              <w:rPr>
                <w:rFonts w:asciiTheme="majorBidi" w:hAnsiTheme="majorBidi" w:cstheme="majorBidi"/>
              </w:rPr>
            </w:pPr>
            <w:r w:rsidRPr="00F21834">
              <w:rPr>
                <w:rFonts w:asciiTheme="majorBidi" w:hAnsiTheme="majorBidi" w:cstheme="majorBidi"/>
              </w:rPr>
              <w:t>Fishing</w:t>
            </w:r>
          </w:p>
        </w:tc>
        <w:tc>
          <w:tcPr>
            <w:tcW w:w="1027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ind w:left="-100"/>
              <w:jc w:val="right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0.10</w:t>
            </w:r>
          </w:p>
        </w:tc>
        <w:tc>
          <w:tcPr>
            <w:tcW w:w="816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-3.02</w:t>
            </w:r>
          </w:p>
        </w:tc>
        <w:tc>
          <w:tcPr>
            <w:tcW w:w="850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+5.10</w:t>
            </w:r>
          </w:p>
        </w:tc>
        <w:tc>
          <w:tcPr>
            <w:tcW w:w="851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+5.05</w:t>
            </w:r>
          </w:p>
        </w:tc>
        <w:tc>
          <w:tcPr>
            <w:tcW w:w="850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+3.55</w:t>
            </w:r>
          </w:p>
        </w:tc>
      </w:tr>
      <w:tr w:rsidR="00DF74E6" w:rsidRPr="00F21834" w:rsidTr="00F21834">
        <w:trPr>
          <w:trHeight w:val="570"/>
        </w:trPr>
        <w:tc>
          <w:tcPr>
            <w:tcW w:w="1951" w:type="dxa"/>
            <w:vAlign w:val="center"/>
          </w:tcPr>
          <w:p w:rsidR="00DF74E6" w:rsidRPr="00F21834" w:rsidRDefault="00DF74E6" w:rsidP="00DF74E6">
            <w:pPr>
              <w:bidi w:val="0"/>
              <w:ind w:right="-116"/>
              <w:rPr>
                <w:rFonts w:asciiTheme="majorBidi" w:hAnsiTheme="majorBidi" w:cstheme="majorBidi"/>
              </w:rPr>
            </w:pPr>
            <w:r w:rsidRPr="00F21834">
              <w:rPr>
                <w:rFonts w:asciiTheme="majorBidi" w:hAnsiTheme="majorBidi" w:cstheme="majorBidi"/>
              </w:rPr>
              <w:t>Mining and quarrying</w:t>
            </w:r>
          </w:p>
        </w:tc>
        <w:tc>
          <w:tcPr>
            <w:tcW w:w="1027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ind w:left="-100"/>
              <w:jc w:val="right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0.90</w:t>
            </w:r>
          </w:p>
        </w:tc>
        <w:tc>
          <w:tcPr>
            <w:tcW w:w="816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+3.60</w:t>
            </w:r>
          </w:p>
        </w:tc>
        <w:tc>
          <w:tcPr>
            <w:tcW w:w="850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+1.09</w:t>
            </w:r>
          </w:p>
        </w:tc>
        <w:tc>
          <w:tcPr>
            <w:tcW w:w="851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+0.88</w:t>
            </w:r>
          </w:p>
        </w:tc>
        <w:tc>
          <w:tcPr>
            <w:tcW w:w="850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+1.47</w:t>
            </w:r>
          </w:p>
        </w:tc>
      </w:tr>
      <w:tr w:rsidR="00DF74E6" w:rsidRPr="00F21834" w:rsidTr="00F21834">
        <w:trPr>
          <w:trHeight w:val="578"/>
        </w:trPr>
        <w:tc>
          <w:tcPr>
            <w:tcW w:w="1951" w:type="dxa"/>
            <w:vAlign w:val="center"/>
          </w:tcPr>
          <w:p w:rsidR="00DF74E6" w:rsidRPr="00F21834" w:rsidRDefault="00DF74E6" w:rsidP="00DF74E6">
            <w:pPr>
              <w:bidi w:val="0"/>
              <w:ind w:right="-116"/>
              <w:rPr>
                <w:rFonts w:asciiTheme="majorBidi" w:hAnsiTheme="majorBidi" w:cstheme="majorBidi"/>
              </w:rPr>
            </w:pPr>
            <w:r w:rsidRPr="00F21834">
              <w:rPr>
                <w:rFonts w:asciiTheme="majorBidi" w:hAnsiTheme="majorBidi" w:cstheme="majorBidi"/>
              </w:rPr>
              <w:t>Manufacturing</w:t>
            </w:r>
          </w:p>
        </w:tc>
        <w:tc>
          <w:tcPr>
            <w:tcW w:w="1027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ind w:left="-100"/>
              <w:jc w:val="right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70.0</w:t>
            </w:r>
          </w:p>
        </w:tc>
        <w:tc>
          <w:tcPr>
            <w:tcW w:w="816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+0.08</w:t>
            </w:r>
          </w:p>
        </w:tc>
        <w:tc>
          <w:tcPr>
            <w:tcW w:w="850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-0.42</w:t>
            </w:r>
          </w:p>
        </w:tc>
        <w:tc>
          <w:tcPr>
            <w:tcW w:w="851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-0.30</w:t>
            </w:r>
          </w:p>
        </w:tc>
        <w:tc>
          <w:tcPr>
            <w:tcW w:w="850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F21834">
              <w:rPr>
                <w:rFonts w:asciiTheme="majorBidi" w:hAnsiTheme="majorBidi" w:cstheme="majorBidi"/>
                <w:snapToGrid w:val="0"/>
              </w:rPr>
              <w:t>+0.33</w:t>
            </w:r>
          </w:p>
        </w:tc>
      </w:tr>
      <w:tr w:rsidR="00DF74E6" w:rsidRPr="00F21834" w:rsidTr="00F21834">
        <w:trPr>
          <w:trHeight w:val="468"/>
        </w:trPr>
        <w:tc>
          <w:tcPr>
            <w:tcW w:w="1951" w:type="dxa"/>
            <w:vAlign w:val="center"/>
          </w:tcPr>
          <w:p w:rsidR="00DF74E6" w:rsidRPr="00F21834" w:rsidRDefault="00DF74E6" w:rsidP="00DF74E6">
            <w:pPr>
              <w:bidi w:val="0"/>
              <w:ind w:right="-116"/>
              <w:rPr>
                <w:rFonts w:asciiTheme="majorBidi" w:hAnsiTheme="majorBidi" w:cstheme="majorBidi"/>
                <w:b/>
                <w:bCs/>
              </w:rPr>
            </w:pPr>
            <w:r w:rsidRPr="00F21834">
              <w:rPr>
                <w:rFonts w:asciiTheme="majorBidi" w:hAnsiTheme="majorBidi" w:cstheme="majorBidi"/>
                <w:b/>
                <w:bCs/>
              </w:rPr>
              <w:t>All Items Price Index</w:t>
            </w:r>
          </w:p>
        </w:tc>
        <w:tc>
          <w:tcPr>
            <w:tcW w:w="1027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ind w:left="-100"/>
              <w:jc w:val="right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F21834">
              <w:rPr>
                <w:rFonts w:asciiTheme="majorBidi" w:hAnsiTheme="majorBidi" w:cstheme="majorBidi"/>
                <w:b/>
                <w:bCs/>
                <w:snapToGrid w:val="0"/>
              </w:rPr>
              <w:t>100</w:t>
            </w:r>
          </w:p>
        </w:tc>
        <w:tc>
          <w:tcPr>
            <w:tcW w:w="816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F21834">
              <w:rPr>
                <w:rFonts w:asciiTheme="majorBidi" w:hAnsiTheme="majorBidi" w:cstheme="majorBidi"/>
                <w:b/>
                <w:bCs/>
                <w:snapToGrid w:val="0"/>
              </w:rPr>
              <w:t>+0.49</w:t>
            </w:r>
          </w:p>
        </w:tc>
        <w:tc>
          <w:tcPr>
            <w:tcW w:w="850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F21834">
              <w:rPr>
                <w:rFonts w:asciiTheme="majorBidi" w:hAnsiTheme="majorBidi" w:cstheme="majorBidi"/>
                <w:b/>
                <w:bCs/>
                <w:snapToGrid w:val="0"/>
              </w:rPr>
              <w:t>+0.06</w:t>
            </w:r>
          </w:p>
        </w:tc>
        <w:tc>
          <w:tcPr>
            <w:tcW w:w="851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F21834">
              <w:rPr>
                <w:rFonts w:asciiTheme="majorBidi" w:hAnsiTheme="majorBidi" w:cstheme="majorBidi"/>
                <w:b/>
                <w:bCs/>
                <w:snapToGrid w:val="0"/>
              </w:rPr>
              <w:t>-1.58</w:t>
            </w:r>
          </w:p>
        </w:tc>
        <w:tc>
          <w:tcPr>
            <w:tcW w:w="850" w:type="dxa"/>
            <w:vAlign w:val="center"/>
          </w:tcPr>
          <w:p w:rsidR="00DF74E6" w:rsidRPr="00F21834" w:rsidRDefault="00DF74E6" w:rsidP="00DF74E6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F21834">
              <w:rPr>
                <w:rFonts w:asciiTheme="majorBidi" w:hAnsiTheme="majorBidi" w:cstheme="majorBidi"/>
                <w:b/>
                <w:bCs/>
                <w:snapToGrid w:val="0"/>
              </w:rPr>
              <w:t>+0.94</w:t>
            </w:r>
          </w:p>
        </w:tc>
      </w:tr>
    </w:tbl>
    <w:p w:rsidR="00352CB9" w:rsidRDefault="00352CB9" w:rsidP="00352CB9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352CB9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0A3D33" w:rsidRDefault="000A3D33" w:rsidP="000A3D33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F21834" w:rsidRDefault="00F21834" w:rsidP="00DF74E6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F21834" w:rsidRDefault="00F21834" w:rsidP="00F21834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F21834" w:rsidRDefault="00F21834" w:rsidP="00F21834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F21834" w:rsidRDefault="00F21834" w:rsidP="00F21834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F21834" w:rsidRPr="00F21834" w:rsidRDefault="00F21834" w:rsidP="00F21834">
      <w:pPr>
        <w:pStyle w:val="BodyText2"/>
        <w:bidi w:val="0"/>
        <w:spacing w:after="0" w:line="240" w:lineRule="auto"/>
        <w:jc w:val="center"/>
        <w:outlineLvl w:val="0"/>
        <w:rPr>
          <w:rFonts w:cs="Simplified Arabic"/>
          <w:b/>
          <w:bCs/>
          <w:snapToGrid w:val="0"/>
          <w:color w:val="000000"/>
        </w:rPr>
      </w:pPr>
    </w:p>
    <w:p w:rsidR="00F21834" w:rsidRPr="00F21834" w:rsidRDefault="00F025C1" w:rsidP="00F21834">
      <w:pPr>
        <w:pStyle w:val="BodyText2"/>
        <w:bidi w:val="0"/>
        <w:spacing w:after="0" w:line="240" w:lineRule="auto"/>
        <w:jc w:val="center"/>
        <w:outlineLvl w:val="0"/>
        <w:rPr>
          <w:b/>
          <w:bCs/>
          <w:kern w:val="36"/>
          <w:sz w:val="26"/>
          <w:szCs w:val="26"/>
        </w:rPr>
      </w:pPr>
      <w:r w:rsidRPr="00F21834">
        <w:rPr>
          <w:rFonts w:cs="Simplified Arabic"/>
          <w:b/>
          <w:bCs/>
          <w:snapToGrid w:val="0"/>
          <w:color w:val="000000"/>
          <w:sz w:val="26"/>
          <w:szCs w:val="26"/>
        </w:rPr>
        <w:t>The trend line of</w:t>
      </w:r>
      <w:r w:rsidRPr="00F21834">
        <w:rPr>
          <w:b/>
          <w:bCs/>
          <w:sz w:val="26"/>
          <w:szCs w:val="26"/>
        </w:rPr>
        <w:t xml:space="preserve"> </w:t>
      </w:r>
      <w:r w:rsidR="0066695A" w:rsidRPr="00F21834">
        <w:rPr>
          <w:b/>
          <w:bCs/>
          <w:sz w:val="26"/>
          <w:szCs w:val="26"/>
        </w:rPr>
        <w:t>Wholesale Price Index in Palestine for the</w:t>
      </w:r>
      <w:r w:rsidRPr="00F21834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 period:</w:t>
      </w:r>
    </w:p>
    <w:p w:rsidR="0066695A" w:rsidRPr="00F21834" w:rsidRDefault="00DF74E6" w:rsidP="00F21834">
      <w:pPr>
        <w:pStyle w:val="BodyText2"/>
        <w:bidi w:val="0"/>
        <w:spacing w:after="0" w:line="240" w:lineRule="auto"/>
        <w:jc w:val="center"/>
        <w:outlineLvl w:val="0"/>
        <w:rPr>
          <w:sz w:val="26"/>
          <w:szCs w:val="26"/>
        </w:rPr>
      </w:pPr>
      <w:r w:rsidRPr="00F21834">
        <w:rPr>
          <w:b/>
          <w:bCs/>
          <w:kern w:val="36"/>
          <w:sz w:val="26"/>
          <w:szCs w:val="26"/>
        </w:rPr>
        <w:t>Third</w:t>
      </w:r>
      <w:r w:rsidR="00352CB9" w:rsidRPr="00F21834">
        <w:rPr>
          <w:b/>
          <w:bCs/>
          <w:kern w:val="36"/>
          <w:sz w:val="26"/>
          <w:szCs w:val="26"/>
        </w:rPr>
        <w:t xml:space="preserve"> </w:t>
      </w:r>
      <w:r w:rsidR="0066695A" w:rsidRPr="00F21834">
        <w:rPr>
          <w:b/>
          <w:bCs/>
          <w:sz w:val="26"/>
          <w:szCs w:val="26"/>
        </w:rPr>
        <w:t xml:space="preserve">quarter </w:t>
      </w:r>
      <w:r w:rsidR="000A3D33" w:rsidRPr="00F21834">
        <w:rPr>
          <w:b/>
          <w:bCs/>
          <w:sz w:val="26"/>
          <w:szCs w:val="26"/>
        </w:rPr>
        <w:t>2017</w:t>
      </w:r>
      <w:r w:rsidR="0066695A" w:rsidRPr="00F21834">
        <w:rPr>
          <w:b/>
          <w:bCs/>
          <w:sz w:val="26"/>
          <w:szCs w:val="26"/>
        </w:rPr>
        <w:t xml:space="preserve"> –</w:t>
      </w:r>
      <w:r w:rsidR="0066695A" w:rsidRPr="00F21834">
        <w:rPr>
          <w:b/>
          <w:bCs/>
          <w:color w:val="000000"/>
          <w:sz w:val="26"/>
          <w:szCs w:val="26"/>
        </w:rPr>
        <w:t xml:space="preserve"> </w:t>
      </w:r>
      <w:r w:rsidRPr="00F21834">
        <w:rPr>
          <w:b/>
          <w:bCs/>
          <w:kern w:val="36"/>
          <w:sz w:val="26"/>
          <w:szCs w:val="26"/>
        </w:rPr>
        <w:t>Third</w:t>
      </w:r>
      <w:r w:rsidR="0066695A" w:rsidRPr="00F21834">
        <w:rPr>
          <w:b/>
          <w:bCs/>
          <w:kern w:val="36"/>
          <w:sz w:val="26"/>
          <w:szCs w:val="26"/>
        </w:rPr>
        <w:t xml:space="preserve"> </w:t>
      </w:r>
      <w:r w:rsidR="0066695A" w:rsidRPr="00F21834">
        <w:rPr>
          <w:b/>
          <w:bCs/>
          <w:color w:val="000000"/>
          <w:sz w:val="26"/>
          <w:szCs w:val="26"/>
        </w:rPr>
        <w:t xml:space="preserve">quarter </w:t>
      </w:r>
      <w:r w:rsidR="002D75BC" w:rsidRPr="00F21834">
        <w:rPr>
          <w:b/>
          <w:bCs/>
          <w:color w:val="000000"/>
          <w:sz w:val="26"/>
          <w:szCs w:val="26"/>
        </w:rPr>
        <w:t>2019</w:t>
      </w:r>
      <w:r w:rsidR="00F21834" w:rsidRPr="00F21834">
        <w:rPr>
          <w:b/>
          <w:bCs/>
          <w:color w:val="000000"/>
          <w:sz w:val="26"/>
          <w:szCs w:val="26"/>
        </w:rPr>
        <w:t xml:space="preserve"> </w:t>
      </w:r>
      <w:r w:rsidR="0066695A" w:rsidRPr="00F21834">
        <w:rPr>
          <w:b/>
          <w:bCs/>
          <w:sz w:val="26"/>
          <w:szCs w:val="26"/>
        </w:rPr>
        <w:t>(Base year 2007</w:t>
      </w:r>
      <w:r w:rsidR="00647C1C" w:rsidRPr="00F21834">
        <w:rPr>
          <w:b/>
          <w:bCs/>
          <w:sz w:val="26"/>
          <w:szCs w:val="26"/>
        </w:rPr>
        <w:t xml:space="preserve"> </w:t>
      </w:r>
      <w:r w:rsidR="0066695A" w:rsidRPr="00F21834">
        <w:rPr>
          <w:b/>
          <w:bCs/>
          <w:sz w:val="26"/>
          <w:szCs w:val="26"/>
        </w:rPr>
        <w:t>=</w:t>
      </w:r>
      <w:r w:rsidR="00647C1C" w:rsidRPr="00F21834">
        <w:rPr>
          <w:b/>
          <w:bCs/>
          <w:sz w:val="26"/>
          <w:szCs w:val="26"/>
        </w:rPr>
        <w:t xml:space="preserve"> </w:t>
      </w:r>
      <w:r w:rsidR="0066695A" w:rsidRPr="00F21834">
        <w:rPr>
          <w:b/>
          <w:bCs/>
          <w:sz w:val="26"/>
          <w:szCs w:val="26"/>
        </w:rPr>
        <w:t>100)</w:t>
      </w:r>
    </w:p>
    <w:p w:rsidR="0066695A" w:rsidRPr="006E028D" w:rsidRDefault="0066695A" w:rsidP="0066695A">
      <w:pPr>
        <w:bidi w:val="0"/>
        <w:jc w:val="center"/>
        <w:rPr>
          <w:b/>
          <w:bCs/>
          <w:sz w:val="10"/>
          <w:szCs w:val="10"/>
        </w:rPr>
      </w:pPr>
    </w:p>
    <w:tbl>
      <w:tblPr>
        <w:tblW w:w="0" w:type="auto"/>
        <w:jc w:val="center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21"/>
      </w:tblGrid>
      <w:tr w:rsidR="0066695A" w:rsidTr="0066695A">
        <w:trPr>
          <w:jc w:val="center"/>
        </w:trPr>
        <w:tc>
          <w:tcPr>
            <w:tcW w:w="4517" w:type="dxa"/>
          </w:tcPr>
          <w:p w:rsidR="0066695A" w:rsidRPr="0066695A" w:rsidRDefault="00A7058B" w:rsidP="0066695A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3495675" cy="2638425"/>
                  <wp:effectExtent l="0" t="0" r="0" b="0"/>
                  <wp:docPr id="2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66695A" w:rsidRPr="00FC160D" w:rsidRDefault="0066695A" w:rsidP="0066695A">
      <w:pPr>
        <w:bidi w:val="0"/>
        <w:jc w:val="center"/>
        <w:rPr>
          <w:b/>
          <w:bCs/>
        </w:rPr>
      </w:pPr>
    </w:p>
    <w:sectPr w:rsidR="0066695A" w:rsidRPr="00FC160D" w:rsidSect="00F21834">
      <w:footerReference w:type="even" r:id="rId9"/>
      <w:pgSz w:w="11907" w:h="16840" w:code="9"/>
      <w:pgMar w:top="720" w:right="720" w:bottom="720" w:left="720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750" w:rsidRDefault="007C4750">
      <w:r>
        <w:separator/>
      </w:r>
    </w:p>
  </w:endnote>
  <w:endnote w:type="continuationSeparator" w:id="0">
    <w:p w:rsidR="007C4750" w:rsidRDefault="007C4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FAF" w:rsidRDefault="00C937B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936FA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36FAF" w:rsidRDefault="00936FAF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750" w:rsidRDefault="007C4750">
      <w:r>
        <w:separator/>
      </w:r>
    </w:p>
  </w:footnote>
  <w:footnote w:type="continuationSeparator" w:id="0">
    <w:p w:rsidR="007C4750" w:rsidRDefault="007C47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6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7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A02AF4"/>
    <w:rsid w:val="00001E72"/>
    <w:rsid w:val="00022588"/>
    <w:rsid w:val="00023129"/>
    <w:rsid w:val="000316D4"/>
    <w:rsid w:val="00044088"/>
    <w:rsid w:val="000441A2"/>
    <w:rsid w:val="000532E1"/>
    <w:rsid w:val="000552B4"/>
    <w:rsid w:val="000558DB"/>
    <w:rsid w:val="00071BAF"/>
    <w:rsid w:val="000A1722"/>
    <w:rsid w:val="000A1ACF"/>
    <w:rsid w:val="000A2857"/>
    <w:rsid w:val="000A30A5"/>
    <w:rsid w:val="000A3D33"/>
    <w:rsid w:val="000A51D9"/>
    <w:rsid w:val="000C1419"/>
    <w:rsid w:val="000C3AE6"/>
    <w:rsid w:val="000D024B"/>
    <w:rsid w:val="000D7571"/>
    <w:rsid w:val="000E048A"/>
    <w:rsid w:val="000E598A"/>
    <w:rsid w:val="001029BD"/>
    <w:rsid w:val="00106E0B"/>
    <w:rsid w:val="00136DB1"/>
    <w:rsid w:val="001379BC"/>
    <w:rsid w:val="0014206B"/>
    <w:rsid w:val="0014223D"/>
    <w:rsid w:val="001428B9"/>
    <w:rsid w:val="00142D88"/>
    <w:rsid w:val="001478C7"/>
    <w:rsid w:val="00150DB4"/>
    <w:rsid w:val="00151951"/>
    <w:rsid w:val="00157CB8"/>
    <w:rsid w:val="00164632"/>
    <w:rsid w:val="00170995"/>
    <w:rsid w:val="00174D07"/>
    <w:rsid w:val="001824FA"/>
    <w:rsid w:val="00193C65"/>
    <w:rsid w:val="001C1467"/>
    <w:rsid w:val="001D4610"/>
    <w:rsid w:val="001E67F1"/>
    <w:rsid w:val="001F59E1"/>
    <w:rsid w:val="001F5CA4"/>
    <w:rsid w:val="00234FC5"/>
    <w:rsid w:val="00246756"/>
    <w:rsid w:val="002475A7"/>
    <w:rsid w:val="002475D5"/>
    <w:rsid w:val="00273F97"/>
    <w:rsid w:val="00280B2F"/>
    <w:rsid w:val="002A65DC"/>
    <w:rsid w:val="002A76E9"/>
    <w:rsid w:val="002B3917"/>
    <w:rsid w:val="002B6CC4"/>
    <w:rsid w:val="002C1E7D"/>
    <w:rsid w:val="002C3FFF"/>
    <w:rsid w:val="002D247B"/>
    <w:rsid w:val="002D75BC"/>
    <w:rsid w:val="002D7C8B"/>
    <w:rsid w:val="002F099B"/>
    <w:rsid w:val="002F458F"/>
    <w:rsid w:val="002F652D"/>
    <w:rsid w:val="002F7973"/>
    <w:rsid w:val="00311BBA"/>
    <w:rsid w:val="00313E31"/>
    <w:rsid w:val="00333192"/>
    <w:rsid w:val="0033494D"/>
    <w:rsid w:val="00352CB9"/>
    <w:rsid w:val="0035475C"/>
    <w:rsid w:val="00357C0F"/>
    <w:rsid w:val="00362C56"/>
    <w:rsid w:val="0036330D"/>
    <w:rsid w:val="00373227"/>
    <w:rsid w:val="00373482"/>
    <w:rsid w:val="0038789F"/>
    <w:rsid w:val="003D1122"/>
    <w:rsid w:val="003D6B61"/>
    <w:rsid w:val="003F72A5"/>
    <w:rsid w:val="004011F9"/>
    <w:rsid w:val="00404AE1"/>
    <w:rsid w:val="00407964"/>
    <w:rsid w:val="00442803"/>
    <w:rsid w:val="00470F79"/>
    <w:rsid w:val="004736AF"/>
    <w:rsid w:val="004814A7"/>
    <w:rsid w:val="004B0471"/>
    <w:rsid w:val="004B49B8"/>
    <w:rsid w:val="004C0ABD"/>
    <w:rsid w:val="004D3224"/>
    <w:rsid w:val="004D7E42"/>
    <w:rsid w:val="004E07C4"/>
    <w:rsid w:val="004E3DE8"/>
    <w:rsid w:val="004F25F7"/>
    <w:rsid w:val="004F37AD"/>
    <w:rsid w:val="00512ADF"/>
    <w:rsid w:val="005222C8"/>
    <w:rsid w:val="005300FD"/>
    <w:rsid w:val="0054079E"/>
    <w:rsid w:val="00546DEB"/>
    <w:rsid w:val="00550823"/>
    <w:rsid w:val="00560859"/>
    <w:rsid w:val="00560D95"/>
    <w:rsid w:val="00566005"/>
    <w:rsid w:val="005843A5"/>
    <w:rsid w:val="0059251C"/>
    <w:rsid w:val="00592F97"/>
    <w:rsid w:val="005A114A"/>
    <w:rsid w:val="005A5C14"/>
    <w:rsid w:val="005B0328"/>
    <w:rsid w:val="005B5BA2"/>
    <w:rsid w:val="005C2E3B"/>
    <w:rsid w:val="005C4EA7"/>
    <w:rsid w:val="005D0603"/>
    <w:rsid w:val="005D4495"/>
    <w:rsid w:val="005E333C"/>
    <w:rsid w:val="005F3E9F"/>
    <w:rsid w:val="0061046E"/>
    <w:rsid w:val="006123B9"/>
    <w:rsid w:val="00635C53"/>
    <w:rsid w:val="00640614"/>
    <w:rsid w:val="00647C1C"/>
    <w:rsid w:val="006507EC"/>
    <w:rsid w:val="0066695A"/>
    <w:rsid w:val="00674358"/>
    <w:rsid w:val="00677C79"/>
    <w:rsid w:val="00683D28"/>
    <w:rsid w:val="0068763B"/>
    <w:rsid w:val="006A06A0"/>
    <w:rsid w:val="006A1F74"/>
    <w:rsid w:val="006B020E"/>
    <w:rsid w:val="006B68B2"/>
    <w:rsid w:val="006C41F9"/>
    <w:rsid w:val="006E16EE"/>
    <w:rsid w:val="006E2866"/>
    <w:rsid w:val="006E3F38"/>
    <w:rsid w:val="006E5FF4"/>
    <w:rsid w:val="007119C4"/>
    <w:rsid w:val="0071595E"/>
    <w:rsid w:val="00715D0B"/>
    <w:rsid w:val="00716266"/>
    <w:rsid w:val="00745238"/>
    <w:rsid w:val="00745348"/>
    <w:rsid w:val="00765914"/>
    <w:rsid w:val="00772474"/>
    <w:rsid w:val="007731A1"/>
    <w:rsid w:val="007777B6"/>
    <w:rsid w:val="0078417A"/>
    <w:rsid w:val="007A3645"/>
    <w:rsid w:val="007A755D"/>
    <w:rsid w:val="007B0572"/>
    <w:rsid w:val="007B172F"/>
    <w:rsid w:val="007B1FA4"/>
    <w:rsid w:val="007B263A"/>
    <w:rsid w:val="007B4844"/>
    <w:rsid w:val="007C4750"/>
    <w:rsid w:val="007C4F6A"/>
    <w:rsid w:val="007D4D26"/>
    <w:rsid w:val="007E0B36"/>
    <w:rsid w:val="007E27D1"/>
    <w:rsid w:val="007F16E0"/>
    <w:rsid w:val="00810B7C"/>
    <w:rsid w:val="0081177A"/>
    <w:rsid w:val="00821889"/>
    <w:rsid w:val="00826129"/>
    <w:rsid w:val="00832305"/>
    <w:rsid w:val="0084434B"/>
    <w:rsid w:val="008525E4"/>
    <w:rsid w:val="00872DE9"/>
    <w:rsid w:val="00874B95"/>
    <w:rsid w:val="00883471"/>
    <w:rsid w:val="0088607C"/>
    <w:rsid w:val="00886755"/>
    <w:rsid w:val="008910DB"/>
    <w:rsid w:val="00893BE2"/>
    <w:rsid w:val="008977EC"/>
    <w:rsid w:val="008A3271"/>
    <w:rsid w:val="008A39D5"/>
    <w:rsid w:val="008C0D06"/>
    <w:rsid w:val="008D65BD"/>
    <w:rsid w:val="008E7801"/>
    <w:rsid w:val="008F0503"/>
    <w:rsid w:val="008F4D65"/>
    <w:rsid w:val="008F5B10"/>
    <w:rsid w:val="009100FC"/>
    <w:rsid w:val="0091203F"/>
    <w:rsid w:val="00916C4F"/>
    <w:rsid w:val="00922430"/>
    <w:rsid w:val="0092572E"/>
    <w:rsid w:val="00936FAF"/>
    <w:rsid w:val="009542BB"/>
    <w:rsid w:val="009577D1"/>
    <w:rsid w:val="0097781A"/>
    <w:rsid w:val="009863E0"/>
    <w:rsid w:val="009923B4"/>
    <w:rsid w:val="00994EFC"/>
    <w:rsid w:val="009A333D"/>
    <w:rsid w:val="009B4D64"/>
    <w:rsid w:val="009B6ECF"/>
    <w:rsid w:val="009C2C1A"/>
    <w:rsid w:val="009D415E"/>
    <w:rsid w:val="009E6723"/>
    <w:rsid w:val="00A012EE"/>
    <w:rsid w:val="00A02AF4"/>
    <w:rsid w:val="00A16347"/>
    <w:rsid w:val="00A25696"/>
    <w:rsid w:val="00A4532A"/>
    <w:rsid w:val="00A474FA"/>
    <w:rsid w:val="00A53F74"/>
    <w:rsid w:val="00A56B0C"/>
    <w:rsid w:val="00A57B14"/>
    <w:rsid w:val="00A62B39"/>
    <w:rsid w:val="00A673F4"/>
    <w:rsid w:val="00A7058B"/>
    <w:rsid w:val="00AB6BEB"/>
    <w:rsid w:val="00AC24DE"/>
    <w:rsid w:val="00AD2168"/>
    <w:rsid w:val="00AE0AD8"/>
    <w:rsid w:val="00AE5C36"/>
    <w:rsid w:val="00AF0903"/>
    <w:rsid w:val="00AF09FD"/>
    <w:rsid w:val="00AF79AE"/>
    <w:rsid w:val="00B0477A"/>
    <w:rsid w:val="00B14AD0"/>
    <w:rsid w:val="00B17989"/>
    <w:rsid w:val="00B2014B"/>
    <w:rsid w:val="00B2222D"/>
    <w:rsid w:val="00B3118E"/>
    <w:rsid w:val="00B3350A"/>
    <w:rsid w:val="00B42AE4"/>
    <w:rsid w:val="00B431EF"/>
    <w:rsid w:val="00B47964"/>
    <w:rsid w:val="00B53AC0"/>
    <w:rsid w:val="00B54B84"/>
    <w:rsid w:val="00B62228"/>
    <w:rsid w:val="00B655D0"/>
    <w:rsid w:val="00B72010"/>
    <w:rsid w:val="00B85188"/>
    <w:rsid w:val="00B95019"/>
    <w:rsid w:val="00BA1B13"/>
    <w:rsid w:val="00BA7D9E"/>
    <w:rsid w:val="00BC4555"/>
    <w:rsid w:val="00C270A0"/>
    <w:rsid w:val="00C614BD"/>
    <w:rsid w:val="00C61DC3"/>
    <w:rsid w:val="00C64AD5"/>
    <w:rsid w:val="00C772F0"/>
    <w:rsid w:val="00C867F9"/>
    <w:rsid w:val="00C927C2"/>
    <w:rsid w:val="00C937B5"/>
    <w:rsid w:val="00CA4E4B"/>
    <w:rsid w:val="00CB5EB3"/>
    <w:rsid w:val="00CB6736"/>
    <w:rsid w:val="00CC14ED"/>
    <w:rsid w:val="00CC5158"/>
    <w:rsid w:val="00CE3A28"/>
    <w:rsid w:val="00CF1492"/>
    <w:rsid w:val="00D01A77"/>
    <w:rsid w:val="00D0313C"/>
    <w:rsid w:val="00D105A2"/>
    <w:rsid w:val="00D30D24"/>
    <w:rsid w:val="00D46644"/>
    <w:rsid w:val="00D475D8"/>
    <w:rsid w:val="00D61698"/>
    <w:rsid w:val="00D61D77"/>
    <w:rsid w:val="00D740E4"/>
    <w:rsid w:val="00D74755"/>
    <w:rsid w:val="00D91609"/>
    <w:rsid w:val="00D96C82"/>
    <w:rsid w:val="00DA3836"/>
    <w:rsid w:val="00DA68E3"/>
    <w:rsid w:val="00DB0789"/>
    <w:rsid w:val="00DB58BB"/>
    <w:rsid w:val="00DB7419"/>
    <w:rsid w:val="00DC1260"/>
    <w:rsid w:val="00DC141E"/>
    <w:rsid w:val="00DD3467"/>
    <w:rsid w:val="00DD39CD"/>
    <w:rsid w:val="00DD7595"/>
    <w:rsid w:val="00DE2FE2"/>
    <w:rsid w:val="00DF74E6"/>
    <w:rsid w:val="00E073D7"/>
    <w:rsid w:val="00E24833"/>
    <w:rsid w:val="00E64FD0"/>
    <w:rsid w:val="00E66062"/>
    <w:rsid w:val="00E75999"/>
    <w:rsid w:val="00E80E52"/>
    <w:rsid w:val="00E8416D"/>
    <w:rsid w:val="00E84557"/>
    <w:rsid w:val="00E9284F"/>
    <w:rsid w:val="00EA09BA"/>
    <w:rsid w:val="00EB67CF"/>
    <w:rsid w:val="00EB7DA6"/>
    <w:rsid w:val="00EC36EB"/>
    <w:rsid w:val="00EC3EC4"/>
    <w:rsid w:val="00EC5A53"/>
    <w:rsid w:val="00ED16E5"/>
    <w:rsid w:val="00EE0DE6"/>
    <w:rsid w:val="00EE6469"/>
    <w:rsid w:val="00EF106E"/>
    <w:rsid w:val="00EF39ED"/>
    <w:rsid w:val="00F025C1"/>
    <w:rsid w:val="00F10899"/>
    <w:rsid w:val="00F108B4"/>
    <w:rsid w:val="00F14895"/>
    <w:rsid w:val="00F21834"/>
    <w:rsid w:val="00F46874"/>
    <w:rsid w:val="00F53CA2"/>
    <w:rsid w:val="00F56B9E"/>
    <w:rsid w:val="00F61BC3"/>
    <w:rsid w:val="00F7525D"/>
    <w:rsid w:val="00F75BB5"/>
    <w:rsid w:val="00F77596"/>
    <w:rsid w:val="00F83D05"/>
    <w:rsid w:val="00F84185"/>
    <w:rsid w:val="00FC48A3"/>
    <w:rsid w:val="00FF4B57"/>
    <w:rsid w:val="00FF6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8525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8525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8525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8525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8525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525E4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8525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8525E4"/>
    <w:rPr>
      <w:vertAlign w:val="superscript"/>
    </w:rPr>
  </w:style>
  <w:style w:type="paragraph" w:styleId="BodyText">
    <w:name w:val="Body Text"/>
    <w:basedOn w:val="Normal"/>
    <w:semiHidden/>
    <w:rsid w:val="008525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8525E4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8525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8525E4"/>
  </w:style>
  <w:style w:type="paragraph" w:styleId="BodyText2">
    <w:name w:val="Body Text 2"/>
    <w:basedOn w:val="Normal"/>
    <w:unhideWhenUsed/>
    <w:rsid w:val="008525E4"/>
    <w:pPr>
      <w:spacing w:after="120" w:line="480" w:lineRule="auto"/>
    </w:pPr>
  </w:style>
  <w:style w:type="character" w:customStyle="1" w:styleId="BodyText2Char">
    <w:name w:val="Body Text 2 Char"/>
    <w:rsid w:val="008525E4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8525E4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8525E4"/>
    <w:rPr>
      <w:sz w:val="16"/>
      <w:szCs w:val="16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7964"/>
    <w:rPr>
      <w:sz w:val="20"/>
      <w:szCs w:val="20"/>
    </w:rPr>
  </w:style>
  <w:style w:type="character" w:customStyle="1" w:styleId="HeaderChar">
    <w:name w:val="Header Char"/>
    <w:semiHidden/>
    <w:rsid w:val="008525E4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852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8525E4"/>
    <w:rPr>
      <w:rFonts w:ascii="Tahoma" w:hAnsi="Tahoma" w:cs="Tahoma"/>
      <w:sz w:val="16"/>
      <w:szCs w:val="16"/>
      <w:lang w:eastAsia="ar-SA"/>
    </w:rPr>
  </w:style>
  <w:style w:type="character" w:customStyle="1" w:styleId="EndnoteTextChar">
    <w:name w:val="Endnote Text Char"/>
    <w:link w:val="EndnoteText"/>
    <w:uiPriority w:val="99"/>
    <w:semiHidden/>
    <w:rsid w:val="00B47964"/>
    <w:rPr>
      <w:lang w:eastAsia="ar-SA"/>
    </w:rPr>
  </w:style>
  <w:style w:type="character" w:styleId="EndnoteReference">
    <w:name w:val="endnote reference"/>
    <w:uiPriority w:val="99"/>
    <w:semiHidden/>
    <w:unhideWhenUsed/>
    <w:rsid w:val="00B4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07964"/>
    <w:rPr>
      <w:color w:val="0000FF"/>
      <w:u w:val="single"/>
    </w:rPr>
  </w:style>
  <w:style w:type="table" w:styleId="TableGrid">
    <w:name w:val="Table Grid"/>
    <w:basedOn w:val="TableNormal"/>
    <w:uiPriority w:val="39"/>
    <w:rsid w:val="002B6C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2321229630468875"/>
          <c:y val="5.5000000000000132E-2"/>
          <c:w val="0.71791461319133665"/>
          <c:h val="0.61634623010253264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Price Index</c:v>
                </c:pt>
              </c:strCache>
            </c:strRef>
          </c:tx>
          <c:spPr>
            <a:ln w="10736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9061633253290229E-2"/>
                  <c:y val="-6.0720895943783965E-2"/>
                </c:manualLayout>
              </c:layout>
              <c:spPr/>
              <c:txPr>
                <a:bodyPr/>
                <a:lstStyle/>
                <a:p>
                  <a:pPr>
                    <a:defRPr sz="761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8"/>
              <c:layout>
                <c:manualLayout>
                  <c:x val="-1.9173135272984517E-4"/>
                  <c:y val="5.2127866486808692E-2"/>
                </c:manualLayout>
              </c:layout>
              <c:spPr/>
              <c:txPr>
                <a:bodyPr/>
                <a:lstStyle/>
                <a:p>
                  <a:pPr>
                    <a:defRPr sz="761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Sheet1!$B$1:$J$1</c:f>
              <c:strCache>
                <c:ptCount val="9"/>
                <c:pt idx="0">
                  <c:v>Q3.2017</c:v>
                </c:pt>
                <c:pt idx="1">
                  <c:v>Q4.2017</c:v>
                </c:pt>
                <c:pt idx="2">
                  <c:v>Q1.2018</c:v>
                </c:pt>
                <c:pt idx="3">
                  <c:v>Q2.2018</c:v>
                </c:pt>
                <c:pt idx="4">
                  <c:v>Q3.2018</c:v>
                </c:pt>
                <c:pt idx="5">
                  <c:v>Q4.2018</c:v>
                </c:pt>
                <c:pt idx="6">
                  <c:v>Q1.2019</c:v>
                </c:pt>
                <c:pt idx="7">
                  <c:v>Q2.2019</c:v>
                </c:pt>
                <c:pt idx="8">
                  <c:v>Q3.2019</c:v>
                </c:pt>
              </c:strCache>
            </c:strRef>
          </c:cat>
          <c:val>
            <c:numRef>
              <c:f>Sheet1!$B$2:$J$2</c:f>
              <c:numCache>
                <c:formatCode>0.00</c:formatCode>
                <c:ptCount val="9"/>
                <c:pt idx="0">
                  <c:v>124.50937714724043</c:v>
                </c:pt>
                <c:pt idx="1">
                  <c:v>124.30406209233908</c:v>
                </c:pt>
                <c:pt idx="2">
                  <c:v>122.51830702660247</c:v>
                </c:pt>
                <c:pt idx="3">
                  <c:v>125.86999999999999</c:v>
                </c:pt>
                <c:pt idx="4">
                  <c:v>126.43032668512195</c:v>
                </c:pt>
                <c:pt idx="5">
                  <c:v>127.04685107499441</c:v>
                </c:pt>
                <c:pt idx="6">
                  <c:v>127.11767151856864</c:v>
                </c:pt>
                <c:pt idx="7">
                  <c:v>125.10448386049551</c:v>
                </c:pt>
                <c:pt idx="8">
                  <c:v>126.2760428679358</c:v>
                </c:pt>
              </c:numCache>
            </c:numRef>
          </c:val>
        </c:ser>
        <c:marker val="1"/>
        <c:axId val="106261504"/>
        <c:axId val="117224192"/>
      </c:lineChart>
      <c:catAx>
        <c:axId val="106261504"/>
        <c:scaling>
          <c:orientation val="minMax"/>
        </c:scaling>
        <c:axPos val="b"/>
        <c:numFmt formatCode="General" sourceLinked="1"/>
        <c:minorTickMark val="out"/>
        <c:tickLblPos val="nextTo"/>
        <c:spPr>
          <a:ln w="2684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76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7224192"/>
        <c:crosses val="autoZero"/>
        <c:auto val="1"/>
        <c:lblAlgn val="ctr"/>
        <c:lblOffset val="100"/>
        <c:tickLblSkip val="1"/>
        <c:tickMarkSkip val="2"/>
      </c:catAx>
      <c:valAx>
        <c:axId val="117224192"/>
        <c:scaling>
          <c:orientation val="minMax"/>
          <c:max val="130"/>
          <c:min val="120"/>
        </c:scaling>
        <c:axPos val="l"/>
        <c:title>
          <c:tx>
            <c:rich>
              <a:bodyPr/>
              <a:lstStyle/>
              <a:p>
                <a:pPr>
                  <a:defRPr sz="761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Wholesale Price Index (WPI)</a:t>
                </a:r>
              </a:p>
            </c:rich>
          </c:tx>
          <c:layout>
            <c:manualLayout>
              <c:xMode val="edge"/>
              <c:yMode val="edge"/>
              <c:x val="4.1828166313159013E-3"/>
              <c:y val="9.0714324609838706E-2"/>
            </c:manualLayout>
          </c:layout>
          <c:spPr>
            <a:noFill/>
            <a:ln w="21474">
              <a:noFill/>
            </a:ln>
          </c:spPr>
        </c:title>
        <c:numFmt formatCode="0" sourceLinked="0"/>
        <c:tickLblPos val="nextTo"/>
        <c:spPr>
          <a:ln w="268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06261504"/>
        <c:crosses val="autoZero"/>
        <c:crossBetween val="between"/>
        <c:majorUnit val="2"/>
      </c:valAx>
      <c:spPr>
        <a:noFill/>
        <a:ln w="21475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6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EBA64-CCA4-4CBB-BF4A-24ADEC68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1253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4084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4</cp:revision>
  <cp:lastPrinted>2019-04-16T04:33:00Z</cp:lastPrinted>
  <dcterms:created xsi:type="dcterms:W3CDTF">2019-10-17T12:15:00Z</dcterms:created>
  <dcterms:modified xsi:type="dcterms:W3CDTF">2019-10-17T12:15:00Z</dcterms:modified>
</cp:coreProperties>
</file>