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0D9" w:rsidRDefault="00D340D9" w:rsidP="00D340D9">
      <w:pPr>
        <w:pStyle w:val="BodyText"/>
        <w:bidi w:val="0"/>
        <w:jc w:val="center"/>
        <w:rPr>
          <w:rFonts w:asciiTheme="majorBidi" w:hAnsiTheme="majorBidi" w:cstheme="majorBidi"/>
          <w:b/>
          <w:bCs/>
          <w:sz w:val="28"/>
          <w:szCs w:val="28"/>
        </w:rPr>
      </w:pPr>
    </w:p>
    <w:p w:rsidR="00D340D9" w:rsidRDefault="00D340D9" w:rsidP="00D340D9">
      <w:pPr>
        <w:pStyle w:val="BodyText"/>
        <w:bidi w:val="0"/>
        <w:jc w:val="left"/>
        <w:rPr>
          <w:rFonts w:asciiTheme="majorBidi" w:hAnsiTheme="majorBidi" w:cstheme="majorBidi"/>
          <w:b/>
          <w:bCs/>
          <w:sz w:val="28"/>
          <w:szCs w:val="28"/>
        </w:rPr>
      </w:pPr>
    </w:p>
    <w:p w:rsidR="00D340D9" w:rsidRPr="00D340D9" w:rsidRDefault="00592540" w:rsidP="00D340D9">
      <w:pPr>
        <w:pStyle w:val="BodyText"/>
        <w:bidi w:val="0"/>
        <w:jc w:val="center"/>
        <w:rPr>
          <w:rFonts w:asciiTheme="majorBidi" w:hAnsiTheme="majorBidi" w:cstheme="majorBidi"/>
          <w:b/>
          <w:bCs/>
          <w:sz w:val="32"/>
          <w:szCs w:val="32"/>
        </w:rPr>
      </w:pPr>
      <w:r w:rsidRPr="00D340D9">
        <w:rPr>
          <w:rFonts w:asciiTheme="majorBidi" w:hAnsiTheme="majorBidi" w:cstheme="majorBidi"/>
          <w:b/>
          <w:bCs/>
          <w:sz w:val="32"/>
          <w:szCs w:val="32"/>
        </w:rPr>
        <w:t>The Palestinian Central Bureau of Statistics (PCBS) and the Palestinian Water Authority</w:t>
      </w:r>
      <w:r w:rsidR="008A3E2E" w:rsidRPr="00D340D9">
        <w:rPr>
          <w:rFonts w:asciiTheme="majorBidi" w:hAnsiTheme="majorBidi" w:cstheme="majorBidi"/>
          <w:b/>
          <w:bCs/>
          <w:sz w:val="32"/>
          <w:szCs w:val="32"/>
        </w:rPr>
        <w:t xml:space="preserve"> (PWA)</w:t>
      </w:r>
      <w:r w:rsidRPr="00D340D9">
        <w:rPr>
          <w:rFonts w:asciiTheme="majorBidi" w:hAnsiTheme="majorBidi" w:cstheme="majorBidi"/>
          <w:b/>
          <w:bCs/>
          <w:sz w:val="32"/>
          <w:szCs w:val="32"/>
        </w:rPr>
        <w:t xml:space="preserve"> Issue a Press Release on the Occasion of</w:t>
      </w:r>
    </w:p>
    <w:p w:rsidR="00592540" w:rsidRPr="00D340D9" w:rsidRDefault="00592540" w:rsidP="00D340D9">
      <w:pPr>
        <w:pStyle w:val="BodyText"/>
        <w:bidi w:val="0"/>
        <w:jc w:val="center"/>
        <w:rPr>
          <w:rFonts w:asciiTheme="majorBidi" w:hAnsiTheme="majorBidi" w:cstheme="majorBidi"/>
          <w:b/>
          <w:bCs/>
          <w:sz w:val="32"/>
          <w:szCs w:val="32"/>
        </w:rPr>
      </w:pPr>
      <w:r w:rsidRPr="00D340D9">
        <w:rPr>
          <w:rFonts w:asciiTheme="majorBidi" w:hAnsiTheme="majorBidi" w:cstheme="majorBidi"/>
          <w:b/>
          <w:bCs/>
          <w:sz w:val="32"/>
          <w:szCs w:val="32"/>
        </w:rPr>
        <w:t xml:space="preserve"> World Water Day, March 22</w:t>
      </w:r>
      <w:r w:rsidR="00C71F7E" w:rsidRPr="00D340D9">
        <w:rPr>
          <w:rFonts w:asciiTheme="majorBidi" w:hAnsiTheme="majorBidi" w:cstheme="majorBidi"/>
          <w:b/>
          <w:bCs/>
          <w:sz w:val="32"/>
          <w:szCs w:val="32"/>
          <w:vertAlign w:val="superscript"/>
        </w:rPr>
        <w:t>th</w:t>
      </w:r>
      <w:r w:rsidRPr="00D340D9">
        <w:rPr>
          <w:rFonts w:asciiTheme="majorBidi" w:hAnsiTheme="majorBidi" w:cstheme="majorBidi"/>
          <w:b/>
          <w:bCs/>
          <w:sz w:val="32"/>
          <w:szCs w:val="32"/>
        </w:rPr>
        <w:t xml:space="preserve">, </w:t>
      </w:r>
      <w:r w:rsidR="002D288C" w:rsidRPr="00D340D9">
        <w:rPr>
          <w:rFonts w:asciiTheme="majorBidi" w:hAnsiTheme="majorBidi" w:cstheme="majorBidi"/>
          <w:b/>
          <w:bCs/>
          <w:sz w:val="32"/>
          <w:szCs w:val="32"/>
        </w:rPr>
        <w:t>2019</w:t>
      </w:r>
    </w:p>
    <w:p w:rsidR="00592540" w:rsidRPr="00FF7565" w:rsidRDefault="00592540" w:rsidP="00592540">
      <w:pPr>
        <w:pStyle w:val="BodyText"/>
        <w:bidi w:val="0"/>
        <w:jc w:val="lowKashida"/>
        <w:rPr>
          <w:rFonts w:asciiTheme="majorBidi" w:hAnsiTheme="majorBidi" w:cstheme="majorBidi"/>
          <w:b/>
          <w:bCs/>
        </w:rPr>
      </w:pPr>
    </w:p>
    <w:p w:rsidR="00573C65" w:rsidRPr="00D340D9" w:rsidRDefault="001C451F" w:rsidP="00D340D9">
      <w:pPr>
        <w:bidi w:val="0"/>
        <w:jc w:val="center"/>
        <w:rPr>
          <w:rFonts w:asciiTheme="majorBidi" w:hAnsiTheme="majorBidi" w:cstheme="majorBidi"/>
          <w:b/>
          <w:bCs/>
          <w:sz w:val="28"/>
          <w:szCs w:val="28"/>
        </w:rPr>
      </w:pPr>
      <w:r w:rsidRPr="00D340D9">
        <w:rPr>
          <w:rFonts w:asciiTheme="majorBidi" w:hAnsiTheme="majorBidi" w:cstheme="majorBidi"/>
          <w:b/>
          <w:bCs/>
          <w:sz w:val="28"/>
          <w:szCs w:val="28"/>
        </w:rPr>
        <w:t>Theme for World Water Day</w:t>
      </w:r>
      <w:r w:rsidR="002D288C" w:rsidRPr="00D340D9">
        <w:rPr>
          <w:rFonts w:asciiTheme="majorBidi" w:hAnsiTheme="majorBidi" w:cstheme="majorBidi"/>
          <w:b/>
          <w:bCs/>
          <w:sz w:val="28"/>
          <w:szCs w:val="28"/>
        </w:rPr>
        <w:t xml:space="preserve"> 2019</w:t>
      </w:r>
      <w:r w:rsidRPr="00D340D9">
        <w:rPr>
          <w:rFonts w:asciiTheme="majorBidi" w:hAnsiTheme="majorBidi" w:cstheme="majorBidi"/>
          <w:b/>
          <w:bCs/>
          <w:sz w:val="28"/>
          <w:szCs w:val="28"/>
        </w:rPr>
        <w:t xml:space="preserve"> is "</w:t>
      </w:r>
      <w:r w:rsidR="002D288C" w:rsidRPr="00D340D9">
        <w:rPr>
          <w:rFonts w:asciiTheme="majorBidi" w:hAnsiTheme="majorBidi" w:cstheme="majorBidi"/>
          <w:b/>
          <w:bCs/>
          <w:color w:val="333333"/>
          <w:sz w:val="28"/>
          <w:szCs w:val="28"/>
          <w:shd w:val="clear" w:color="auto" w:fill="FFFFFF"/>
        </w:rPr>
        <w:t xml:space="preserve"> </w:t>
      </w:r>
      <w:r w:rsidR="004951F8" w:rsidRPr="00D340D9">
        <w:rPr>
          <w:rFonts w:asciiTheme="majorBidi" w:hAnsiTheme="majorBidi" w:cstheme="majorBidi"/>
          <w:b/>
          <w:bCs/>
          <w:sz w:val="28"/>
          <w:szCs w:val="28"/>
          <w:shd w:val="clear" w:color="auto" w:fill="FFFFFF"/>
        </w:rPr>
        <w:t>"</w:t>
      </w:r>
      <w:r w:rsidR="002D288C" w:rsidRPr="00D340D9">
        <w:rPr>
          <w:rFonts w:asciiTheme="majorBidi" w:hAnsiTheme="majorBidi" w:cstheme="majorBidi"/>
          <w:b/>
          <w:bCs/>
          <w:sz w:val="28"/>
          <w:szCs w:val="28"/>
          <w:shd w:val="clear" w:color="auto" w:fill="FFFFFF"/>
        </w:rPr>
        <w:t>Leaving no one behind</w:t>
      </w:r>
      <w:r w:rsidR="009E09C7" w:rsidRPr="00D340D9">
        <w:rPr>
          <w:rFonts w:asciiTheme="majorBidi" w:hAnsiTheme="majorBidi" w:cstheme="majorBidi"/>
          <w:b/>
          <w:bCs/>
          <w:sz w:val="28"/>
          <w:szCs w:val="28"/>
          <w:shd w:val="clear" w:color="auto" w:fill="FFFFFF"/>
        </w:rPr>
        <w:t>…</w:t>
      </w:r>
      <w:r w:rsidR="009E09C7" w:rsidRPr="00D340D9">
        <w:rPr>
          <w:b/>
          <w:bCs/>
          <w:sz w:val="28"/>
          <w:szCs w:val="28"/>
        </w:rPr>
        <w:t>Water for all</w:t>
      </w:r>
      <w:r w:rsidR="004951F8" w:rsidRPr="00D340D9">
        <w:rPr>
          <w:rFonts w:asciiTheme="majorBidi" w:hAnsiTheme="majorBidi" w:cstheme="majorBidi"/>
          <w:b/>
          <w:bCs/>
          <w:sz w:val="28"/>
          <w:szCs w:val="28"/>
          <w:shd w:val="clear" w:color="auto" w:fill="FFFFFF"/>
        </w:rPr>
        <w:t>",</w:t>
      </w:r>
      <w:r w:rsidR="002D288C" w:rsidRPr="00D340D9">
        <w:rPr>
          <w:rFonts w:asciiTheme="majorBidi" w:hAnsiTheme="majorBidi" w:cstheme="majorBidi"/>
          <w:b/>
          <w:bCs/>
          <w:color w:val="333333"/>
          <w:sz w:val="28"/>
          <w:szCs w:val="28"/>
          <w:shd w:val="clear" w:color="auto" w:fill="FFFFFF"/>
        </w:rPr>
        <w:t xml:space="preserve"> </w:t>
      </w:r>
      <w:r w:rsidR="002B2BF8" w:rsidRPr="00D340D9">
        <w:rPr>
          <w:rFonts w:asciiTheme="majorBidi" w:hAnsiTheme="majorBidi" w:cstheme="majorBidi"/>
          <w:b/>
          <w:bCs/>
          <w:sz w:val="28"/>
          <w:szCs w:val="28"/>
        </w:rPr>
        <w:t>which is the central promise of the </w:t>
      </w:r>
      <w:hyperlink r:id="rId8" w:history="1">
        <w:r w:rsidR="002B2BF8" w:rsidRPr="00D340D9">
          <w:rPr>
            <w:rFonts w:asciiTheme="majorBidi" w:hAnsiTheme="majorBidi" w:cstheme="majorBidi"/>
            <w:b/>
            <w:bCs/>
            <w:sz w:val="28"/>
            <w:szCs w:val="28"/>
          </w:rPr>
          <w:t>2030 Agenda</w:t>
        </w:r>
      </w:hyperlink>
      <w:r w:rsidR="002B2BF8" w:rsidRPr="00D340D9">
        <w:rPr>
          <w:rFonts w:asciiTheme="majorBidi" w:hAnsiTheme="majorBidi" w:cstheme="majorBidi"/>
          <w:b/>
          <w:bCs/>
          <w:sz w:val="28"/>
          <w:szCs w:val="28"/>
        </w:rPr>
        <w:t> for Sustainable Development</w:t>
      </w:r>
      <w:r w:rsidR="00C5724D" w:rsidRPr="00D340D9">
        <w:rPr>
          <w:rFonts w:asciiTheme="majorBidi" w:hAnsiTheme="majorBidi" w:cstheme="majorBidi"/>
          <w:b/>
          <w:bCs/>
          <w:sz w:val="28"/>
          <w:szCs w:val="28"/>
        </w:rPr>
        <w:t xml:space="preserve"> Goals</w:t>
      </w:r>
      <w:r w:rsidR="002B2BF8" w:rsidRPr="00D340D9">
        <w:rPr>
          <w:rFonts w:asciiTheme="majorBidi" w:hAnsiTheme="majorBidi" w:cstheme="majorBidi"/>
          <w:b/>
          <w:bCs/>
          <w:sz w:val="28"/>
          <w:szCs w:val="28"/>
        </w:rPr>
        <w:t>: as sustainable development progresses, everyone must benefit.</w:t>
      </w:r>
    </w:p>
    <w:p w:rsidR="00D340D9" w:rsidRDefault="00D340D9" w:rsidP="00D340D9">
      <w:pPr>
        <w:bidi w:val="0"/>
        <w:jc w:val="both"/>
        <w:rPr>
          <w:rFonts w:asciiTheme="majorBidi" w:hAnsiTheme="majorBidi" w:cstheme="majorBidi"/>
        </w:rPr>
      </w:pPr>
    </w:p>
    <w:p w:rsidR="00D340D9" w:rsidRDefault="00D340D9" w:rsidP="00D340D9">
      <w:pPr>
        <w:bidi w:val="0"/>
        <w:jc w:val="both"/>
        <w:rPr>
          <w:rFonts w:asciiTheme="majorBidi" w:hAnsiTheme="majorBidi" w:cstheme="majorBidi"/>
        </w:rPr>
      </w:pPr>
    </w:p>
    <w:p w:rsidR="00FF7565" w:rsidRPr="00FF7565" w:rsidRDefault="005C132A" w:rsidP="00D340D9">
      <w:pPr>
        <w:bidi w:val="0"/>
        <w:jc w:val="both"/>
        <w:rPr>
          <w:rFonts w:asciiTheme="majorBidi" w:hAnsiTheme="majorBidi" w:cstheme="majorBidi"/>
        </w:rPr>
      </w:pPr>
      <w:r w:rsidRPr="00FF7565">
        <w:rPr>
          <w:rFonts w:asciiTheme="majorBidi" w:hAnsiTheme="majorBidi" w:cstheme="majorBidi"/>
        </w:rPr>
        <w:t>O</w:t>
      </w:r>
      <w:r w:rsidR="00525481" w:rsidRPr="00FF7565">
        <w:rPr>
          <w:rFonts w:asciiTheme="majorBidi" w:hAnsiTheme="majorBidi" w:cstheme="majorBidi"/>
        </w:rPr>
        <w:t>n the occasion of World Water Day, March 22,</w:t>
      </w:r>
      <w:r w:rsidRPr="00FF7565">
        <w:rPr>
          <w:rFonts w:asciiTheme="majorBidi" w:hAnsiTheme="majorBidi" w:cstheme="majorBidi"/>
        </w:rPr>
        <w:t xml:space="preserve"> PCBS</w:t>
      </w:r>
      <w:r w:rsidR="008A3E2E" w:rsidRPr="00FF7565">
        <w:rPr>
          <w:rFonts w:asciiTheme="majorBidi" w:hAnsiTheme="majorBidi" w:cstheme="majorBidi"/>
        </w:rPr>
        <w:t xml:space="preserve"> and PWA</w:t>
      </w:r>
      <w:r w:rsidRPr="00FF7565">
        <w:rPr>
          <w:rFonts w:asciiTheme="majorBidi" w:hAnsiTheme="majorBidi" w:cstheme="majorBidi"/>
        </w:rPr>
        <w:t xml:space="preserve"> </w:t>
      </w:r>
      <w:r w:rsidR="00FF7565">
        <w:rPr>
          <w:rFonts w:asciiTheme="majorBidi" w:hAnsiTheme="majorBidi" w:cstheme="majorBidi"/>
        </w:rPr>
        <w:t xml:space="preserve">Issue a </w:t>
      </w:r>
      <w:r w:rsidR="004F7D91">
        <w:rPr>
          <w:rFonts w:asciiTheme="majorBidi" w:hAnsiTheme="majorBidi" w:cstheme="majorBidi"/>
        </w:rPr>
        <w:t>p</w:t>
      </w:r>
      <w:r w:rsidR="00FF7565">
        <w:rPr>
          <w:rFonts w:asciiTheme="majorBidi" w:hAnsiTheme="majorBidi" w:cstheme="majorBidi"/>
        </w:rPr>
        <w:t xml:space="preserve">ress </w:t>
      </w:r>
      <w:r w:rsidR="004F7D91">
        <w:rPr>
          <w:rFonts w:asciiTheme="majorBidi" w:hAnsiTheme="majorBidi" w:cstheme="majorBidi"/>
        </w:rPr>
        <w:t>r</w:t>
      </w:r>
      <w:r w:rsidR="00FF7565">
        <w:rPr>
          <w:rFonts w:asciiTheme="majorBidi" w:hAnsiTheme="majorBidi" w:cstheme="majorBidi"/>
        </w:rPr>
        <w:t>elease. T</w:t>
      </w:r>
      <w:r w:rsidR="00FF7565" w:rsidRPr="00FF7565">
        <w:rPr>
          <w:rFonts w:asciiTheme="majorBidi" w:hAnsiTheme="majorBidi" w:cstheme="majorBidi"/>
        </w:rPr>
        <w:t xml:space="preserve">he UN announced that the theme of World Water Day </w:t>
      </w:r>
      <w:r w:rsidR="002D288C">
        <w:rPr>
          <w:rFonts w:asciiTheme="majorBidi" w:hAnsiTheme="majorBidi" w:cstheme="majorBidi"/>
        </w:rPr>
        <w:t>2019</w:t>
      </w:r>
      <w:r w:rsidR="00FF7565" w:rsidRPr="00FF7565">
        <w:rPr>
          <w:rFonts w:asciiTheme="majorBidi" w:hAnsiTheme="majorBidi" w:cstheme="majorBidi"/>
        </w:rPr>
        <w:t>, is "</w:t>
      </w:r>
      <w:r w:rsidR="002D288C" w:rsidRPr="002D288C">
        <w:rPr>
          <w:rFonts w:asciiTheme="majorBidi" w:hAnsiTheme="majorBidi" w:cstheme="majorBidi"/>
        </w:rPr>
        <w:t>Leaving no one behind</w:t>
      </w:r>
      <w:r w:rsidR="009E09C7">
        <w:rPr>
          <w:rFonts w:asciiTheme="majorBidi" w:hAnsiTheme="majorBidi" w:cstheme="majorBidi"/>
        </w:rPr>
        <w:t>…</w:t>
      </w:r>
      <w:r w:rsidR="009E09C7">
        <w:t>Water for all</w:t>
      </w:r>
      <w:r w:rsidR="00FF7565">
        <w:rPr>
          <w:rFonts w:asciiTheme="majorBidi" w:hAnsiTheme="majorBidi" w:cstheme="majorBidi"/>
        </w:rPr>
        <w:t>"</w:t>
      </w:r>
      <w:r w:rsidR="00FF7565" w:rsidRPr="00FF7565">
        <w:rPr>
          <w:rFonts w:asciiTheme="majorBidi" w:hAnsiTheme="majorBidi" w:cstheme="majorBidi"/>
        </w:rPr>
        <w:t>.</w:t>
      </w:r>
    </w:p>
    <w:p w:rsidR="00D340D9" w:rsidRPr="00D340D9" w:rsidRDefault="00D340D9" w:rsidP="00D340D9">
      <w:pPr>
        <w:autoSpaceDE w:val="0"/>
        <w:autoSpaceDN w:val="0"/>
        <w:bidi w:val="0"/>
        <w:adjustRightInd w:val="0"/>
        <w:rPr>
          <w:rFonts w:asciiTheme="majorBidi" w:hAnsiTheme="majorBidi" w:cstheme="majorBidi"/>
          <w:sz w:val="16"/>
          <w:szCs w:val="16"/>
        </w:rPr>
      </w:pPr>
    </w:p>
    <w:p w:rsidR="008F0800" w:rsidRPr="00D340D9" w:rsidRDefault="002D0DA3" w:rsidP="00D340D9">
      <w:pPr>
        <w:bidi w:val="0"/>
        <w:jc w:val="both"/>
        <w:rPr>
          <w:rFonts w:asciiTheme="majorBidi" w:hAnsiTheme="majorBidi" w:cstheme="majorBidi"/>
          <w:b/>
          <w:bCs/>
          <w:sz w:val="26"/>
          <w:szCs w:val="26"/>
        </w:rPr>
      </w:pPr>
      <w:r w:rsidRPr="00D340D9">
        <w:rPr>
          <w:b/>
          <w:bCs/>
          <w:sz w:val="26"/>
          <w:szCs w:val="26"/>
        </w:rPr>
        <w:t xml:space="preserve">62% of Households Use </w:t>
      </w:r>
      <w:r w:rsidR="004F7D91" w:rsidRPr="00D340D9">
        <w:rPr>
          <w:b/>
          <w:bCs/>
          <w:sz w:val="26"/>
          <w:szCs w:val="26"/>
        </w:rPr>
        <w:t xml:space="preserve">improved </w:t>
      </w:r>
      <w:r w:rsidRPr="00D340D9">
        <w:rPr>
          <w:b/>
          <w:bCs/>
          <w:sz w:val="26"/>
          <w:szCs w:val="26"/>
        </w:rPr>
        <w:t>Drinking Water Source</w:t>
      </w:r>
    </w:p>
    <w:p w:rsidR="008F0800" w:rsidRDefault="008F0800" w:rsidP="00C71F7E">
      <w:pPr>
        <w:autoSpaceDE w:val="0"/>
        <w:autoSpaceDN w:val="0"/>
        <w:bidi w:val="0"/>
        <w:adjustRightInd w:val="0"/>
        <w:jc w:val="both"/>
        <w:rPr>
          <w:rFonts w:asciiTheme="majorBidi" w:hAnsiTheme="majorBidi" w:cstheme="majorBidi"/>
        </w:rPr>
      </w:pPr>
      <w:r>
        <w:rPr>
          <w:rFonts w:asciiTheme="majorBidi" w:hAnsiTheme="majorBidi" w:cstheme="majorBidi"/>
        </w:rPr>
        <w:t xml:space="preserve">The availability of </w:t>
      </w:r>
      <w:r w:rsidRPr="008F0800">
        <w:rPr>
          <w:rFonts w:asciiTheme="majorBidi" w:hAnsiTheme="majorBidi" w:cstheme="majorBidi"/>
        </w:rPr>
        <w:t>clean and accessible water for all is an essential part of the goal</w:t>
      </w:r>
      <w:r>
        <w:rPr>
          <w:rFonts w:asciiTheme="majorBidi" w:hAnsiTheme="majorBidi" w:cstheme="majorBidi"/>
        </w:rPr>
        <w:t>s of sustainable development</w:t>
      </w:r>
      <w:r w:rsidR="00C5724D">
        <w:rPr>
          <w:rFonts w:asciiTheme="majorBidi" w:hAnsiTheme="majorBidi" w:cstheme="majorBidi"/>
        </w:rPr>
        <w:t xml:space="preserve"> goals</w:t>
      </w:r>
      <w:r>
        <w:rPr>
          <w:rFonts w:asciiTheme="majorBidi" w:hAnsiTheme="majorBidi" w:cstheme="majorBidi"/>
        </w:rPr>
        <w:t xml:space="preserve">. </w:t>
      </w:r>
      <w:r w:rsidRPr="008F0800">
        <w:rPr>
          <w:rFonts w:asciiTheme="majorBidi" w:hAnsiTheme="majorBidi" w:cstheme="majorBidi"/>
        </w:rPr>
        <w:t xml:space="preserve"> </w:t>
      </w:r>
      <w:r w:rsidR="00C71F7E">
        <w:rPr>
          <w:rFonts w:asciiTheme="majorBidi" w:hAnsiTheme="majorBidi" w:cstheme="majorBidi"/>
        </w:rPr>
        <w:t>First target of g</w:t>
      </w:r>
      <w:r w:rsidRPr="008F0800">
        <w:rPr>
          <w:rFonts w:asciiTheme="majorBidi" w:hAnsiTheme="majorBidi" w:cstheme="majorBidi"/>
        </w:rPr>
        <w:t>oal 6, which focuses on equitable access to an improved drinking water by 2030.</w:t>
      </w:r>
    </w:p>
    <w:p w:rsidR="00D340D9" w:rsidRDefault="00D340D9" w:rsidP="003506FC">
      <w:pPr>
        <w:bidi w:val="0"/>
        <w:jc w:val="both"/>
        <w:rPr>
          <w:rFonts w:asciiTheme="majorBidi" w:hAnsiTheme="majorBidi" w:cstheme="majorBidi"/>
          <w:sz w:val="16"/>
          <w:szCs w:val="16"/>
        </w:rPr>
      </w:pPr>
    </w:p>
    <w:p w:rsidR="009E09C7" w:rsidRPr="009E09C7" w:rsidRDefault="0033077C" w:rsidP="00D340D9">
      <w:pPr>
        <w:bidi w:val="0"/>
        <w:jc w:val="both"/>
      </w:pPr>
      <w:r>
        <w:rPr>
          <w:rFonts w:asciiTheme="majorBidi" w:hAnsiTheme="majorBidi" w:cstheme="majorBidi"/>
        </w:rPr>
        <w:t xml:space="preserve">With regard to </w:t>
      </w:r>
      <w:r w:rsidR="008F0800" w:rsidRPr="008F0800">
        <w:rPr>
          <w:rFonts w:asciiTheme="majorBidi" w:hAnsiTheme="majorBidi" w:cstheme="majorBidi"/>
        </w:rPr>
        <w:t xml:space="preserve">Palestine in </w:t>
      </w:r>
      <w:r w:rsidR="00775950">
        <w:rPr>
          <w:rFonts w:asciiTheme="majorBidi" w:hAnsiTheme="majorBidi" w:cstheme="majorBidi"/>
        </w:rPr>
        <w:t>terms of the said</w:t>
      </w:r>
      <w:r w:rsidR="00775950" w:rsidRPr="008F0800">
        <w:rPr>
          <w:rFonts w:asciiTheme="majorBidi" w:hAnsiTheme="majorBidi" w:cstheme="majorBidi"/>
        </w:rPr>
        <w:t xml:space="preserve"> </w:t>
      </w:r>
      <w:r w:rsidRPr="008F0800">
        <w:rPr>
          <w:rFonts w:asciiTheme="majorBidi" w:hAnsiTheme="majorBidi" w:cstheme="majorBidi"/>
        </w:rPr>
        <w:t>goal</w:t>
      </w:r>
      <w:r w:rsidR="008F0800" w:rsidRPr="008F0800">
        <w:rPr>
          <w:rFonts w:asciiTheme="majorBidi" w:hAnsiTheme="majorBidi" w:cstheme="majorBidi"/>
        </w:rPr>
        <w:t xml:space="preserve">, </w:t>
      </w:r>
      <w:r>
        <w:rPr>
          <w:rFonts w:asciiTheme="majorBidi" w:hAnsiTheme="majorBidi" w:cstheme="majorBidi"/>
        </w:rPr>
        <w:t>t</w:t>
      </w:r>
      <w:r w:rsidR="00C93B4D" w:rsidRPr="00FF7565">
        <w:rPr>
          <w:rFonts w:asciiTheme="majorBidi" w:hAnsiTheme="majorBidi" w:cstheme="majorBidi"/>
        </w:rPr>
        <w:t xml:space="preserve">he results of </w:t>
      </w:r>
      <w:r w:rsidR="00775950">
        <w:rPr>
          <w:rFonts w:asciiTheme="majorBidi" w:hAnsiTheme="majorBidi" w:cstheme="majorBidi"/>
        </w:rPr>
        <w:t>Census</w:t>
      </w:r>
      <w:r w:rsidR="00775950" w:rsidRPr="00FF7565">
        <w:rPr>
          <w:rFonts w:asciiTheme="majorBidi" w:hAnsiTheme="majorBidi" w:cstheme="majorBidi"/>
        </w:rPr>
        <w:t xml:space="preserve"> </w:t>
      </w:r>
      <w:r w:rsidR="002D0DA3">
        <w:rPr>
          <w:rFonts w:asciiTheme="majorBidi" w:hAnsiTheme="majorBidi" w:cstheme="majorBidi"/>
        </w:rPr>
        <w:t xml:space="preserve">2017 </w:t>
      </w:r>
      <w:r w:rsidR="00C93B4D" w:rsidRPr="00FF7565">
        <w:rPr>
          <w:rFonts w:asciiTheme="majorBidi" w:hAnsiTheme="majorBidi" w:cstheme="majorBidi"/>
        </w:rPr>
        <w:t xml:space="preserve">showed that </w:t>
      </w:r>
      <w:r w:rsidR="002D0DA3" w:rsidRPr="00D02E92">
        <w:t xml:space="preserve"> </w:t>
      </w:r>
      <w:r w:rsidR="002D0DA3">
        <w:t>62</w:t>
      </w:r>
      <w:r w:rsidR="002D0DA3" w:rsidRPr="00D02E92">
        <w:t xml:space="preserve">% </w:t>
      </w:r>
      <w:r w:rsidR="002D0DA3">
        <w:t xml:space="preserve">of households </w:t>
      </w:r>
      <w:r w:rsidR="002D0DA3" w:rsidRPr="00D02E92">
        <w:t xml:space="preserve">use </w:t>
      </w:r>
      <w:r w:rsidR="002D0DA3">
        <w:t>an</w:t>
      </w:r>
      <w:r w:rsidR="002D0DA3" w:rsidRPr="00D02E92">
        <w:t xml:space="preserve"> </w:t>
      </w:r>
      <w:r w:rsidR="002D0DA3">
        <w:t>improved drinking</w:t>
      </w:r>
      <w:r w:rsidR="002D0DA3" w:rsidRPr="00D02E92">
        <w:t xml:space="preserve"> water</w:t>
      </w:r>
      <w:r w:rsidR="002D0DA3">
        <w:t xml:space="preserve"> source </w:t>
      </w:r>
      <w:r w:rsidR="002D0DA3" w:rsidRPr="00D02E92">
        <w:t>(</w:t>
      </w:r>
      <w:r w:rsidR="002D0DA3">
        <w:t>piped into dwelling, p</w:t>
      </w:r>
      <w:r w:rsidR="002D0DA3" w:rsidRPr="00D02E92">
        <w:t>rotected</w:t>
      </w:r>
      <w:r w:rsidR="002D0DA3">
        <w:t xml:space="preserve"> dug well/</w:t>
      </w:r>
      <w:r w:rsidR="002D0DA3" w:rsidRPr="00D02E92">
        <w:t xml:space="preserve"> protected spring, rainwater</w:t>
      </w:r>
      <w:r w:rsidR="002D0DA3">
        <w:t>, bottled water</w:t>
      </w:r>
      <w:r w:rsidR="002D0DA3" w:rsidRPr="00D02E92">
        <w:t xml:space="preserve"> and </w:t>
      </w:r>
      <w:r w:rsidR="002D0DA3">
        <w:t>public tab</w:t>
      </w:r>
      <w:r w:rsidR="002D0DA3" w:rsidRPr="00D02E92">
        <w:t>)</w:t>
      </w:r>
      <w:r w:rsidR="002D0DA3">
        <w:t>;</w:t>
      </w:r>
      <w:r w:rsidR="00D31D03">
        <w:t xml:space="preserve"> 95% in the West Bank and 11% in Gaza Strip</w:t>
      </w:r>
      <w:r w:rsidR="009E09C7">
        <w:t xml:space="preserve"> (</w:t>
      </w:r>
      <w:r w:rsidR="009E09C7" w:rsidRPr="009E09C7">
        <w:t>The decrease in the Gaza Strip was due to the deterioration in the quality of water extracted from the coastal basin</w:t>
      </w:r>
      <w:r w:rsidR="009E09C7">
        <w:t>).</w:t>
      </w:r>
    </w:p>
    <w:p w:rsidR="002A4D57" w:rsidRDefault="00D31D03" w:rsidP="003506FC">
      <w:pPr>
        <w:autoSpaceDE w:val="0"/>
        <w:autoSpaceDN w:val="0"/>
        <w:bidi w:val="0"/>
        <w:adjustRightInd w:val="0"/>
        <w:jc w:val="both"/>
        <w:rPr>
          <w:rFonts w:asciiTheme="majorBidi" w:hAnsiTheme="majorBidi" w:cstheme="majorBidi"/>
        </w:rPr>
      </w:pPr>
      <w:r w:rsidRPr="00D31D03">
        <w:t xml:space="preserve">As for the type of </w:t>
      </w:r>
      <w:r>
        <w:t>localities</w:t>
      </w:r>
      <w:r w:rsidR="007D3DE0">
        <w:t>,</w:t>
      </w:r>
      <w:r w:rsidRPr="00D31D03">
        <w:t xml:space="preserve"> these percentages were distributed to</w:t>
      </w:r>
      <w:r w:rsidR="002D0DA3" w:rsidRPr="00D02E92">
        <w:t xml:space="preserve"> </w:t>
      </w:r>
      <w:r w:rsidR="002D0DA3">
        <w:t>5</w:t>
      </w:r>
      <w:r w:rsidR="009F6B84">
        <w:t>8</w:t>
      </w:r>
      <w:r w:rsidR="002D0DA3" w:rsidRPr="00D02E92">
        <w:t xml:space="preserve">% in </w:t>
      </w:r>
      <w:r w:rsidR="00513539">
        <w:t xml:space="preserve">Urban </w:t>
      </w:r>
      <w:r w:rsidR="002D0DA3">
        <w:t>localities, 9</w:t>
      </w:r>
      <w:r w:rsidR="009F6B84">
        <w:t>4</w:t>
      </w:r>
      <w:r w:rsidR="002D0DA3" w:rsidRPr="00D02E92">
        <w:t>% in</w:t>
      </w:r>
      <w:r w:rsidR="00513539" w:rsidRPr="00513539">
        <w:t xml:space="preserve"> </w:t>
      </w:r>
      <w:r w:rsidR="00513539">
        <w:t>Rural</w:t>
      </w:r>
      <w:r w:rsidR="002D0DA3" w:rsidRPr="00D02E92">
        <w:t xml:space="preserve"> </w:t>
      </w:r>
      <w:r w:rsidR="002D0DA3">
        <w:t>localities, compared to 4</w:t>
      </w:r>
      <w:r w:rsidR="009F6B84">
        <w:t>4</w:t>
      </w:r>
      <w:r w:rsidR="002D0DA3">
        <w:t>% in Camps.</w:t>
      </w:r>
    </w:p>
    <w:p w:rsidR="00D340D9" w:rsidRPr="00D340D9" w:rsidRDefault="00D340D9" w:rsidP="00D340D9">
      <w:pPr>
        <w:tabs>
          <w:tab w:val="left" w:pos="9776"/>
        </w:tabs>
        <w:rPr>
          <w:rFonts w:asciiTheme="majorBidi" w:hAnsiTheme="majorBidi" w:cstheme="majorBidi" w:hint="cs"/>
          <w:sz w:val="16"/>
          <w:szCs w:val="16"/>
          <w:rtl/>
        </w:rPr>
      </w:pPr>
      <w:r>
        <w:rPr>
          <w:rFonts w:asciiTheme="majorBidi" w:hAnsiTheme="majorBidi" w:cstheme="majorBidi"/>
          <w:rtl/>
        </w:rPr>
        <w:tab/>
      </w:r>
    </w:p>
    <w:p w:rsidR="00D340D9" w:rsidRDefault="002A4D57" w:rsidP="00D340D9">
      <w:pPr>
        <w:jc w:val="center"/>
        <w:rPr>
          <w:b/>
          <w:bCs/>
          <w:sz w:val="26"/>
          <w:szCs w:val="26"/>
        </w:rPr>
      </w:pPr>
      <w:r w:rsidRPr="00D340D9">
        <w:rPr>
          <w:rFonts w:asciiTheme="majorBidi" w:hAnsiTheme="majorBidi" w:cstheme="majorBidi"/>
          <w:b/>
          <w:bCs/>
          <w:sz w:val="26"/>
          <w:szCs w:val="26"/>
        </w:rPr>
        <w:t xml:space="preserve">Percentage of Households in Palestine </w:t>
      </w:r>
      <w:r w:rsidR="004F7D91" w:rsidRPr="00D340D9">
        <w:rPr>
          <w:b/>
          <w:bCs/>
          <w:sz w:val="26"/>
          <w:szCs w:val="26"/>
        </w:rPr>
        <w:t>who used</w:t>
      </w:r>
      <w:r w:rsidR="002D0DA3" w:rsidRPr="00D340D9">
        <w:rPr>
          <w:b/>
          <w:bCs/>
          <w:sz w:val="26"/>
          <w:szCs w:val="26"/>
        </w:rPr>
        <w:t xml:space="preserve"> an Improved Drinking</w:t>
      </w:r>
    </w:p>
    <w:p w:rsidR="002D0DA3" w:rsidRPr="00D340D9" w:rsidRDefault="002D0DA3" w:rsidP="00D340D9">
      <w:pPr>
        <w:jc w:val="center"/>
        <w:rPr>
          <w:b/>
          <w:bCs/>
          <w:sz w:val="26"/>
          <w:szCs w:val="26"/>
        </w:rPr>
      </w:pPr>
      <w:r w:rsidRPr="00D340D9">
        <w:rPr>
          <w:b/>
          <w:bCs/>
          <w:sz w:val="26"/>
          <w:szCs w:val="26"/>
        </w:rPr>
        <w:t xml:space="preserve"> Water</w:t>
      </w:r>
      <w:r w:rsidR="000A6973" w:rsidRPr="00D340D9">
        <w:rPr>
          <w:b/>
          <w:bCs/>
          <w:sz w:val="26"/>
          <w:szCs w:val="26"/>
        </w:rPr>
        <w:t xml:space="preserve"> by Region</w:t>
      </w:r>
      <w:r w:rsidRPr="00D340D9">
        <w:rPr>
          <w:b/>
          <w:bCs/>
          <w:sz w:val="26"/>
          <w:szCs w:val="26"/>
        </w:rPr>
        <w:t>, 2017</w:t>
      </w:r>
    </w:p>
    <w:p w:rsidR="002A4D57" w:rsidRDefault="002A4D57" w:rsidP="00FD1BC5">
      <w:pPr>
        <w:autoSpaceDE w:val="0"/>
        <w:autoSpaceDN w:val="0"/>
        <w:bidi w:val="0"/>
        <w:adjustRightInd w:val="0"/>
        <w:jc w:val="center"/>
        <w:rPr>
          <w:b/>
          <w:bCs/>
          <w:color w:val="000000"/>
          <w:rtl/>
          <w:lang w:eastAsia="en-US"/>
        </w:rPr>
      </w:pPr>
      <w:r w:rsidRPr="002A4D57">
        <w:rPr>
          <w:b/>
          <w:bCs/>
          <w:noProof/>
          <w:color w:val="000000"/>
          <w:bdr w:val="single" w:sz="4" w:space="0" w:color="auto"/>
          <w:lang w:eastAsia="en-US"/>
        </w:rPr>
        <w:drawing>
          <wp:inline distT="0" distB="0" distL="0" distR="0">
            <wp:extent cx="3000375" cy="191452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4D57" w:rsidRPr="00D340D9" w:rsidRDefault="002A4D57" w:rsidP="002A4D57">
      <w:pPr>
        <w:autoSpaceDE w:val="0"/>
        <w:autoSpaceDN w:val="0"/>
        <w:bidi w:val="0"/>
        <w:adjustRightInd w:val="0"/>
        <w:jc w:val="center"/>
        <w:rPr>
          <w:b/>
          <w:bCs/>
          <w:color w:val="000000"/>
          <w:sz w:val="16"/>
          <w:szCs w:val="16"/>
          <w:lang w:eastAsia="en-US"/>
        </w:rPr>
      </w:pPr>
    </w:p>
    <w:p w:rsidR="00FF7565" w:rsidRPr="00D340D9" w:rsidRDefault="00E44417" w:rsidP="00D340D9">
      <w:pPr>
        <w:autoSpaceDE w:val="0"/>
        <w:autoSpaceDN w:val="0"/>
        <w:bidi w:val="0"/>
        <w:adjustRightInd w:val="0"/>
        <w:jc w:val="both"/>
        <w:rPr>
          <w:rFonts w:asciiTheme="majorBidi" w:hAnsiTheme="majorBidi" w:cstheme="majorBidi"/>
          <w:b/>
          <w:bCs/>
          <w:sz w:val="26"/>
          <w:szCs w:val="26"/>
        </w:rPr>
      </w:pPr>
      <w:r w:rsidRPr="00D340D9">
        <w:rPr>
          <w:rFonts w:asciiTheme="majorBidi" w:hAnsiTheme="majorBidi" w:cstheme="majorBidi" w:hint="cs"/>
          <w:b/>
          <w:bCs/>
          <w:sz w:val="26"/>
          <w:szCs w:val="26"/>
          <w:rtl/>
        </w:rPr>
        <w:t>88</w:t>
      </w:r>
      <w:r w:rsidR="00633BCF" w:rsidRPr="00D340D9">
        <w:rPr>
          <w:rFonts w:asciiTheme="majorBidi" w:hAnsiTheme="majorBidi" w:cstheme="majorBidi"/>
          <w:b/>
          <w:bCs/>
          <w:sz w:val="26"/>
          <w:szCs w:val="26"/>
        </w:rPr>
        <w:t xml:space="preserve"> </w:t>
      </w:r>
      <w:r w:rsidR="00FD1BC5" w:rsidRPr="00D340D9">
        <w:rPr>
          <w:rFonts w:asciiTheme="majorBidi" w:hAnsiTheme="majorBidi" w:cstheme="majorBidi"/>
          <w:b/>
          <w:bCs/>
          <w:sz w:val="26"/>
          <w:szCs w:val="26"/>
        </w:rPr>
        <w:t>L</w:t>
      </w:r>
      <w:r w:rsidR="00ED45F8" w:rsidRPr="00D340D9">
        <w:rPr>
          <w:rFonts w:asciiTheme="majorBidi" w:hAnsiTheme="majorBidi" w:cstheme="majorBidi"/>
          <w:b/>
          <w:bCs/>
          <w:sz w:val="26"/>
          <w:szCs w:val="26"/>
        </w:rPr>
        <w:t>iter</w:t>
      </w:r>
      <w:r w:rsidR="00633BCF" w:rsidRPr="00D340D9">
        <w:rPr>
          <w:rFonts w:asciiTheme="majorBidi" w:hAnsiTheme="majorBidi" w:cstheme="majorBidi"/>
          <w:b/>
          <w:bCs/>
          <w:sz w:val="26"/>
          <w:szCs w:val="26"/>
        </w:rPr>
        <w:t>/capita/day</w:t>
      </w:r>
      <w:r w:rsidR="00633BCF" w:rsidRPr="00D340D9">
        <w:rPr>
          <w:rFonts w:asciiTheme="majorBidi" w:hAnsiTheme="majorBidi" w:cstheme="majorBidi"/>
          <w:sz w:val="26"/>
          <w:szCs w:val="26"/>
        </w:rPr>
        <w:t xml:space="preserve"> </w:t>
      </w:r>
      <w:r w:rsidR="00633BCF" w:rsidRPr="00D340D9">
        <w:rPr>
          <w:rFonts w:asciiTheme="majorBidi" w:hAnsiTheme="majorBidi" w:cstheme="majorBidi"/>
          <w:b/>
          <w:bCs/>
          <w:sz w:val="26"/>
          <w:szCs w:val="26"/>
        </w:rPr>
        <w:t xml:space="preserve">Palestinian </w:t>
      </w:r>
      <w:r w:rsidR="00FD1BC5" w:rsidRPr="00D340D9">
        <w:rPr>
          <w:rFonts w:asciiTheme="majorBidi" w:hAnsiTheme="majorBidi" w:cstheme="majorBidi"/>
          <w:b/>
          <w:bCs/>
          <w:sz w:val="26"/>
          <w:szCs w:val="26"/>
        </w:rPr>
        <w:t>W</w:t>
      </w:r>
      <w:r w:rsidR="00633BCF" w:rsidRPr="00D340D9">
        <w:rPr>
          <w:rFonts w:asciiTheme="majorBidi" w:hAnsiTheme="majorBidi" w:cstheme="majorBidi"/>
          <w:b/>
          <w:bCs/>
          <w:sz w:val="26"/>
          <w:szCs w:val="26"/>
        </w:rPr>
        <w:t xml:space="preserve">ater </w:t>
      </w:r>
      <w:r w:rsidR="00FD1BC5" w:rsidRPr="00D340D9">
        <w:rPr>
          <w:rFonts w:asciiTheme="majorBidi" w:hAnsiTheme="majorBidi" w:cstheme="majorBidi"/>
          <w:b/>
          <w:bCs/>
          <w:sz w:val="26"/>
          <w:szCs w:val="26"/>
        </w:rPr>
        <w:t>C</w:t>
      </w:r>
      <w:r w:rsidR="00633BCF" w:rsidRPr="00D340D9">
        <w:rPr>
          <w:rFonts w:asciiTheme="majorBidi" w:hAnsiTheme="majorBidi" w:cstheme="majorBidi"/>
          <w:b/>
          <w:bCs/>
          <w:sz w:val="26"/>
          <w:szCs w:val="26"/>
        </w:rPr>
        <w:t xml:space="preserve">onsumption </w:t>
      </w:r>
      <w:r w:rsidR="00FD1BC5" w:rsidRPr="00D340D9">
        <w:rPr>
          <w:rFonts w:asciiTheme="majorBidi" w:hAnsiTheme="majorBidi" w:cstheme="majorBidi"/>
          <w:b/>
          <w:bCs/>
          <w:sz w:val="26"/>
          <w:szCs w:val="26"/>
        </w:rPr>
        <w:t>R</w:t>
      </w:r>
      <w:r w:rsidR="00633BCF" w:rsidRPr="00D340D9">
        <w:rPr>
          <w:rFonts w:asciiTheme="majorBidi" w:hAnsiTheme="majorBidi" w:cstheme="majorBidi"/>
          <w:b/>
          <w:bCs/>
          <w:sz w:val="26"/>
          <w:szCs w:val="26"/>
        </w:rPr>
        <w:t>ate</w:t>
      </w:r>
    </w:p>
    <w:p w:rsidR="00633BCF" w:rsidRDefault="00633BCF" w:rsidP="00BE26A8">
      <w:pPr>
        <w:autoSpaceDE w:val="0"/>
        <w:autoSpaceDN w:val="0"/>
        <w:bidi w:val="0"/>
        <w:adjustRightInd w:val="0"/>
        <w:jc w:val="both"/>
        <w:rPr>
          <w:rFonts w:asciiTheme="majorBidi" w:hAnsiTheme="majorBidi" w:cstheme="majorBidi"/>
          <w:b/>
          <w:bCs/>
          <w:highlight w:val="yellow"/>
        </w:rPr>
      </w:pPr>
      <w:r w:rsidRPr="00FF7565">
        <w:rPr>
          <w:rFonts w:asciiTheme="majorBidi" w:hAnsiTheme="majorBidi" w:cstheme="majorBidi"/>
        </w:rPr>
        <w:t xml:space="preserve">The daily allocation per capita from consumed water for domestic purposes is </w:t>
      </w:r>
      <w:r w:rsidR="00E44417">
        <w:rPr>
          <w:rFonts w:asciiTheme="majorBidi" w:hAnsiTheme="majorBidi" w:cstheme="majorBidi"/>
        </w:rPr>
        <w:t>88.3</w:t>
      </w:r>
      <w:r w:rsidRPr="00FF7565">
        <w:rPr>
          <w:rFonts w:asciiTheme="majorBidi" w:hAnsiTheme="majorBidi" w:cstheme="majorBidi"/>
        </w:rPr>
        <w:t xml:space="preserve"> </w:t>
      </w:r>
      <w:r w:rsidR="00ED45F8">
        <w:rPr>
          <w:rFonts w:asciiTheme="majorBidi" w:hAnsiTheme="majorBidi" w:cstheme="majorBidi"/>
        </w:rPr>
        <w:t>liter</w:t>
      </w:r>
      <w:r w:rsidRPr="00FF7565">
        <w:rPr>
          <w:rFonts w:asciiTheme="majorBidi" w:hAnsiTheme="majorBidi" w:cstheme="majorBidi"/>
        </w:rPr>
        <w:t xml:space="preserve">/capita/day in Palestine. </w:t>
      </w:r>
      <w:r w:rsidR="00BD5EAB" w:rsidRPr="00E44417">
        <w:rPr>
          <w:rFonts w:asciiTheme="majorBidi" w:hAnsiTheme="majorBidi" w:cstheme="majorBidi"/>
        </w:rPr>
        <w:t>Th</w:t>
      </w:r>
      <w:r w:rsidR="00BD5EAB">
        <w:rPr>
          <w:rFonts w:asciiTheme="majorBidi" w:hAnsiTheme="majorBidi" w:cstheme="majorBidi"/>
        </w:rPr>
        <w:t>e</w:t>
      </w:r>
      <w:r w:rsidR="00BD5EAB" w:rsidRPr="00E44417">
        <w:rPr>
          <w:rFonts w:asciiTheme="majorBidi" w:hAnsiTheme="majorBidi" w:cstheme="majorBidi"/>
        </w:rPr>
        <w:t xml:space="preserve"> </w:t>
      </w:r>
      <w:r w:rsidR="00E44417" w:rsidRPr="00E44417">
        <w:rPr>
          <w:rFonts w:asciiTheme="majorBidi" w:hAnsiTheme="majorBidi" w:cstheme="majorBidi"/>
        </w:rPr>
        <w:t>West Bank and Gaza Strip</w:t>
      </w:r>
      <w:r w:rsidR="00BD5EAB">
        <w:rPr>
          <w:rFonts w:asciiTheme="majorBidi" w:hAnsiTheme="majorBidi" w:cstheme="majorBidi"/>
        </w:rPr>
        <w:t xml:space="preserve"> had the same rate</w:t>
      </w:r>
      <w:r w:rsidR="00E44417" w:rsidRPr="00E44417">
        <w:rPr>
          <w:rFonts w:asciiTheme="majorBidi" w:hAnsiTheme="majorBidi" w:cstheme="majorBidi"/>
        </w:rPr>
        <w:t xml:space="preserve"> </w:t>
      </w:r>
      <w:r w:rsidRPr="00FF7565">
        <w:rPr>
          <w:rFonts w:asciiTheme="majorBidi" w:hAnsiTheme="majorBidi" w:cstheme="majorBidi"/>
        </w:rPr>
        <w:t xml:space="preserve">in </w:t>
      </w:r>
      <w:r w:rsidR="00E44417">
        <w:rPr>
          <w:rFonts w:asciiTheme="majorBidi" w:hAnsiTheme="majorBidi" w:cstheme="majorBidi"/>
        </w:rPr>
        <w:t>2017</w:t>
      </w:r>
      <w:r w:rsidRPr="00FF7565">
        <w:rPr>
          <w:rFonts w:asciiTheme="majorBidi" w:hAnsiTheme="majorBidi" w:cstheme="majorBidi"/>
        </w:rPr>
        <w:t>.</w:t>
      </w:r>
    </w:p>
    <w:p w:rsidR="00C71F7E" w:rsidRPr="00D340D9" w:rsidRDefault="00C71F7E" w:rsidP="00D340D9">
      <w:pPr>
        <w:autoSpaceDE w:val="0"/>
        <w:autoSpaceDN w:val="0"/>
        <w:bidi w:val="0"/>
        <w:adjustRightInd w:val="0"/>
        <w:rPr>
          <w:rFonts w:asciiTheme="majorBidi" w:hAnsiTheme="majorBidi" w:cstheme="majorBidi"/>
          <w:b/>
          <w:bCs/>
          <w:sz w:val="16"/>
          <w:szCs w:val="16"/>
          <w:highlight w:val="yellow"/>
        </w:rPr>
      </w:pPr>
    </w:p>
    <w:p w:rsidR="00C71F7E" w:rsidRDefault="00C71F7E" w:rsidP="00FB796E">
      <w:pPr>
        <w:autoSpaceDE w:val="0"/>
        <w:autoSpaceDN w:val="0"/>
        <w:bidi w:val="0"/>
        <w:adjustRightInd w:val="0"/>
        <w:jc w:val="both"/>
        <w:rPr>
          <w:rFonts w:asciiTheme="majorBidi" w:hAnsiTheme="majorBidi" w:cstheme="majorBidi"/>
          <w:b/>
          <w:bCs/>
          <w:highlight w:val="yellow"/>
        </w:rPr>
      </w:pPr>
      <w:r w:rsidRPr="00FB796E">
        <w:rPr>
          <w:rFonts w:asciiTheme="majorBidi" w:hAnsiTheme="majorBidi" w:cstheme="majorBidi"/>
        </w:rPr>
        <w:t xml:space="preserve">This rate is considered to be a result of the </w:t>
      </w:r>
      <w:r w:rsidR="00FB796E" w:rsidRPr="00FB796E">
        <w:rPr>
          <w:rFonts w:asciiTheme="majorBidi" w:hAnsiTheme="majorBidi" w:cstheme="majorBidi"/>
        </w:rPr>
        <w:t xml:space="preserve">consumed </w:t>
      </w:r>
      <w:r w:rsidRPr="00FB796E">
        <w:rPr>
          <w:rFonts w:asciiTheme="majorBidi" w:hAnsiTheme="majorBidi" w:cstheme="majorBidi"/>
        </w:rPr>
        <w:t>water</w:t>
      </w:r>
      <w:r w:rsidR="00FB796E" w:rsidRPr="00FB796E">
        <w:rPr>
          <w:rFonts w:asciiTheme="majorBidi" w:hAnsiTheme="majorBidi" w:cstheme="majorBidi"/>
        </w:rPr>
        <w:t xml:space="preserve"> quantities</w:t>
      </w:r>
      <w:r w:rsidRPr="00FB796E">
        <w:rPr>
          <w:rFonts w:asciiTheme="majorBidi" w:hAnsiTheme="majorBidi" w:cstheme="majorBidi"/>
        </w:rPr>
        <w:t xml:space="preserve"> divided by the population. There are some localities where the average per capita consumption does not exceed 50.4 liters per day, while this rate exceeds 150 liters per day in other </w:t>
      </w:r>
      <w:r w:rsidR="00FB796E" w:rsidRPr="00FB796E">
        <w:rPr>
          <w:rFonts w:asciiTheme="majorBidi" w:hAnsiTheme="majorBidi" w:cstheme="majorBidi"/>
        </w:rPr>
        <w:t xml:space="preserve">localities </w:t>
      </w:r>
      <w:r w:rsidRPr="00FB796E">
        <w:rPr>
          <w:rFonts w:asciiTheme="majorBidi" w:hAnsiTheme="majorBidi" w:cstheme="majorBidi"/>
        </w:rPr>
        <w:t>such as Jericho</w:t>
      </w:r>
      <w:r w:rsidR="00FB796E">
        <w:rPr>
          <w:rFonts w:asciiTheme="majorBidi" w:hAnsiTheme="majorBidi" w:cstheme="majorBidi"/>
        </w:rPr>
        <w:t>.</w:t>
      </w:r>
      <w:r w:rsidRPr="00FB796E">
        <w:rPr>
          <w:rFonts w:asciiTheme="majorBidi" w:hAnsiTheme="majorBidi" w:cstheme="majorBidi"/>
        </w:rPr>
        <w:t xml:space="preserve"> Thus, the goal of achieving justice in distribution among the </w:t>
      </w:r>
      <w:r w:rsidR="00FB796E" w:rsidRPr="00FB796E">
        <w:rPr>
          <w:rFonts w:asciiTheme="majorBidi" w:hAnsiTheme="majorBidi" w:cstheme="majorBidi"/>
        </w:rPr>
        <w:t xml:space="preserve">localities </w:t>
      </w:r>
      <w:r w:rsidRPr="00FB796E">
        <w:rPr>
          <w:rFonts w:asciiTheme="majorBidi" w:hAnsiTheme="majorBidi" w:cstheme="majorBidi"/>
        </w:rPr>
        <w:t>is one of the main challenges faced by the State of Palestine.</w:t>
      </w: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hint="cs"/>
          <w:b/>
          <w:bCs/>
          <w:sz w:val="16"/>
          <w:szCs w:val="16"/>
          <w:rtl/>
        </w:rPr>
      </w:pPr>
    </w:p>
    <w:p w:rsidR="00D340D9" w:rsidRDefault="00D340D9" w:rsidP="00D340D9">
      <w:pPr>
        <w:autoSpaceDE w:val="0"/>
        <w:autoSpaceDN w:val="0"/>
        <w:bidi w:val="0"/>
        <w:adjustRightInd w:val="0"/>
        <w:jc w:val="both"/>
        <w:rPr>
          <w:rFonts w:asciiTheme="majorBidi" w:hAnsiTheme="majorBidi" w:cstheme="majorBidi"/>
          <w:b/>
          <w:bCs/>
          <w:sz w:val="16"/>
          <w:szCs w:val="16"/>
        </w:rPr>
      </w:pPr>
    </w:p>
    <w:p w:rsidR="00FF7565" w:rsidRPr="00D340D9" w:rsidRDefault="00C46BF4" w:rsidP="00D340D9">
      <w:pPr>
        <w:autoSpaceDE w:val="0"/>
        <w:autoSpaceDN w:val="0"/>
        <w:bidi w:val="0"/>
        <w:adjustRightInd w:val="0"/>
        <w:jc w:val="both"/>
        <w:rPr>
          <w:rFonts w:asciiTheme="majorBidi" w:hAnsiTheme="majorBidi" w:cstheme="majorBidi"/>
          <w:b/>
          <w:bCs/>
          <w:sz w:val="26"/>
          <w:szCs w:val="26"/>
        </w:rPr>
      </w:pPr>
      <w:r w:rsidRPr="00D340D9">
        <w:rPr>
          <w:rFonts w:asciiTheme="majorBidi" w:hAnsiTheme="majorBidi" w:cstheme="majorBidi"/>
          <w:b/>
          <w:bCs/>
          <w:sz w:val="26"/>
          <w:szCs w:val="26"/>
        </w:rPr>
        <w:t>More than 9</w:t>
      </w:r>
      <w:r w:rsidR="00380ABB" w:rsidRPr="00D340D9">
        <w:rPr>
          <w:rFonts w:asciiTheme="majorBidi" w:hAnsiTheme="majorBidi" w:cstheme="majorBidi"/>
          <w:b/>
          <w:bCs/>
          <w:sz w:val="26"/>
          <w:szCs w:val="26"/>
        </w:rPr>
        <w:t>7</w:t>
      </w:r>
      <w:r w:rsidRPr="00D340D9">
        <w:rPr>
          <w:rFonts w:asciiTheme="majorBidi" w:hAnsiTheme="majorBidi" w:cstheme="majorBidi"/>
          <w:b/>
          <w:bCs/>
          <w:sz w:val="26"/>
          <w:szCs w:val="26"/>
        </w:rPr>
        <w:t xml:space="preserve">% of the </w:t>
      </w:r>
      <w:r w:rsidR="00FD1BC5" w:rsidRPr="00D340D9">
        <w:rPr>
          <w:rFonts w:asciiTheme="majorBidi" w:hAnsiTheme="majorBidi" w:cstheme="majorBidi"/>
          <w:b/>
          <w:bCs/>
          <w:sz w:val="26"/>
          <w:szCs w:val="26"/>
        </w:rPr>
        <w:t>W</w:t>
      </w:r>
      <w:r w:rsidRPr="00D340D9">
        <w:rPr>
          <w:rFonts w:asciiTheme="majorBidi" w:hAnsiTheme="majorBidi" w:cstheme="majorBidi"/>
          <w:b/>
          <w:bCs/>
          <w:sz w:val="26"/>
          <w:szCs w:val="26"/>
        </w:rPr>
        <w:t xml:space="preserve">ater </w:t>
      </w:r>
      <w:r w:rsidR="00FD1BC5" w:rsidRPr="00D340D9">
        <w:rPr>
          <w:rFonts w:asciiTheme="majorBidi" w:hAnsiTheme="majorBidi" w:cstheme="majorBidi"/>
          <w:b/>
          <w:bCs/>
          <w:sz w:val="26"/>
          <w:szCs w:val="26"/>
        </w:rPr>
        <w:t>P</w:t>
      </w:r>
      <w:r w:rsidRPr="00D340D9">
        <w:rPr>
          <w:rFonts w:asciiTheme="majorBidi" w:hAnsiTheme="majorBidi" w:cstheme="majorBidi"/>
          <w:b/>
          <w:bCs/>
          <w:sz w:val="26"/>
          <w:szCs w:val="26"/>
        </w:rPr>
        <w:t xml:space="preserve">umped from the </w:t>
      </w:r>
      <w:r w:rsidR="00FD1BC5" w:rsidRPr="00D340D9">
        <w:rPr>
          <w:rFonts w:asciiTheme="majorBidi" w:hAnsiTheme="majorBidi" w:cstheme="majorBidi"/>
          <w:b/>
          <w:bCs/>
          <w:sz w:val="26"/>
          <w:szCs w:val="26"/>
        </w:rPr>
        <w:t>C</w:t>
      </w:r>
      <w:r w:rsidRPr="00D340D9">
        <w:rPr>
          <w:rFonts w:asciiTheme="majorBidi" w:hAnsiTheme="majorBidi" w:cstheme="majorBidi"/>
          <w:b/>
          <w:bCs/>
          <w:sz w:val="26"/>
          <w:szCs w:val="26"/>
        </w:rPr>
        <w:t xml:space="preserve">oastal </w:t>
      </w:r>
      <w:r w:rsidR="00FD1BC5" w:rsidRPr="00D340D9">
        <w:rPr>
          <w:rFonts w:asciiTheme="majorBidi" w:hAnsiTheme="majorBidi" w:cstheme="majorBidi"/>
          <w:b/>
          <w:bCs/>
          <w:sz w:val="26"/>
          <w:szCs w:val="26"/>
        </w:rPr>
        <w:t>A</w:t>
      </w:r>
      <w:r w:rsidRPr="00D340D9">
        <w:rPr>
          <w:rFonts w:asciiTheme="majorBidi" w:hAnsiTheme="majorBidi" w:cstheme="majorBidi"/>
          <w:b/>
          <w:bCs/>
          <w:sz w:val="26"/>
          <w:szCs w:val="26"/>
        </w:rPr>
        <w:t xml:space="preserve">quifer does not </w:t>
      </w:r>
      <w:r w:rsidR="00FD1BC5" w:rsidRPr="00D340D9">
        <w:rPr>
          <w:rFonts w:asciiTheme="majorBidi" w:hAnsiTheme="majorBidi" w:cstheme="majorBidi"/>
          <w:b/>
          <w:bCs/>
          <w:sz w:val="26"/>
          <w:szCs w:val="26"/>
        </w:rPr>
        <w:t>M</w:t>
      </w:r>
      <w:r w:rsidR="00ED45F8" w:rsidRPr="00D340D9">
        <w:rPr>
          <w:rFonts w:asciiTheme="majorBidi" w:hAnsiTheme="majorBidi" w:cstheme="majorBidi"/>
          <w:b/>
          <w:bCs/>
          <w:sz w:val="26"/>
          <w:szCs w:val="26"/>
        </w:rPr>
        <w:t xml:space="preserve">eet </w:t>
      </w:r>
      <w:r w:rsidRPr="00D340D9">
        <w:rPr>
          <w:rFonts w:asciiTheme="majorBidi" w:hAnsiTheme="majorBidi" w:cstheme="majorBidi"/>
          <w:b/>
          <w:bCs/>
          <w:sz w:val="26"/>
          <w:szCs w:val="26"/>
        </w:rPr>
        <w:t xml:space="preserve">the </w:t>
      </w:r>
      <w:r w:rsidR="00FD1BC5" w:rsidRPr="00D340D9">
        <w:rPr>
          <w:rFonts w:asciiTheme="majorBidi" w:hAnsiTheme="majorBidi" w:cstheme="majorBidi"/>
          <w:b/>
          <w:bCs/>
          <w:sz w:val="26"/>
          <w:szCs w:val="26"/>
        </w:rPr>
        <w:t>S</w:t>
      </w:r>
      <w:r w:rsidRPr="00D340D9">
        <w:rPr>
          <w:rFonts w:asciiTheme="majorBidi" w:hAnsiTheme="majorBidi" w:cstheme="majorBidi"/>
          <w:b/>
          <w:bCs/>
          <w:sz w:val="26"/>
          <w:szCs w:val="26"/>
        </w:rPr>
        <w:t>tandards of the World Health Organization</w:t>
      </w:r>
    </w:p>
    <w:p w:rsidR="00165B29" w:rsidRDefault="004F57D2" w:rsidP="00B518E4">
      <w:pPr>
        <w:autoSpaceDE w:val="0"/>
        <w:autoSpaceDN w:val="0"/>
        <w:bidi w:val="0"/>
        <w:adjustRightInd w:val="0"/>
        <w:jc w:val="both"/>
        <w:rPr>
          <w:rFonts w:asciiTheme="majorBidi" w:hAnsiTheme="majorBidi" w:cstheme="majorBidi"/>
        </w:rPr>
      </w:pPr>
      <w:r w:rsidRPr="00FF7565">
        <w:rPr>
          <w:rFonts w:asciiTheme="majorBidi" w:hAnsiTheme="majorBidi" w:cstheme="majorBidi"/>
        </w:rPr>
        <w:t xml:space="preserve">The amount of water </w:t>
      </w:r>
      <w:r w:rsidR="005101D0" w:rsidRPr="00FF7565">
        <w:rPr>
          <w:rFonts w:asciiTheme="majorBidi" w:hAnsiTheme="majorBidi" w:cstheme="majorBidi"/>
        </w:rPr>
        <w:t xml:space="preserve">extracted </w:t>
      </w:r>
      <w:r w:rsidRPr="00FF7565">
        <w:rPr>
          <w:rFonts w:asciiTheme="majorBidi" w:hAnsiTheme="majorBidi" w:cstheme="majorBidi"/>
        </w:rPr>
        <w:t xml:space="preserve">from the coastal aquifer </w:t>
      </w:r>
      <w:r w:rsidR="00380ABB">
        <w:rPr>
          <w:rFonts w:asciiTheme="majorBidi" w:hAnsiTheme="majorBidi" w:cstheme="majorBidi"/>
        </w:rPr>
        <w:t xml:space="preserve"> for domestic use </w:t>
      </w:r>
      <w:r w:rsidRPr="00FF7565">
        <w:rPr>
          <w:rFonts w:asciiTheme="majorBidi" w:hAnsiTheme="majorBidi" w:cstheme="majorBidi"/>
        </w:rPr>
        <w:t xml:space="preserve">was </w:t>
      </w:r>
      <w:r w:rsidR="00E03F7F">
        <w:rPr>
          <w:rFonts w:asciiTheme="majorBidi" w:hAnsiTheme="majorBidi" w:cstheme="majorBidi"/>
        </w:rPr>
        <w:t>178</w:t>
      </w:r>
      <w:r w:rsidR="00380ABB">
        <w:rPr>
          <w:rFonts w:asciiTheme="majorBidi" w:hAnsiTheme="majorBidi" w:cstheme="majorBidi" w:hint="cs"/>
          <w:rtl/>
        </w:rPr>
        <w:t>.</w:t>
      </w:r>
      <w:r w:rsidR="00E03F7F">
        <w:rPr>
          <w:rFonts w:asciiTheme="majorBidi" w:hAnsiTheme="majorBidi" w:cstheme="majorBidi"/>
        </w:rPr>
        <w:t>7</w:t>
      </w:r>
      <w:r w:rsidRPr="00FF7565">
        <w:rPr>
          <w:rFonts w:asciiTheme="majorBidi" w:hAnsiTheme="majorBidi" w:cstheme="majorBidi"/>
        </w:rPr>
        <w:t xml:space="preserve"> </w:t>
      </w:r>
      <w:r w:rsidR="00B518E4" w:rsidRPr="00DE4D29">
        <w:t>million cubic meters</w:t>
      </w:r>
      <w:r w:rsidR="00C26788">
        <w:t xml:space="preserve"> </w:t>
      </w:r>
      <w:r w:rsidR="00C26788" w:rsidRPr="00DE4D29">
        <w:t>(MCM)</w:t>
      </w:r>
      <w:r w:rsidRPr="00FF7565">
        <w:rPr>
          <w:rFonts w:asciiTheme="majorBidi" w:hAnsiTheme="majorBidi" w:cstheme="majorBidi"/>
        </w:rPr>
        <w:t xml:space="preserve"> in Gaza Strip</w:t>
      </w:r>
      <w:r w:rsidR="004700A4" w:rsidRPr="00FF7565">
        <w:rPr>
          <w:rFonts w:asciiTheme="majorBidi" w:hAnsiTheme="majorBidi" w:cstheme="majorBidi"/>
        </w:rPr>
        <w:t xml:space="preserve"> in </w:t>
      </w:r>
      <w:r w:rsidR="00E03F7F">
        <w:rPr>
          <w:rFonts w:asciiTheme="majorBidi" w:hAnsiTheme="majorBidi" w:cstheme="majorBidi"/>
        </w:rPr>
        <w:t>2017</w:t>
      </w:r>
      <w:r w:rsidRPr="00FF7565">
        <w:rPr>
          <w:rFonts w:asciiTheme="majorBidi" w:hAnsiTheme="majorBidi" w:cstheme="majorBidi"/>
        </w:rPr>
        <w:t xml:space="preserve">, but this quantity is </w:t>
      </w:r>
      <w:r w:rsidR="005101D0" w:rsidRPr="00FF7565">
        <w:rPr>
          <w:rFonts w:asciiTheme="majorBidi" w:hAnsiTheme="majorBidi" w:cstheme="majorBidi"/>
        </w:rPr>
        <w:t>obtained via</w:t>
      </w:r>
      <w:r w:rsidRPr="00FF7565">
        <w:rPr>
          <w:rFonts w:asciiTheme="majorBidi" w:hAnsiTheme="majorBidi" w:cstheme="majorBidi"/>
        </w:rPr>
        <w:t xml:space="preserve"> </w:t>
      </w:r>
      <w:r w:rsidR="00CD14C1" w:rsidRPr="00FF7565">
        <w:rPr>
          <w:rFonts w:asciiTheme="majorBidi" w:hAnsiTheme="majorBidi" w:cstheme="majorBidi"/>
        </w:rPr>
        <w:t xml:space="preserve">unsafe pumping </w:t>
      </w:r>
      <w:r w:rsidR="005101D0" w:rsidRPr="00FF7565">
        <w:rPr>
          <w:rFonts w:asciiTheme="majorBidi" w:hAnsiTheme="majorBidi" w:cstheme="majorBidi"/>
        </w:rPr>
        <w:t>that jeopardizes sustainability of the source knowing that</w:t>
      </w:r>
      <w:r w:rsidR="00CD14C1" w:rsidRPr="00FF7565">
        <w:rPr>
          <w:rFonts w:asciiTheme="majorBidi" w:hAnsiTheme="majorBidi" w:cstheme="majorBidi"/>
        </w:rPr>
        <w:t xml:space="preserve"> </w:t>
      </w:r>
      <w:r w:rsidR="005101D0" w:rsidRPr="00FF7565">
        <w:rPr>
          <w:rFonts w:asciiTheme="majorBidi" w:hAnsiTheme="majorBidi" w:cstheme="majorBidi"/>
        </w:rPr>
        <w:t xml:space="preserve">the </w:t>
      </w:r>
      <w:r w:rsidR="00CD14C1" w:rsidRPr="00FF7565">
        <w:rPr>
          <w:rFonts w:asciiTheme="majorBidi" w:hAnsiTheme="majorBidi" w:cstheme="majorBidi"/>
        </w:rPr>
        <w:t xml:space="preserve">basin sustainable yield </w:t>
      </w:r>
      <w:r w:rsidR="005101D0" w:rsidRPr="00FF7565">
        <w:rPr>
          <w:rFonts w:asciiTheme="majorBidi" w:hAnsiTheme="majorBidi" w:cstheme="majorBidi"/>
        </w:rPr>
        <w:t xml:space="preserve">should </w:t>
      </w:r>
      <w:r w:rsidR="00CD14C1" w:rsidRPr="00FF7565">
        <w:rPr>
          <w:rFonts w:asciiTheme="majorBidi" w:hAnsiTheme="majorBidi" w:cstheme="majorBidi"/>
        </w:rPr>
        <w:t>not exceed 50-60 MCM</w:t>
      </w:r>
      <w:r w:rsidR="009405AC" w:rsidRPr="00FF7565">
        <w:rPr>
          <w:rFonts w:asciiTheme="majorBidi" w:hAnsiTheme="majorBidi" w:cstheme="majorBidi"/>
        </w:rPr>
        <w:t xml:space="preserve"> </w:t>
      </w:r>
      <w:r w:rsidR="00861803" w:rsidRPr="00FF7565">
        <w:rPr>
          <w:rFonts w:asciiTheme="majorBidi" w:hAnsiTheme="majorBidi" w:cstheme="majorBidi"/>
        </w:rPr>
        <w:t>a year</w:t>
      </w:r>
      <w:r w:rsidR="00CD14C1" w:rsidRPr="00FF7565">
        <w:rPr>
          <w:rFonts w:asciiTheme="majorBidi" w:hAnsiTheme="majorBidi" w:cstheme="majorBidi"/>
        </w:rPr>
        <w:t>. More than 9</w:t>
      </w:r>
      <w:r w:rsidR="00380ABB">
        <w:rPr>
          <w:rFonts w:asciiTheme="majorBidi" w:hAnsiTheme="majorBidi" w:cstheme="majorBidi" w:hint="cs"/>
          <w:rtl/>
        </w:rPr>
        <w:t>7</w:t>
      </w:r>
      <w:r w:rsidR="00CD14C1" w:rsidRPr="00FF7565">
        <w:rPr>
          <w:rFonts w:asciiTheme="majorBidi" w:hAnsiTheme="majorBidi" w:cstheme="majorBidi"/>
        </w:rPr>
        <w:t xml:space="preserve">% of the water pumped from the coastal aquifer in Gaza Strip does not </w:t>
      </w:r>
      <w:r w:rsidR="00ED45F8">
        <w:rPr>
          <w:rFonts w:asciiTheme="majorBidi" w:hAnsiTheme="majorBidi" w:cstheme="majorBidi"/>
        </w:rPr>
        <w:t>meet</w:t>
      </w:r>
      <w:r w:rsidR="00ED45F8" w:rsidRPr="00FF7565">
        <w:rPr>
          <w:rFonts w:asciiTheme="majorBidi" w:hAnsiTheme="majorBidi" w:cstheme="majorBidi"/>
        </w:rPr>
        <w:t xml:space="preserve"> </w:t>
      </w:r>
      <w:r w:rsidR="00CD14C1" w:rsidRPr="00FF7565">
        <w:rPr>
          <w:rFonts w:asciiTheme="majorBidi" w:hAnsiTheme="majorBidi" w:cstheme="majorBidi"/>
        </w:rPr>
        <w:t>the water quality standards of the World Health Organization</w:t>
      </w:r>
      <w:r w:rsidR="00C71F7E">
        <w:rPr>
          <w:rFonts w:asciiTheme="majorBidi" w:hAnsiTheme="majorBidi" w:cstheme="majorBidi"/>
        </w:rPr>
        <w:t>, this l</w:t>
      </w:r>
      <w:r w:rsidR="00C71F7E" w:rsidRPr="00C71F7E">
        <w:rPr>
          <w:rFonts w:asciiTheme="majorBidi" w:hAnsiTheme="majorBidi" w:cstheme="majorBidi"/>
        </w:rPr>
        <w:t>eading to the depletion of groundwater reserves</w:t>
      </w:r>
      <w:r w:rsidR="00B518E4">
        <w:rPr>
          <w:rFonts w:asciiTheme="majorBidi" w:hAnsiTheme="majorBidi" w:cstheme="majorBidi"/>
        </w:rPr>
        <w:t>,</w:t>
      </w:r>
      <w:r w:rsidR="00C71F7E" w:rsidRPr="00C71F7E">
        <w:rPr>
          <w:rFonts w:asciiTheme="majorBidi" w:hAnsiTheme="majorBidi" w:cstheme="majorBidi"/>
        </w:rPr>
        <w:t xml:space="preserve"> </w:t>
      </w:r>
      <w:r w:rsidR="00B518E4">
        <w:rPr>
          <w:rFonts w:asciiTheme="majorBidi" w:hAnsiTheme="majorBidi" w:cstheme="majorBidi"/>
        </w:rPr>
        <w:t>with t</w:t>
      </w:r>
      <w:r w:rsidR="00C71F7E" w:rsidRPr="00C71F7E">
        <w:rPr>
          <w:rFonts w:asciiTheme="majorBidi" w:hAnsiTheme="majorBidi" w:cstheme="majorBidi"/>
        </w:rPr>
        <w:t>he groundwater level in the coastal aquifer reached 19 meters below sea level.</w:t>
      </w:r>
    </w:p>
    <w:p w:rsidR="001C451F" w:rsidRPr="00FF7565" w:rsidRDefault="001C451F" w:rsidP="00C46BF4">
      <w:pPr>
        <w:shd w:val="clear" w:color="auto" w:fill="FFFFFF" w:themeFill="background1"/>
        <w:bidi w:val="0"/>
        <w:jc w:val="lowKashida"/>
        <w:rPr>
          <w:rFonts w:asciiTheme="majorBidi" w:hAnsiTheme="majorBidi" w:cstheme="majorBidi"/>
          <w:highlight w:val="yellow"/>
        </w:rPr>
      </w:pPr>
    </w:p>
    <w:p w:rsidR="00FF7565" w:rsidRPr="00D340D9" w:rsidRDefault="00296E24" w:rsidP="00D340D9">
      <w:pPr>
        <w:shd w:val="clear" w:color="auto" w:fill="FFFFFF" w:themeFill="background1"/>
        <w:bidi w:val="0"/>
        <w:jc w:val="both"/>
        <w:rPr>
          <w:rFonts w:asciiTheme="majorBidi" w:hAnsiTheme="majorBidi" w:cstheme="majorBidi"/>
          <w:b/>
          <w:bCs/>
          <w:sz w:val="26"/>
          <w:szCs w:val="26"/>
        </w:rPr>
      </w:pPr>
      <w:r w:rsidRPr="00D340D9">
        <w:rPr>
          <w:rFonts w:asciiTheme="majorBidi" w:hAnsiTheme="majorBidi" w:cstheme="majorBidi"/>
          <w:b/>
          <w:bCs/>
          <w:sz w:val="26"/>
          <w:szCs w:val="26"/>
        </w:rPr>
        <w:t>77</w:t>
      </w:r>
      <w:r w:rsidR="00C46BF4" w:rsidRPr="00D340D9">
        <w:rPr>
          <w:rFonts w:asciiTheme="majorBidi" w:hAnsiTheme="majorBidi" w:cstheme="majorBidi"/>
          <w:b/>
          <w:bCs/>
          <w:sz w:val="26"/>
          <w:szCs w:val="26"/>
        </w:rPr>
        <w:t>%</w:t>
      </w:r>
      <w:r w:rsidR="001C451F" w:rsidRPr="00D340D9">
        <w:rPr>
          <w:rFonts w:asciiTheme="majorBidi" w:hAnsiTheme="majorBidi" w:cstheme="majorBidi"/>
          <w:b/>
          <w:bCs/>
          <w:sz w:val="26"/>
          <w:szCs w:val="26"/>
        </w:rPr>
        <w:t xml:space="preserve"> of Available Water is </w:t>
      </w:r>
      <w:r w:rsidRPr="00D340D9">
        <w:rPr>
          <w:rFonts w:asciiTheme="majorBidi" w:hAnsiTheme="majorBidi" w:cstheme="majorBidi"/>
          <w:b/>
          <w:bCs/>
          <w:sz w:val="26"/>
          <w:szCs w:val="26"/>
        </w:rPr>
        <w:t xml:space="preserve">from Surface and Ground Water </w:t>
      </w:r>
    </w:p>
    <w:p w:rsidR="00165B29" w:rsidRPr="00FF7565" w:rsidRDefault="005101D0" w:rsidP="00B518E4">
      <w:pPr>
        <w:shd w:val="clear" w:color="auto" w:fill="FFFFFF" w:themeFill="background1"/>
        <w:bidi w:val="0"/>
        <w:jc w:val="lowKashida"/>
        <w:rPr>
          <w:rFonts w:asciiTheme="majorBidi" w:hAnsiTheme="majorBidi" w:cstheme="majorBidi"/>
        </w:rPr>
      </w:pPr>
      <w:r w:rsidRPr="00FF7565">
        <w:rPr>
          <w:rFonts w:asciiTheme="majorBidi" w:hAnsiTheme="majorBidi" w:cstheme="majorBidi"/>
        </w:rPr>
        <w:t>Data show</w:t>
      </w:r>
      <w:r w:rsidR="00ED45F8">
        <w:rPr>
          <w:rFonts w:asciiTheme="majorBidi" w:hAnsiTheme="majorBidi" w:cstheme="majorBidi"/>
        </w:rPr>
        <w:t>ed</w:t>
      </w:r>
      <w:r w:rsidR="00C93BC6" w:rsidRPr="00FF7565">
        <w:rPr>
          <w:rFonts w:asciiTheme="majorBidi" w:hAnsiTheme="majorBidi" w:cstheme="majorBidi"/>
        </w:rPr>
        <w:t xml:space="preserve"> </w:t>
      </w:r>
      <w:r w:rsidR="00002968">
        <w:rPr>
          <w:rFonts w:asciiTheme="majorBidi" w:hAnsiTheme="majorBidi" w:cstheme="majorBidi"/>
        </w:rPr>
        <w:t xml:space="preserve">that </w:t>
      </w:r>
      <w:r w:rsidR="009405AC" w:rsidRPr="00FF7565">
        <w:rPr>
          <w:rFonts w:asciiTheme="majorBidi" w:hAnsiTheme="majorBidi" w:cstheme="majorBidi"/>
        </w:rPr>
        <w:t>the percentage of</w:t>
      </w:r>
      <w:r w:rsidR="00C93BC6" w:rsidRPr="00FF7565">
        <w:rPr>
          <w:rFonts w:asciiTheme="majorBidi" w:hAnsiTheme="majorBidi" w:cstheme="majorBidi"/>
        </w:rPr>
        <w:t xml:space="preserve"> the </w:t>
      </w:r>
      <w:r w:rsidRPr="00FF7565">
        <w:rPr>
          <w:rFonts w:asciiTheme="majorBidi" w:hAnsiTheme="majorBidi" w:cstheme="majorBidi"/>
        </w:rPr>
        <w:t xml:space="preserve">exploitation </w:t>
      </w:r>
      <w:r w:rsidR="00C93BC6" w:rsidRPr="00FF7565">
        <w:rPr>
          <w:rFonts w:asciiTheme="majorBidi" w:hAnsiTheme="majorBidi" w:cstheme="majorBidi"/>
        </w:rPr>
        <w:t xml:space="preserve">of surface and ground water </w:t>
      </w:r>
      <w:r w:rsidR="00810225" w:rsidRPr="00FF7565">
        <w:rPr>
          <w:rFonts w:asciiTheme="majorBidi" w:hAnsiTheme="majorBidi" w:cstheme="majorBidi"/>
        </w:rPr>
        <w:t>from</w:t>
      </w:r>
      <w:r w:rsidR="00C91F4D" w:rsidRPr="00FF7565">
        <w:rPr>
          <w:rFonts w:asciiTheme="majorBidi" w:hAnsiTheme="majorBidi" w:cstheme="majorBidi"/>
        </w:rPr>
        <w:t xml:space="preserve"> available </w:t>
      </w:r>
      <w:r w:rsidR="00C93BC6" w:rsidRPr="00FF7565">
        <w:rPr>
          <w:rFonts w:asciiTheme="majorBidi" w:hAnsiTheme="majorBidi" w:cstheme="majorBidi"/>
        </w:rPr>
        <w:t xml:space="preserve">water in the </w:t>
      </w:r>
      <w:r w:rsidR="00C46BF4" w:rsidRPr="00FF7565">
        <w:rPr>
          <w:rFonts w:asciiTheme="majorBidi" w:hAnsiTheme="majorBidi" w:cstheme="majorBidi"/>
        </w:rPr>
        <w:t>year</w:t>
      </w:r>
      <w:r w:rsidR="00C93BC6" w:rsidRPr="00FF7565">
        <w:rPr>
          <w:rFonts w:asciiTheme="majorBidi" w:hAnsiTheme="majorBidi" w:cstheme="majorBidi"/>
        </w:rPr>
        <w:t xml:space="preserve"> </w:t>
      </w:r>
      <w:r w:rsidR="000A581F">
        <w:rPr>
          <w:rFonts w:asciiTheme="majorBidi" w:hAnsiTheme="majorBidi" w:cstheme="majorBidi"/>
        </w:rPr>
        <w:t>2017</w:t>
      </w:r>
      <w:r w:rsidR="009405AC" w:rsidRPr="00FF7565">
        <w:rPr>
          <w:rFonts w:asciiTheme="majorBidi" w:hAnsiTheme="majorBidi" w:cstheme="majorBidi"/>
        </w:rPr>
        <w:t xml:space="preserve"> was high</w:t>
      </w:r>
      <w:r w:rsidR="00C93BC6" w:rsidRPr="00FF7565">
        <w:rPr>
          <w:rFonts w:asciiTheme="majorBidi" w:hAnsiTheme="majorBidi" w:cstheme="majorBidi"/>
        </w:rPr>
        <w:t xml:space="preserve">, </w:t>
      </w:r>
      <w:r w:rsidR="004700A4" w:rsidRPr="00FF7565">
        <w:rPr>
          <w:rFonts w:asciiTheme="majorBidi" w:hAnsiTheme="majorBidi" w:cstheme="majorBidi"/>
        </w:rPr>
        <w:t xml:space="preserve">with </w:t>
      </w:r>
      <w:r w:rsidR="00ED45F8">
        <w:rPr>
          <w:rFonts w:asciiTheme="majorBidi" w:hAnsiTheme="majorBidi" w:cstheme="majorBidi"/>
        </w:rPr>
        <w:t xml:space="preserve">an </w:t>
      </w:r>
      <w:r w:rsidR="00ED45F8" w:rsidRPr="00FF7565">
        <w:rPr>
          <w:rFonts w:asciiTheme="majorBidi" w:hAnsiTheme="majorBidi" w:cstheme="majorBidi"/>
        </w:rPr>
        <w:t>averag</w:t>
      </w:r>
      <w:r w:rsidR="00ED45F8">
        <w:rPr>
          <w:rFonts w:asciiTheme="majorBidi" w:hAnsiTheme="majorBidi" w:cstheme="majorBidi"/>
        </w:rPr>
        <w:t>e of</w:t>
      </w:r>
      <w:r w:rsidR="004700A4" w:rsidRPr="00FF7565">
        <w:rPr>
          <w:rFonts w:asciiTheme="majorBidi" w:hAnsiTheme="majorBidi" w:cstheme="majorBidi"/>
        </w:rPr>
        <w:t xml:space="preserve"> </w:t>
      </w:r>
      <w:r w:rsidR="00B518E4">
        <w:rPr>
          <w:rFonts w:asciiTheme="majorBidi" w:hAnsiTheme="majorBidi" w:cstheme="majorBidi"/>
        </w:rPr>
        <w:t>77</w:t>
      </w:r>
      <w:r w:rsidR="004700A4" w:rsidRPr="00FF7565">
        <w:rPr>
          <w:rFonts w:asciiTheme="majorBidi" w:hAnsiTheme="majorBidi" w:cstheme="majorBidi"/>
        </w:rPr>
        <w:t>%</w:t>
      </w:r>
      <w:r w:rsidR="00C93BC6" w:rsidRPr="00FF7565">
        <w:rPr>
          <w:rFonts w:asciiTheme="majorBidi" w:hAnsiTheme="majorBidi" w:cstheme="majorBidi"/>
        </w:rPr>
        <w:t>.</w:t>
      </w:r>
    </w:p>
    <w:p w:rsidR="004700A4" w:rsidRPr="00D340D9" w:rsidRDefault="004700A4" w:rsidP="00D340D9">
      <w:pPr>
        <w:shd w:val="clear" w:color="auto" w:fill="FFFFFF" w:themeFill="background1"/>
        <w:bidi w:val="0"/>
        <w:rPr>
          <w:rFonts w:asciiTheme="majorBidi" w:hAnsiTheme="majorBidi" w:cstheme="majorBidi"/>
          <w:sz w:val="16"/>
          <w:szCs w:val="16"/>
        </w:rPr>
      </w:pPr>
    </w:p>
    <w:p w:rsidR="00165B29" w:rsidRPr="00FF7565" w:rsidRDefault="005101D0" w:rsidP="00380ABB">
      <w:pPr>
        <w:shd w:val="clear" w:color="auto" w:fill="FFFFFF" w:themeFill="background1"/>
        <w:autoSpaceDE w:val="0"/>
        <w:autoSpaceDN w:val="0"/>
        <w:bidi w:val="0"/>
        <w:adjustRightInd w:val="0"/>
        <w:jc w:val="both"/>
        <w:rPr>
          <w:rFonts w:asciiTheme="majorBidi" w:hAnsiTheme="majorBidi" w:cstheme="majorBidi"/>
        </w:rPr>
      </w:pPr>
      <w:r w:rsidRPr="00FF7565">
        <w:rPr>
          <w:rFonts w:asciiTheme="majorBidi" w:hAnsiTheme="majorBidi" w:cstheme="majorBidi"/>
        </w:rPr>
        <w:t>It should be noted that the</w:t>
      </w:r>
      <w:r w:rsidR="00E4357C" w:rsidRPr="00FF7565">
        <w:rPr>
          <w:rFonts w:asciiTheme="majorBidi" w:hAnsiTheme="majorBidi" w:cstheme="majorBidi"/>
        </w:rPr>
        <w:t xml:space="preserve"> Palestinian</w:t>
      </w:r>
      <w:r w:rsidRPr="00FF7565">
        <w:rPr>
          <w:rFonts w:asciiTheme="majorBidi" w:hAnsiTheme="majorBidi" w:cstheme="majorBidi"/>
        </w:rPr>
        <w:t>s</w:t>
      </w:r>
      <w:r w:rsidR="00E4357C" w:rsidRPr="00FF7565">
        <w:rPr>
          <w:rFonts w:asciiTheme="majorBidi" w:hAnsiTheme="majorBidi" w:cstheme="majorBidi"/>
        </w:rPr>
        <w:t xml:space="preserve"> </w:t>
      </w:r>
      <w:r w:rsidRPr="00FF7565">
        <w:rPr>
          <w:rFonts w:asciiTheme="majorBidi" w:hAnsiTheme="majorBidi" w:cstheme="majorBidi"/>
        </w:rPr>
        <w:t>have been denied access to extraction</w:t>
      </w:r>
      <w:r w:rsidR="00E4357C" w:rsidRPr="00FF7565">
        <w:rPr>
          <w:rFonts w:asciiTheme="majorBidi" w:hAnsiTheme="majorBidi" w:cstheme="majorBidi"/>
        </w:rPr>
        <w:t xml:space="preserve"> </w:t>
      </w:r>
      <w:r w:rsidRPr="00FF7565">
        <w:rPr>
          <w:rFonts w:asciiTheme="majorBidi" w:hAnsiTheme="majorBidi" w:cstheme="majorBidi"/>
        </w:rPr>
        <w:t xml:space="preserve">from the </w:t>
      </w:r>
      <w:r w:rsidR="00E4357C" w:rsidRPr="00FF7565">
        <w:rPr>
          <w:rFonts w:asciiTheme="majorBidi" w:hAnsiTheme="majorBidi" w:cstheme="majorBidi"/>
        </w:rPr>
        <w:t>Jordan River since 1967</w:t>
      </w:r>
      <w:r w:rsidR="001A1ECB" w:rsidRPr="00FF7565">
        <w:rPr>
          <w:rFonts w:asciiTheme="majorBidi" w:hAnsiTheme="majorBidi" w:cstheme="majorBidi"/>
        </w:rPr>
        <w:t xml:space="preserve">, </w:t>
      </w:r>
      <w:r w:rsidRPr="00FF7565">
        <w:rPr>
          <w:rFonts w:asciiTheme="majorBidi" w:hAnsiTheme="majorBidi" w:cstheme="majorBidi"/>
        </w:rPr>
        <w:t xml:space="preserve">which was estimated </w:t>
      </w:r>
      <w:r w:rsidR="00380ABB">
        <w:rPr>
          <w:rFonts w:asciiTheme="majorBidi" w:hAnsiTheme="majorBidi" w:cstheme="majorBidi"/>
        </w:rPr>
        <w:t>about</w:t>
      </w:r>
      <w:r w:rsidRPr="00FF7565">
        <w:rPr>
          <w:rFonts w:asciiTheme="majorBidi" w:hAnsiTheme="majorBidi" w:cstheme="majorBidi"/>
        </w:rPr>
        <w:t xml:space="preserve"> 250 </w:t>
      </w:r>
      <w:r w:rsidR="00F56545" w:rsidRPr="00FF7565">
        <w:rPr>
          <w:rFonts w:asciiTheme="majorBidi" w:hAnsiTheme="majorBidi" w:cstheme="majorBidi"/>
        </w:rPr>
        <w:t>MCM.</w:t>
      </w:r>
    </w:p>
    <w:p w:rsidR="00C46BF4" w:rsidRPr="00D340D9" w:rsidRDefault="00C46BF4" w:rsidP="00D340D9">
      <w:pPr>
        <w:shd w:val="clear" w:color="auto" w:fill="FFFFFF" w:themeFill="background1"/>
        <w:autoSpaceDE w:val="0"/>
        <w:autoSpaceDN w:val="0"/>
        <w:bidi w:val="0"/>
        <w:adjustRightInd w:val="0"/>
        <w:rPr>
          <w:rFonts w:asciiTheme="majorBidi" w:hAnsiTheme="majorBidi" w:cstheme="majorBidi"/>
          <w:sz w:val="16"/>
          <w:szCs w:val="16"/>
        </w:rPr>
      </w:pPr>
    </w:p>
    <w:p w:rsidR="00C46BF4" w:rsidRDefault="00C46BF4" w:rsidP="00B518E4">
      <w:pPr>
        <w:shd w:val="clear" w:color="auto" w:fill="FFFFFF" w:themeFill="background1"/>
        <w:autoSpaceDE w:val="0"/>
        <w:autoSpaceDN w:val="0"/>
        <w:bidi w:val="0"/>
        <w:adjustRightInd w:val="0"/>
        <w:jc w:val="both"/>
        <w:rPr>
          <w:rFonts w:asciiTheme="majorBidi" w:hAnsiTheme="majorBidi" w:cstheme="majorBidi"/>
        </w:rPr>
      </w:pPr>
      <w:r w:rsidRPr="00FF7565">
        <w:rPr>
          <w:rFonts w:asciiTheme="majorBidi" w:hAnsiTheme="majorBidi" w:cstheme="majorBidi"/>
        </w:rPr>
        <w:t xml:space="preserve">On the other hand, the quantity of </w:t>
      </w:r>
      <w:r w:rsidR="00380ABB" w:rsidRPr="00380ABB">
        <w:rPr>
          <w:rFonts w:asciiTheme="majorBidi" w:hAnsiTheme="majorBidi" w:cstheme="majorBidi"/>
        </w:rPr>
        <w:t>Water Pumped from Palestinian Wells</w:t>
      </w:r>
      <w:r w:rsidRPr="00FF7565">
        <w:rPr>
          <w:rFonts w:asciiTheme="majorBidi" w:hAnsiTheme="majorBidi" w:cstheme="majorBidi"/>
        </w:rPr>
        <w:t xml:space="preserve"> in the West Bank in </w:t>
      </w:r>
      <w:r w:rsidR="000A581F">
        <w:rPr>
          <w:rFonts w:asciiTheme="majorBidi" w:hAnsiTheme="majorBidi" w:cstheme="majorBidi"/>
        </w:rPr>
        <w:t>2017</w:t>
      </w:r>
      <w:r w:rsidRPr="00FF7565">
        <w:rPr>
          <w:rFonts w:asciiTheme="majorBidi" w:hAnsiTheme="majorBidi" w:cstheme="majorBidi"/>
        </w:rPr>
        <w:t xml:space="preserve"> was </w:t>
      </w:r>
      <w:r w:rsidR="00B518E4">
        <w:rPr>
          <w:rFonts w:asciiTheme="majorBidi" w:hAnsiTheme="majorBidi" w:cstheme="majorBidi"/>
        </w:rPr>
        <w:t>86</w:t>
      </w:r>
      <w:r w:rsidR="00380ABB">
        <w:rPr>
          <w:rFonts w:asciiTheme="majorBidi" w:hAnsiTheme="majorBidi" w:cstheme="majorBidi"/>
        </w:rPr>
        <w:t xml:space="preserve"> </w:t>
      </w:r>
      <w:r w:rsidR="00380ABB" w:rsidRPr="00FF7565">
        <w:rPr>
          <w:rFonts w:asciiTheme="majorBidi" w:hAnsiTheme="majorBidi" w:cstheme="majorBidi"/>
        </w:rPr>
        <w:t>MCM</w:t>
      </w:r>
      <w:r w:rsidRPr="00FF7565">
        <w:rPr>
          <w:rFonts w:asciiTheme="majorBidi" w:hAnsiTheme="majorBidi" w:cstheme="majorBidi"/>
        </w:rPr>
        <w:t xml:space="preserve"> from Eastern aquifer, Western aquifer and North-Eastern aquifer.</w:t>
      </w:r>
    </w:p>
    <w:p w:rsidR="0029774F" w:rsidRPr="00D340D9" w:rsidRDefault="0029774F" w:rsidP="00D340D9">
      <w:pPr>
        <w:shd w:val="clear" w:color="auto" w:fill="FFFFFF" w:themeFill="background1"/>
        <w:bidi w:val="0"/>
        <w:rPr>
          <w:rFonts w:asciiTheme="majorBidi" w:hAnsiTheme="majorBidi" w:cstheme="majorBidi"/>
          <w:b/>
          <w:bCs/>
          <w:sz w:val="16"/>
          <w:szCs w:val="16"/>
        </w:rPr>
      </w:pPr>
    </w:p>
    <w:p w:rsidR="00D340D9" w:rsidRDefault="00810225" w:rsidP="00D340D9">
      <w:pPr>
        <w:shd w:val="clear" w:color="auto" w:fill="FFFFFF" w:themeFill="background1"/>
        <w:bidi w:val="0"/>
        <w:jc w:val="center"/>
        <w:rPr>
          <w:rFonts w:asciiTheme="majorBidi" w:hAnsiTheme="majorBidi" w:cstheme="majorBidi"/>
          <w:b/>
          <w:bCs/>
          <w:sz w:val="26"/>
          <w:szCs w:val="26"/>
        </w:rPr>
      </w:pPr>
      <w:r w:rsidRPr="00D340D9">
        <w:rPr>
          <w:rFonts w:asciiTheme="majorBidi" w:hAnsiTheme="majorBidi" w:cstheme="majorBidi"/>
          <w:b/>
          <w:bCs/>
          <w:sz w:val="26"/>
          <w:szCs w:val="26"/>
        </w:rPr>
        <w:t>Percentage of abstracted surface and ground water from</w:t>
      </w:r>
    </w:p>
    <w:p w:rsidR="00810225" w:rsidRPr="00D340D9" w:rsidRDefault="00810225" w:rsidP="00D340D9">
      <w:pPr>
        <w:shd w:val="clear" w:color="auto" w:fill="FFFFFF" w:themeFill="background1"/>
        <w:bidi w:val="0"/>
        <w:jc w:val="center"/>
        <w:rPr>
          <w:rFonts w:asciiTheme="majorBidi" w:hAnsiTheme="majorBidi" w:cstheme="majorBidi"/>
          <w:b/>
          <w:bCs/>
          <w:sz w:val="26"/>
          <w:szCs w:val="26"/>
        </w:rPr>
      </w:pPr>
      <w:r w:rsidRPr="00D340D9">
        <w:rPr>
          <w:rFonts w:asciiTheme="majorBidi" w:hAnsiTheme="majorBidi" w:cstheme="majorBidi"/>
          <w:b/>
          <w:bCs/>
          <w:sz w:val="26"/>
          <w:szCs w:val="26"/>
        </w:rPr>
        <w:t xml:space="preserve"> </w:t>
      </w:r>
      <w:r w:rsidR="00D340D9" w:rsidRPr="00D340D9">
        <w:rPr>
          <w:rFonts w:asciiTheme="majorBidi" w:hAnsiTheme="majorBidi" w:cstheme="majorBidi"/>
          <w:b/>
          <w:bCs/>
          <w:sz w:val="26"/>
          <w:szCs w:val="26"/>
        </w:rPr>
        <w:t>A</w:t>
      </w:r>
      <w:r w:rsidRPr="00D340D9">
        <w:rPr>
          <w:rFonts w:asciiTheme="majorBidi" w:hAnsiTheme="majorBidi" w:cstheme="majorBidi"/>
          <w:b/>
          <w:bCs/>
          <w:sz w:val="26"/>
          <w:szCs w:val="26"/>
        </w:rPr>
        <w:t>vailable</w:t>
      </w:r>
      <w:r w:rsidR="00D340D9">
        <w:rPr>
          <w:rFonts w:asciiTheme="majorBidi" w:hAnsiTheme="majorBidi" w:cstheme="majorBidi"/>
          <w:b/>
          <w:bCs/>
          <w:sz w:val="26"/>
          <w:szCs w:val="26"/>
        </w:rPr>
        <w:t xml:space="preserve"> </w:t>
      </w:r>
      <w:r w:rsidRPr="00D340D9">
        <w:rPr>
          <w:rFonts w:asciiTheme="majorBidi" w:hAnsiTheme="majorBidi" w:cstheme="majorBidi"/>
          <w:b/>
          <w:bCs/>
          <w:sz w:val="26"/>
          <w:szCs w:val="26"/>
        </w:rPr>
        <w:t>water</w:t>
      </w:r>
      <w:r w:rsidR="004700A4" w:rsidRPr="00D340D9">
        <w:rPr>
          <w:rFonts w:asciiTheme="majorBidi" w:hAnsiTheme="majorBidi" w:cstheme="majorBidi"/>
          <w:b/>
          <w:bCs/>
          <w:sz w:val="26"/>
          <w:szCs w:val="26"/>
        </w:rPr>
        <w:t xml:space="preserve">, </w:t>
      </w:r>
      <w:r w:rsidR="007E7858" w:rsidRPr="00D340D9">
        <w:rPr>
          <w:rFonts w:asciiTheme="majorBidi" w:hAnsiTheme="majorBidi" w:cstheme="majorBidi"/>
          <w:b/>
          <w:bCs/>
          <w:sz w:val="26"/>
          <w:szCs w:val="26"/>
        </w:rPr>
        <w:t>2009</w:t>
      </w:r>
      <w:r w:rsidR="004700A4" w:rsidRPr="00D340D9">
        <w:rPr>
          <w:rFonts w:asciiTheme="majorBidi" w:hAnsiTheme="majorBidi" w:cstheme="majorBidi"/>
          <w:b/>
          <w:bCs/>
          <w:sz w:val="26"/>
          <w:szCs w:val="26"/>
        </w:rPr>
        <w:t>-</w:t>
      </w:r>
      <w:r w:rsidR="0021221E" w:rsidRPr="00D340D9">
        <w:rPr>
          <w:rFonts w:asciiTheme="majorBidi" w:hAnsiTheme="majorBidi" w:cstheme="majorBidi"/>
          <w:b/>
          <w:bCs/>
          <w:sz w:val="26"/>
          <w:szCs w:val="26"/>
        </w:rPr>
        <w:t>2017</w:t>
      </w:r>
    </w:p>
    <w:p w:rsidR="008A3E2E" w:rsidRPr="00FF7565" w:rsidRDefault="00E4357C" w:rsidP="00D340D9">
      <w:pPr>
        <w:bidi w:val="0"/>
        <w:jc w:val="center"/>
        <w:rPr>
          <w:rFonts w:asciiTheme="majorBidi" w:hAnsiTheme="majorBidi" w:cstheme="majorBidi"/>
          <w:highlight w:val="yellow"/>
        </w:rPr>
      </w:pPr>
      <w:r w:rsidRPr="00FF7565">
        <w:rPr>
          <w:rFonts w:asciiTheme="majorBidi" w:hAnsiTheme="majorBidi" w:cstheme="majorBidi"/>
          <w:noProof/>
          <w:highlight w:val="yellow"/>
          <w:bdr w:val="single" w:sz="4" w:space="0" w:color="auto"/>
          <w:lang w:eastAsia="en-US"/>
        </w:rPr>
        <w:drawing>
          <wp:inline distT="0" distB="0" distL="0" distR="0">
            <wp:extent cx="3067050" cy="1924050"/>
            <wp:effectExtent l="0" t="0" r="0" b="0"/>
            <wp:docPr id="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221E" w:rsidRPr="00D340D9" w:rsidRDefault="0021221E" w:rsidP="00D340D9">
      <w:pPr>
        <w:shd w:val="clear" w:color="auto" w:fill="FFFFFF" w:themeFill="background1"/>
        <w:bidi w:val="0"/>
        <w:ind w:left="142" w:hanging="142"/>
        <w:jc w:val="both"/>
        <w:rPr>
          <w:rFonts w:asciiTheme="majorBidi" w:hAnsiTheme="majorBidi" w:cstheme="majorBidi"/>
          <w:sz w:val="16"/>
          <w:szCs w:val="16"/>
          <w:lang w:eastAsia="en-US"/>
        </w:rPr>
      </w:pPr>
    </w:p>
    <w:p w:rsidR="00272A24" w:rsidRPr="00D340D9" w:rsidRDefault="00C71783" w:rsidP="00D340D9">
      <w:pPr>
        <w:bidi w:val="0"/>
        <w:jc w:val="both"/>
        <w:rPr>
          <w:b/>
          <w:bCs/>
          <w:sz w:val="26"/>
          <w:szCs w:val="26"/>
        </w:rPr>
      </w:pPr>
      <w:r w:rsidRPr="00D340D9">
        <w:rPr>
          <w:rFonts w:hint="cs"/>
          <w:b/>
          <w:bCs/>
          <w:sz w:val="26"/>
          <w:szCs w:val="26"/>
          <w:rtl/>
        </w:rPr>
        <w:t>22</w:t>
      </w:r>
      <w:r w:rsidR="0021221E" w:rsidRPr="00D340D9">
        <w:rPr>
          <w:b/>
          <w:bCs/>
          <w:sz w:val="26"/>
          <w:szCs w:val="26"/>
        </w:rPr>
        <w:t>% of Available Water in Palestine Purchased from Israeli Water Company "Mekorot"</w:t>
      </w:r>
    </w:p>
    <w:p w:rsidR="0021221E" w:rsidRDefault="0021221E" w:rsidP="00C26788">
      <w:pPr>
        <w:bidi w:val="0"/>
        <w:jc w:val="both"/>
      </w:pPr>
      <w:r w:rsidRPr="00DE4D29">
        <w:t xml:space="preserve">With scarce water and Israeli restrictions on access to resources, Palestinian cities are forced to purchase water from the Israeli water company “Mekorot”. In </w:t>
      </w:r>
      <w:r w:rsidR="00C71783">
        <w:t>2017</w:t>
      </w:r>
      <w:r w:rsidRPr="00DE4D29">
        <w:t xml:space="preserve">, they purchased </w:t>
      </w:r>
      <w:r w:rsidR="00C71783">
        <w:t>83</w:t>
      </w:r>
      <w:r w:rsidR="00C26788">
        <w:t xml:space="preserve"> </w:t>
      </w:r>
      <w:r w:rsidRPr="00DE4D29">
        <w:t xml:space="preserve">MCM, which represented </w:t>
      </w:r>
      <w:r w:rsidR="00C71783">
        <w:t>22</w:t>
      </w:r>
      <w:r w:rsidRPr="00DE4D29">
        <w:t>% of the water available in Palestine (</w:t>
      </w:r>
      <w:r w:rsidR="00C71783">
        <w:t>375</w:t>
      </w:r>
      <w:r w:rsidRPr="00DE4D29">
        <w:t xml:space="preserve"> MCM). Additionally, 2</w:t>
      </w:r>
      <w:r w:rsidR="00720E3F">
        <w:t>3</w:t>
      </w:r>
      <w:r w:rsidRPr="00DE4D29">
        <w:t>.</w:t>
      </w:r>
      <w:r w:rsidR="00C71783">
        <w:t>5</w:t>
      </w:r>
      <w:r w:rsidRPr="00DE4D29">
        <w:t xml:space="preserve"> MCM of water were</w:t>
      </w:r>
      <w:bookmarkStart w:id="0" w:name="_GoBack"/>
      <w:bookmarkEnd w:id="0"/>
      <w:r w:rsidRPr="00DE4D29">
        <w:t xml:space="preserve"> produced from Palestinian springs while 2</w:t>
      </w:r>
      <w:r w:rsidR="00C71783">
        <w:t>64</w:t>
      </w:r>
      <w:r w:rsidRPr="00DE4D29">
        <w:t>.</w:t>
      </w:r>
      <w:r w:rsidR="00C71783">
        <w:t>5</w:t>
      </w:r>
      <w:r w:rsidRPr="00DE4D29">
        <w:t xml:space="preserve"> MCM are pumped from ground water wells, and 4</w:t>
      </w:r>
      <w:r w:rsidR="00C71783">
        <w:t>.0</w:t>
      </w:r>
      <w:r w:rsidRPr="00DE4D29">
        <w:t xml:space="preserve"> MCM </w:t>
      </w:r>
      <w:r w:rsidR="00720E3F" w:rsidRPr="00DE4D29">
        <w:t>desalinated</w:t>
      </w:r>
      <w:r w:rsidRPr="00DE4D29">
        <w:t xml:space="preserve"> drinking water.</w:t>
      </w:r>
    </w:p>
    <w:p w:rsidR="00D340D9" w:rsidRDefault="00D340D9" w:rsidP="0072389E">
      <w:pPr>
        <w:bidi w:val="0"/>
        <w:jc w:val="both"/>
        <w:rPr>
          <w:sz w:val="16"/>
          <w:szCs w:val="16"/>
        </w:rPr>
      </w:pPr>
    </w:p>
    <w:p w:rsidR="00D340D9" w:rsidRDefault="00D340D9" w:rsidP="00D340D9">
      <w:pPr>
        <w:bidi w:val="0"/>
        <w:jc w:val="both"/>
        <w:rPr>
          <w:sz w:val="16"/>
          <w:szCs w:val="16"/>
        </w:rPr>
      </w:pPr>
    </w:p>
    <w:p w:rsidR="00805C10" w:rsidRDefault="00DB75FC" w:rsidP="00D340D9">
      <w:pPr>
        <w:bidi w:val="0"/>
        <w:jc w:val="both"/>
      </w:pPr>
      <w:r w:rsidRPr="00DB75FC">
        <w:t>Note:</w:t>
      </w:r>
      <w:r w:rsidR="00805C10" w:rsidRPr="00DB75FC">
        <w:rPr>
          <w:sz w:val="28"/>
          <w:szCs w:val="28"/>
        </w:rPr>
        <w:t xml:space="preserve">  </w:t>
      </w:r>
      <w:r w:rsidR="00805C10" w:rsidRPr="00DB75FC">
        <w:t xml:space="preserve">Data </w:t>
      </w:r>
      <w:r w:rsidR="0072389E">
        <w:t>mentioned</w:t>
      </w:r>
      <w:r w:rsidR="00291394" w:rsidRPr="00291394">
        <w:t xml:space="preserve"> in the press release </w:t>
      </w:r>
      <w:r w:rsidR="00805C10" w:rsidRPr="00DB75FC">
        <w:t>exclude those parts of Jerusalem which were annexed by Israeli Occupation in 1967</w:t>
      </w:r>
      <w:r w:rsidR="00291394">
        <w:t xml:space="preserve">, </w:t>
      </w:r>
      <w:r w:rsidR="00291394" w:rsidRPr="00291394">
        <w:t xml:space="preserve">except </w:t>
      </w:r>
      <w:r w:rsidR="008870F0">
        <w:t xml:space="preserve"> data </w:t>
      </w:r>
      <w:r w:rsidR="00291394" w:rsidRPr="00291394">
        <w:t>of the source of improved Drinking Water.</w:t>
      </w:r>
    </w:p>
    <w:p w:rsidR="00D340D9" w:rsidRDefault="00D340D9" w:rsidP="00D340D9">
      <w:pPr>
        <w:bidi w:val="0"/>
      </w:pPr>
    </w:p>
    <w:p w:rsidR="00D340D9" w:rsidRDefault="00D340D9" w:rsidP="00D340D9">
      <w:pPr>
        <w:bidi w:val="0"/>
        <w:jc w:val="center"/>
      </w:pPr>
      <w:r w:rsidRPr="00D340D9">
        <w:rPr>
          <w:rFonts w:hint="cs"/>
        </w:rPr>
        <w:drawing>
          <wp:inline distT="0" distB="0" distL="0" distR="0">
            <wp:extent cx="891963" cy="981075"/>
            <wp:effectExtent l="0" t="0" r="3387" b="0"/>
            <wp:docPr id="3"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11" cstate="print"/>
                    <a:stretch>
                      <a:fillRect/>
                    </a:stretch>
                  </pic:blipFill>
                  <pic:spPr>
                    <a:xfrm>
                      <a:off x="0" y="0"/>
                      <a:ext cx="896794" cy="986389"/>
                    </a:xfrm>
                    <a:prstGeom prst="rect">
                      <a:avLst/>
                    </a:prstGeom>
                  </pic:spPr>
                </pic:pic>
              </a:graphicData>
            </a:graphic>
          </wp:inline>
        </w:drawing>
      </w:r>
      <w:r w:rsidRPr="00D340D9">
        <w:drawing>
          <wp:inline distT="0" distB="0" distL="0" distR="0">
            <wp:extent cx="704850" cy="923925"/>
            <wp:effectExtent l="19050" t="0" r="0" b="0"/>
            <wp:docPr id="7"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12" cstate="print"/>
                    <a:stretch>
                      <a:fillRect/>
                    </a:stretch>
                  </pic:blipFill>
                  <pic:spPr>
                    <a:xfrm>
                      <a:off x="0" y="0"/>
                      <a:ext cx="704850" cy="923925"/>
                    </a:xfrm>
                    <a:prstGeom prst="rect">
                      <a:avLst/>
                    </a:prstGeom>
                  </pic:spPr>
                </pic:pic>
              </a:graphicData>
            </a:graphic>
          </wp:inline>
        </w:drawing>
      </w:r>
    </w:p>
    <w:p w:rsidR="00D340D9" w:rsidRPr="00291394" w:rsidRDefault="00D340D9" w:rsidP="00D340D9">
      <w:pPr>
        <w:bidi w:val="0"/>
        <w:jc w:val="both"/>
      </w:pPr>
    </w:p>
    <w:p w:rsidR="00272A24" w:rsidRDefault="00272A24" w:rsidP="00272A24">
      <w:pPr>
        <w:shd w:val="clear" w:color="auto" w:fill="FFFFFF" w:themeFill="background1"/>
        <w:bidi w:val="0"/>
        <w:ind w:left="142" w:hanging="142"/>
        <w:rPr>
          <w:rFonts w:asciiTheme="majorBidi" w:hAnsiTheme="majorBidi" w:cstheme="majorBidi"/>
          <w:lang w:eastAsia="en-US"/>
        </w:rPr>
      </w:pPr>
    </w:p>
    <w:sectPr w:rsidR="00272A24" w:rsidSect="00D340D9">
      <w:footerReference w:type="default" r:id="rId13"/>
      <w:type w:val="continuous"/>
      <w:pgSz w:w="11906" w:h="16838" w:code="9"/>
      <w:pgMar w:top="720" w:right="720" w:bottom="720" w:left="720" w:header="709" w:footer="403"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BAD2A" w15:done="0"/>
  <w15:commentEx w15:paraId="330EE9A4" w15:done="0"/>
  <w15:commentEx w15:paraId="76C29759" w15:done="0"/>
  <w15:commentEx w15:paraId="613F6C1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6EB" w:rsidRDefault="004146EB">
      <w:r>
        <w:separator/>
      </w:r>
    </w:p>
  </w:endnote>
  <w:endnote w:type="continuationSeparator" w:id="0">
    <w:p w:rsidR="004146EB" w:rsidRDefault="004146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07239635"/>
      <w:docPartObj>
        <w:docPartGallery w:val="Page Numbers (Bottom of Page)"/>
        <w:docPartUnique/>
      </w:docPartObj>
    </w:sdtPr>
    <w:sdtContent>
      <w:p w:rsidR="00D340D9" w:rsidRDefault="00D340D9">
        <w:pPr>
          <w:pStyle w:val="Footer"/>
          <w:jc w:val="center"/>
        </w:pPr>
        <w:fldSimple w:instr=" PAGE   \* MERGEFORMAT ">
          <w:r>
            <w:rPr>
              <w:noProof/>
              <w:rtl/>
            </w:rPr>
            <w:t>2</w:t>
          </w:r>
        </w:fldSimple>
      </w:p>
    </w:sdtContent>
  </w:sdt>
  <w:p w:rsidR="00D340D9" w:rsidRDefault="00D34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6EB" w:rsidRDefault="004146EB">
      <w:r>
        <w:separator/>
      </w:r>
    </w:p>
  </w:footnote>
  <w:footnote w:type="continuationSeparator" w:id="0">
    <w:p w:rsidR="004146EB" w:rsidRDefault="00414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36BE7"/>
    <w:multiLevelType w:val="hybridMultilevel"/>
    <w:tmpl w:val="C72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7268E"/>
    <w:multiLevelType w:val="hybridMultilevel"/>
    <w:tmpl w:val="C2967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25481"/>
    <w:rsid w:val="00002968"/>
    <w:rsid w:val="00004FC0"/>
    <w:rsid w:val="000150E2"/>
    <w:rsid w:val="000367A9"/>
    <w:rsid w:val="000574B2"/>
    <w:rsid w:val="00062F11"/>
    <w:rsid w:val="00065C1F"/>
    <w:rsid w:val="0009792A"/>
    <w:rsid w:val="000A2F70"/>
    <w:rsid w:val="000A581F"/>
    <w:rsid w:val="000A68B0"/>
    <w:rsid w:val="000A6973"/>
    <w:rsid w:val="000D0751"/>
    <w:rsid w:val="000D2960"/>
    <w:rsid w:val="000D5C06"/>
    <w:rsid w:val="000D6341"/>
    <w:rsid w:val="000E1CED"/>
    <w:rsid w:val="000E3113"/>
    <w:rsid w:val="000E76B5"/>
    <w:rsid w:val="000F6FD5"/>
    <w:rsid w:val="00104D89"/>
    <w:rsid w:val="001050B5"/>
    <w:rsid w:val="00113C5C"/>
    <w:rsid w:val="00115A84"/>
    <w:rsid w:val="00115CE9"/>
    <w:rsid w:val="00117135"/>
    <w:rsid w:val="00123AC3"/>
    <w:rsid w:val="0012653F"/>
    <w:rsid w:val="001312AA"/>
    <w:rsid w:val="00145DBC"/>
    <w:rsid w:val="00150457"/>
    <w:rsid w:val="0015126B"/>
    <w:rsid w:val="0016186C"/>
    <w:rsid w:val="00162256"/>
    <w:rsid w:val="00164DCA"/>
    <w:rsid w:val="00165B29"/>
    <w:rsid w:val="00166344"/>
    <w:rsid w:val="00166FDF"/>
    <w:rsid w:val="001754CD"/>
    <w:rsid w:val="00184902"/>
    <w:rsid w:val="001856AA"/>
    <w:rsid w:val="00197732"/>
    <w:rsid w:val="001A0D0C"/>
    <w:rsid w:val="001A12AB"/>
    <w:rsid w:val="001A1ECB"/>
    <w:rsid w:val="001B0C8D"/>
    <w:rsid w:val="001B0FE6"/>
    <w:rsid w:val="001B3733"/>
    <w:rsid w:val="001C43C9"/>
    <w:rsid w:val="001C451F"/>
    <w:rsid w:val="001C4ACE"/>
    <w:rsid w:val="001D2DCA"/>
    <w:rsid w:val="001E4A9B"/>
    <w:rsid w:val="001E6E8C"/>
    <w:rsid w:val="001E7C82"/>
    <w:rsid w:val="00206A80"/>
    <w:rsid w:val="002076C3"/>
    <w:rsid w:val="0021221E"/>
    <w:rsid w:val="002316A2"/>
    <w:rsid w:val="002435A3"/>
    <w:rsid w:val="00243CC3"/>
    <w:rsid w:val="00246341"/>
    <w:rsid w:val="00247649"/>
    <w:rsid w:val="002530A4"/>
    <w:rsid w:val="00254525"/>
    <w:rsid w:val="00271F65"/>
    <w:rsid w:val="00272A24"/>
    <w:rsid w:val="002856DA"/>
    <w:rsid w:val="0029020F"/>
    <w:rsid w:val="00291394"/>
    <w:rsid w:val="00291763"/>
    <w:rsid w:val="00296E24"/>
    <w:rsid w:val="0029774F"/>
    <w:rsid w:val="002A2F23"/>
    <w:rsid w:val="002A4D57"/>
    <w:rsid w:val="002B283F"/>
    <w:rsid w:val="002B2BF8"/>
    <w:rsid w:val="002B39BE"/>
    <w:rsid w:val="002C032D"/>
    <w:rsid w:val="002C0F82"/>
    <w:rsid w:val="002C704E"/>
    <w:rsid w:val="002D083D"/>
    <w:rsid w:val="002D0DA3"/>
    <w:rsid w:val="002D1A50"/>
    <w:rsid w:val="002D288C"/>
    <w:rsid w:val="002D7305"/>
    <w:rsid w:val="002E2372"/>
    <w:rsid w:val="002E2928"/>
    <w:rsid w:val="002E3D11"/>
    <w:rsid w:val="002E4C46"/>
    <w:rsid w:val="002E4F8E"/>
    <w:rsid w:val="002F0F74"/>
    <w:rsid w:val="002F12B3"/>
    <w:rsid w:val="002F1C58"/>
    <w:rsid w:val="002F3CAF"/>
    <w:rsid w:val="00323FD9"/>
    <w:rsid w:val="00324091"/>
    <w:rsid w:val="00327270"/>
    <w:rsid w:val="0033077C"/>
    <w:rsid w:val="00334EB3"/>
    <w:rsid w:val="00337CC7"/>
    <w:rsid w:val="003465A7"/>
    <w:rsid w:val="003506FC"/>
    <w:rsid w:val="00354341"/>
    <w:rsid w:val="00357CC1"/>
    <w:rsid w:val="00370D7D"/>
    <w:rsid w:val="00380626"/>
    <w:rsid w:val="00380ABB"/>
    <w:rsid w:val="00382442"/>
    <w:rsid w:val="00385209"/>
    <w:rsid w:val="0039718B"/>
    <w:rsid w:val="003A40E2"/>
    <w:rsid w:val="003A555E"/>
    <w:rsid w:val="003D2B15"/>
    <w:rsid w:val="003F371A"/>
    <w:rsid w:val="003F65C7"/>
    <w:rsid w:val="0040360E"/>
    <w:rsid w:val="00404D6A"/>
    <w:rsid w:val="00412C7F"/>
    <w:rsid w:val="00412CD0"/>
    <w:rsid w:val="004146EB"/>
    <w:rsid w:val="00420063"/>
    <w:rsid w:val="00432EA8"/>
    <w:rsid w:val="00435D67"/>
    <w:rsid w:val="0044092E"/>
    <w:rsid w:val="00447D4D"/>
    <w:rsid w:val="004515DF"/>
    <w:rsid w:val="0045216E"/>
    <w:rsid w:val="004527B1"/>
    <w:rsid w:val="004700A4"/>
    <w:rsid w:val="00483868"/>
    <w:rsid w:val="00491913"/>
    <w:rsid w:val="004951F8"/>
    <w:rsid w:val="004972DB"/>
    <w:rsid w:val="004A4055"/>
    <w:rsid w:val="004A5553"/>
    <w:rsid w:val="004F46A4"/>
    <w:rsid w:val="004F57D2"/>
    <w:rsid w:val="004F7D91"/>
    <w:rsid w:val="005101D0"/>
    <w:rsid w:val="00510A5A"/>
    <w:rsid w:val="00513539"/>
    <w:rsid w:val="005174B3"/>
    <w:rsid w:val="00525481"/>
    <w:rsid w:val="00545FBB"/>
    <w:rsid w:val="005703EC"/>
    <w:rsid w:val="00570628"/>
    <w:rsid w:val="00572B59"/>
    <w:rsid w:val="00573C65"/>
    <w:rsid w:val="005746D3"/>
    <w:rsid w:val="00574927"/>
    <w:rsid w:val="00576729"/>
    <w:rsid w:val="00585296"/>
    <w:rsid w:val="00592540"/>
    <w:rsid w:val="005956C9"/>
    <w:rsid w:val="005A665D"/>
    <w:rsid w:val="005A6BDF"/>
    <w:rsid w:val="005B5259"/>
    <w:rsid w:val="005C132A"/>
    <w:rsid w:val="005C357E"/>
    <w:rsid w:val="005C5C70"/>
    <w:rsid w:val="005D53A1"/>
    <w:rsid w:val="005E26A0"/>
    <w:rsid w:val="005E5402"/>
    <w:rsid w:val="006043F2"/>
    <w:rsid w:val="006151FC"/>
    <w:rsid w:val="006218C5"/>
    <w:rsid w:val="00624925"/>
    <w:rsid w:val="00624B66"/>
    <w:rsid w:val="00624B9F"/>
    <w:rsid w:val="00633BCF"/>
    <w:rsid w:val="00633FDE"/>
    <w:rsid w:val="00642670"/>
    <w:rsid w:val="00643586"/>
    <w:rsid w:val="006478E9"/>
    <w:rsid w:val="006514C6"/>
    <w:rsid w:val="00663FB8"/>
    <w:rsid w:val="006847E0"/>
    <w:rsid w:val="006960FC"/>
    <w:rsid w:val="006A5529"/>
    <w:rsid w:val="006A62D9"/>
    <w:rsid w:val="006B6FAB"/>
    <w:rsid w:val="006C116A"/>
    <w:rsid w:val="006C5A6D"/>
    <w:rsid w:val="006D5036"/>
    <w:rsid w:val="006D6114"/>
    <w:rsid w:val="006E196A"/>
    <w:rsid w:val="006F4894"/>
    <w:rsid w:val="00704576"/>
    <w:rsid w:val="00705C49"/>
    <w:rsid w:val="00707E4F"/>
    <w:rsid w:val="00710C67"/>
    <w:rsid w:val="0071777F"/>
    <w:rsid w:val="00720E3F"/>
    <w:rsid w:val="0072389E"/>
    <w:rsid w:val="007243CB"/>
    <w:rsid w:val="007358EC"/>
    <w:rsid w:val="0073613C"/>
    <w:rsid w:val="0073618B"/>
    <w:rsid w:val="00736334"/>
    <w:rsid w:val="00741AF8"/>
    <w:rsid w:val="007432AB"/>
    <w:rsid w:val="00754295"/>
    <w:rsid w:val="00754BCD"/>
    <w:rsid w:val="00761547"/>
    <w:rsid w:val="007731A5"/>
    <w:rsid w:val="00775950"/>
    <w:rsid w:val="0078650A"/>
    <w:rsid w:val="00794A19"/>
    <w:rsid w:val="00795EF1"/>
    <w:rsid w:val="007A22CC"/>
    <w:rsid w:val="007A28CA"/>
    <w:rsid w:val="007A38CD"/>
    <w:rsid w:val="007A50E8"/>
    <w:rsid w:val="007A565A"/>
    <w:rsid w:val="007B06D1"/>
    <w:rsid w:val="007B67F8"/>
    <w:rsid w:val="007B73FF"/>
    <w:rsid w:val="007C3D56"/>
    <w:rsid w:val="007C663F"/>
    <w:rsid w:val="007D08F9"/>
    <w:rsid w:val="007D3DE0"/>
    <w:rsid w:val="007E4F28"/>
    <w:rsid w:val="007E5BC6"/>
    <w:rsid w:val="007E7858"/>
    <w:rsid w:val="007F0436"/>
    <w:rsid w:val="007F3202"/>
    <w:rsid w:val="00801441"/>
    <w:rsid w:val="00804DCA"/>
    <w:rsid w:val="00805C10"/>
    <w:rsid w:val="00810225"/>
    <w:rsid w:val="008108A6"/>
    <w:rsid w:val="00810FBA"/>
    <w:rsid w:val="00813272"/>
    <w:rsid w:val="008158B4"/>
    <w:rsid w:val="00815D4E"/>
    <w:rsid w:val="0082702A"/>
    <w:rsid w:val="00830C6C"/>
    <w:rsid w:val="00831CD7"/>
    <w:rsid w:val="00861803"/>
    <w:rsid w:val="00862633"/>
    <w:rsid w:val="0087248F"/>
    <w:rsid w:val="008733D2"/>
    <w:rsid w:val="00876964"/>
    <w:rsid w:val="00876965"/>
    <w:rsid w:val="00880B32"/>
    <w:rsid w:val="008870F0"/>
    <w:rsid w:val="008A1118"/>
    <w:rsid w:val="008A3E2E"/>
    <w:rsid w:val="008A6767"/>
    <w:rsid w:val="008B4BEF"/>
    <w:rsid w:val="008C0C67"/>
    <w:rsid w:val="008C4633"/>
    <w:rsid w:val="008C65AE"/>
    <w:rsid w:val="008D05F1"/>
    <w:rsid w:val="008E7D8E"/>
    <w:rsid w:val="008F0800"/>
    <w:rsid w:val="00900366"/>
    <w:rsid w:val="0090496A"/>
    <w:rsid w:val="0091600D"/>
    <w:rsid w:val="00916071"/>
    <w:rsid w:val="00922FD0"/>
    <w:rsid w:val="009254E5"/>
    <w:rsid w:val="00926526"/>
    <w:rsid w:val="0092703F"/>
    <w:rsid w:val="009369DA"/>
    <w:rsid w:val="00937F7F"/>
    <w:rsid w:val="009405AC"/>
    <w:rsid w:val="00944A59"/>
    <w:rsid w:val="00945F60"/>
    <w:rsid w:val="0095391A"/>
    <w:rsid w:val="00964735"/>
    <w:rsid w:val="00973ABF"/>
    <w:rsid w:val="00982538"/>
    <w:rsid w:val="00994BA2"/>
    <w:rsid w:val="009B6968"/>
    <w:rsid w:val="009C0E22"/>
    <w:rsid w:val="009D4E24"/>
    <w:rsid w:val="009D5F92"/>
    <w:rsid w:val="009D774F"/>
    <w:rsid w:val="009E09C7"/>
    <w:rsid w:val="009E48F8"/>
    <w:rsid w:val="009E6F48"/>
    <w:rsid w:val="009F2BB5"/>
    <w:rsid w:val="009F4791"/>
    <w:rsid w:val="009F6B84"/>
    <w:rsid w:val="00A02811"/>
    <w:rsid w:val="00A130C7"/>
    <w:rsid w:val="00A14F10"/>
    <w:rsid w:val="00A154DF"/>
    <w:rsid w:val="00A21958"/>
    <w:rsid w:val="00A21D5C"/>
    <w:rsid w:val="00A2509A"/>
    <w:rsid w:val="00A4021B"/>
    <w:rsid w:val="00A42501"/>
    <w:rsid w:val="00A45A87"/>
    <w:rsid w:val="00A45FCD"/>
    <w:rsid w:val="00A47EB7"/>
    <w:rsid w:val="00A50BAF"/>
    <w:rsid w:val="00A53698"/>
    <w:rsid w:val="00A70306"/>
    <w:rsid w:val="00A71120"/>
    <w:rsid w:val="00A72EC0"/>
    <w:rsid w:val="00A77790"/>
    <w:rsid w:val="00A84A82"/>
    <w:rsid w:val="00A979AD"/>
    <w:rsid w:val="00AA1F94"/>
    <w:rsid w:val="00AA7EE1"/>
    <w:rsid w:val="00AD032C"/>
    <w:rsid w:val="00AD64B2"/>
    <w:rsid w:val="00AF2369"/>
    <w:rsid w:val="00B00296"/>
    <w:rsid w:val="00B118FB"/>
    <w:rsid w:val="00B17572"/>
    <w:rsid w:val="00B353B0"/>
    <w:rsid w:val="00B46002"/>
    <w:rsid w:val="00B50B6D"/>
    <w:rsid w:val="00B518E4"/>
    <w:rsid w:val="00B56E71"/>
    <w:rsid w:val="00B63580"/>
    <w:rsid w:val="00B663A8"/>
    <w:rsid w:val="00B828E4"/>
    <w:rsid w:val="00B83679"/>
    <w:rsid w:val="00B840E6"/>
    <w:rsid w:val="00B86509"/>
    <w:rsid w:val="00BA08B2"/>
    <w:rsid w:val="00BB3FCB"/>
    <w:rsid w:val="00BB43D5"/>
    <w:rsid w:val="00BC2530"/>
    <w:rsid w:val="00BD5EAB"/>
    <w:rsid w:val="00BD60C4"/>
    <w:rsid w:val="00BD694E"/>
    <w:rsid w:val="00BE0B79"/>
    <w:rsid w:val="00BE1C11"/>
    <w:rsid w:val="00BE26A8"/>
    <w:rsid w:val="00BE5B55"/>
    <w:rsid w:val="00BF0173"/>
    <w:rsid w:val="00BF4FAC"/>
    <w:rsid w:val="00C005BC"/>
    <w:rsid w:val="00C006F3"/>
    <w:rsid w:val="00C00FD9"/>
    <w:rsid w:val="00C01987"/>
    <w:rsid w:val="00C16CF8"/>
    <w:rsid w:val="00C25EB8"/>
    <w:rsid w:val="00C26788"/>
    <w:rsid w:val="00C406CE"/>
    <w:rsid w:val="00C43BAB"/>
    <w:rsid w:val="00C46BF4"/>
    <w:rsid w:val="00C5724D"/>
    <w:rsid w:val="00C618DA"/>
    <w:rsid w:val="00C641BA"/>
    <w:rsid w:val="00C71783"/>
    <w:rsid w:val="00C71F7E"/>
    <w:rsid w:val="00C72E44"/>
    <w:rsid w:val="00C85E01"/>
    <w:rsid w:val="00C870B6"/>
    <w:rsid w:val="00C91F4D"/>
    <w:rsid w:val="00C93B4D"/>
    <w:rsid w:val="00C93BC6"/>
    <w:rsid w:val="00C97F2E"/>
    <w:rsid w:val="00CA1394"/>
    <w:rsid w:val="00CA51D3"/>
    <w:rsid w:val="00CC7E37"/>
    <w:rsid w:val="00CD1446"/>
    <w:rsid w:val="00CD14C1"/>
    <w:rsid w:val="00CE14F1"/>
    <w:rsid w:val="00CE5C72"/>
    <w:rsid w:val="00CF5C55"/>
    <w:rsid w:val="00D0216C"/>
    <w:rsid w:val="00D049B6"/>
    <w:rsid w:val="00D0768C"/>
    <w:rsid w:val="00D10BA8"/>
    <w:rsid w:val="00D11C3F"/>
    <w:rsid w:val="00D23580"/>
    <w:rsid w:val="00D2358A"/>
    <w:rsid w:val="00D26937"/>
    <w:rsid w:val="00D31D03"/>
    <w:rsid w:val="00D340D9"/>
    <w:rsid w:val="00D35195"/>
    <w:rsid w:val="00D4308A"/>
    <w:rsid w:val="00D458AF"/>
    <w:rsid w:val="00D474B6"/>
    <w:rsid w:val="00D475BB"/>
    <w:rsid w:val="00D64CEC"/>
    <w:rsid w:val="00D6545A"/>
    <w:rsid w:val="00D7321D"/>
    <w:rsid w:val="00D7618D"/>
    <w:rsid w:val="00D92066"/>
    <w:rsid w:val="00DA53CC"/>
    <w:rsid w:val="00DB48DD"/>
    <w:rsid w:val="00DB5234"/>
    <w:rsid w:val="00DB75FC"/>
    <w:rsid w:val="00DC2C93"/>
    <w:rsid w:val="00DC4A0B"/>
    <w:rsid w:val="00DC5423"/>
    <w:rsid w:val="00DC54EA"/>
    <w:rsid w:val="00DC6E7E"/>
    <w:rsid w:val="00DD1A64"/>
    <w:rsid w:val="00DE6834"/>
    <w:rsid w:val="00DE6D24"/>
    <w:rsid w:val="00DF20BA"/>
    <w:rsid w:val="00DF26AB"/>
    <w:rsid w:val="00DF5E3C"/>
    <w:rsid w:val="00E03F7F"/>
    <w:rsid w:val="00E169DE"/>
    <w:rsid w:val="00E235C3"/>
    <w:rsid w:val="00E26FAE"/>
    <w:rsid w:val="00E30DE3"/>
    <w:rsid w:val="00E41954"/>
    <w:rsid w:val="00E4357C"/>
    <w:rsid w:val="00E44417"/>
    <w:rsid w:val="00E52123"/>
    <w:rsid w:val="00E55985"/>
    <w:rsid w:val="00E65E20"/>
    <w:rsid w:val="00E81ED8"/>
    <w:rsid w:val="00E84719"/>
    <w:rsid w:val="00E85D42"/>
    <w:rsid w:val="00E86749"/>
    <w:rsid w:val="00E91A31"/>
    <w:rsid w:val="00E93B39"/>
    <w:rsid w:val="00E960B9"/>
    <w:rsid w:val="00E9691F"/>
    <w:rsid w:val="00EB07A5"/>
    <w:rsid w:val="00EB33B1"/>
    <w:rsid w:val="00EC0267"/>
    <w:rsid w:val="00EC08EF"/>
    <w:rsid w:val="00EC63E5"/>
    <w:rsid w:val="00ED45F8"/>
    <w:rsid w:val="00ED4ED0"/>
    <w:rsid w:val="00ED5168"/>
    <w:rsid w:val="00ED59F4"/>
    <w:rsid w:val="00EE0BA7"/>
    <w:rsid w:val="00EE2848"/>
    <w:rsid w:val="00EE3D3C"/>
    <w:rsid w:val="00EE6901"/>
    <w:rsid w:val="00F06470"/>
    <w:rsid w:val="00F13185"/>
    <w:rsid w:val="00F26CCD"/>
    <w:rsid w:val="00F32978"/>
    <w:rsid w:val="00F351FC"/>
    <w:rsid w:val="00F36331"/>
    <w:rsid w:val="00F405A5"/>
    <w:rsid w:val="00F45BBB"/>
    <w:rsid w:val="00F56545"/>
    <w:rsid w:val="00F57927"/>
    <w:rsid w:val="00F625C2"/>
    <w:rsid w:val="00F710E6"/>
    <w:rsid w:val="00F80210"/>
    <w:rsid w:val="00F81E06"/>
    <w:rsid w:val="00F9677E"/>
    <w:rsid w:val="00F979CD"/>
    <w:rsid w:val="00FB1785"/>
    <w:rsid w:val="00FB796E"/>
    <w:rsid w:val="00FC51AA"/>
    <w:rsid w:val="00FD1BC5"/>
    <w:rsid w:val="00FD1E4B"/>
    <w:rsid w:val="00FD562D"/>
    <w:rsid w:val="00FF75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BE"/>
    <w:pPr>
      <w:bidi/>
    </w:pPr>
    <w:rPr>
      <w:sz w:val="24"/>
      <w:szCs w:val="24"/>
      <w:lang w:eastAsia="ar-SA"/>
    </w:rPr>
  </w:style>
  <w:style w:type="paragraph" w:styleId="Heading1">
    <w:name w:val="heading 1"/>
    <w:basedOn w:val="Normal"/>
    <w:next w:val="Normal"/>
    <w:qFormat/>
    <w:rsid w:val="002B39BE"/>
    <w:pPr>
      <w:keepNext/>
      <w:jc w:val="right"/>
      <w:outlineLvl w:val="0"/>
    </w:pPr>
    <w:rPr>
      <w:b/>
      <w:bCs/>
      <w:sz w:val="20"/>
      <w:szCs w:val="20"/>
    </w:rPr>
  </w:style>
  <w:style w:type="paragraph" w:styleId="Heading2">
    <w:name w:val="heading 2"/>
    <w:basedOn w:val="Normal"/>
    <w:next w:val="Normal"/>
    <w:qFormat/>
    <w:rsid w:val="002B39BE"/>
    <w:pPr>
      <w:keepNext/>
      <w:bidi w:val="0"/>
      <w:jc w:val="both"/>
      <w:outlineLvl w:val="1"/>
    </w:pPr>
    <w:rPr>
      <w:b/>
      <w:bCs/>
    </w:rPr>
  </w:style>
  <w:style w:type="paragraph" w:styleId="Heading3">
    <w:name w:val="heading 3"/>
    <w:basedOn w:val="Normal"/>
    <w:next w:val="Normal"/>
    <w:qFormat/>
    <w:rsid w:val="002B39BE"/>
    <w:pPr>
      <w:keepNext/>
      <w:bidi w:val="0"/>
      <w:jc w:val="center"/>
      <w:outlineLvl w:val="2"/>
    </w:pPr>
    <w:rPr>
      <w:b/>
      <w:bCs/>
    </w:rPr>
  </w:style>
  <w:style w:type="paragraph" w:styleId="Heading4">
    <w:name w:val="heading 4"/>
    <w:basedOn w:val="Normal"/>
    <w:next w:val="Normal"/>
    <w:qFormat/>
    <w:rsid w:val="002B39BE"/>
    <w:pPr>
      <w:keepNext/>
      <w:bidi w:val="0"/>
      <w:spacing w:before="120" w:after="120"/>
      <w:ind w:left="58"/>
      <w:outlineLvl w:val="3"/>
    </w:pPr>
    <w:rPr>
      <w:rFonts w:cs="Simplified Arabic"/>
      <w:b/>
      <w:bCs/>
      <w:sz w:val="17"/>
      <w:szCs w:val="17"/>
    </w:rPr>
  </w:style>
  <w:style w:type="paragraph" w:styleId="Heading5">
    <w:name w:val="heading 5"/>
    <w:basedOn w:val="Normal"/>
    <w:next w:val="Normal"/>
    <w:qFormat/>
    <w:rsid w:val="002B39BE"/>
    <w:pPr>
      <w:keepNext/>
      <w:jc w:val="center"/>
      <w:outlineLvl w:val="4"/>
    </w:pPr>
    <w:rPr>
      <w:rFonts w:ascii="Arial" w:hAnsi="Arial" w:cs="Simplified Arab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B39BE"/>
    <w:pPr>
      <w:jc w:val="right"/>
    </w:pPr>
  </w:style>
  <w:style w:type="paragraph" w:styleId="NormalWeb">
    <w:name w:val="Normal (Web)"/>
    <w:basedOn w:val="Normal"/>
    <w:semiHidden/>
    <w:unhideWhenUsed/>
    <w:rsid w:val="002B39BE"/>
    <w:pPr>
      <w:bidi w:val="0"/>
      <w:spacing w:before="100" w:beforeAutospacing="1" w:after="100" w:afterAutospacing="1"/>
    </w:pPr>
    <w:rPr>
      <w:lang w:eastAsia="en-US"/>
    </w:rPr>
  </w:style>
  <w:style w:type="character" w:customStyle="1" w:styleId="shorttext">
    <w:name w:val="short_text"/>
    <w:basedOn w:val="DefaultParagraphFont"/>
    <w:rsid w:val="002B39BE"/>
  </w:style>
  <w:style w:type="paragraph" w:styleId="BodyText2">
    <w:name w:val="Body Text 2"/>
    <w:basedOn w:val="Normal"/>
    <w:semiHidden/>
    <w:rsid w:val="002B39BE"/>
    <w:pPr>
      <w:bidi w:val="0"/>
      <w:jc w:val="lowKashida"/>
      <w:textAlignment w:val="top"/>
    </w:pPr>
  </w:style>
  <w:style w:type="character" w:customStyle="1" w:styleId="5Char">
    <w:name w:val="عنوان 5 Char"/>
    <w:basedOn w:val="DefaultParagraphFont"/>
    <w:rsid w:val="002B39BE"/>
    <w:rPr>
      <w:rFonts w:ascii="Arial" w:hAnsi="Arial" w:cs="Simplified Arabic"/>
      <w:b/>
      <w:bCs/>
      <w:sz w:val="18"/>
      <w:szCs w:val="18"/>
      <w:lang w:eastAsia="ar-SA"/>
    </w:rPr>
  </w:style>
  <w:style w:type="paragraph" w:styleId="Header">
    <w:name w:val="header"/>
    <w:basedOn w:val="Normal"/>
    <w:link w:val="HeaderChar"/>
    <w:unhideWhenUsed/>
    <w:rsid w:val="002B39BE"/>
    <w:pPr>
      <w:tabs>
        <w:tab w:val="center" w:pos="4513"/>
        <w:tab w:val="right" w:pos="9026"/>
      </w:tabs>
    </w:pPr>
  </w:style>
  <w:style w:type="character" w:customStyle="1" w:styleId="Char">
    <w:name w:val="رأس صفحة Char"/>
    <w:basedOn w:val="DefaultParagraphFont"/>
    <w:semiHidden/>
    <w:rsid w:val="002B39BE"/>
    <w:rPr>
      <w:sz w:val="24"/>
      <w:szCs w:val="24"/>
      <w:lang w:eastAsia="ar-SA"/>
    </w:rPr>
  </w:style>
  <w:style w:type="paragraph" w:styleId="Footer">
    <w:name w:val="footer"/>
    <w:basedOn w:val="Normal"/>
    <w:link w:val="FooterChar"/>
    <w:uiPriority w:val="99"/>
    <w:unhideWhenUsed/>
    <w:rsid w:val="002B39BE"/>
    <w:pPr>
      <w:tabs>
        <w:tab w:val="center" w:pos="4513"/>
        <w:tab w:val="right" w:pos="9026"/>
      </w:tabs>
    </w:pPr>
  </w:style>
  <w:style w:type="character" w:customStyle="1" w:styleId="Char0">
    <w:name w:val="تذييل صفحة Char"/>
    <w:basedOn w:val="DefaultParagraphFont"/>
    <w:rsid w:val="002B39BE"/>
    <w:rPr>
      <w:sz w:val="24"/>
      <w:szCs w:val="24"/>
      <w:lang w:eastAsia="ar-SA"/>
    </w:rPr>
  </w:style>
  <w:style w:type="paragraph" w:styleId="BodyText3">
    <w:name w:val="Body Text 3"/>
    <w:basedOn w:val="Normal"/>
    <w:semiHidden/>
    <w:rsid w:val="002B39BE"/>
    <w:pPr>
      <w:bidi w:val="0"/>
      <w:jc w:val="both"/>
      <w:textAlignment w:val="top"/>
    </w:pPr>
    <w:rPr>
      <w:b/>
      <w:bCs/>
      <w:sz w:val="20"/>
      <w:szCs w:val="20"/>
    </w:rPr>
  </w:style>
  <w:style w:type="paragraph" w:styleId="BalloonText">
    <w:name w:val="Balloon Text"/>
    <w:basedOn w:val="Normal"/>
    <w:semiHidden/>
    <w:unhideWhenUsed/>
    <w:rsid w:val="002B39BE"/>
    <w:rPr>
      <w:rFonts w:ascii="Tahoma" w:hAnsi="Tahoma" w:cs="Tahoma"/>
      <w:sz w:val="16"/>
      <w:szCs w:val="16"/>
    </w:rPr>
  </w:style>
  <w:style w:type="character" w:customStyle="1" w:styleId="BalloonTextChar">
    <w:name w:val="Balloon Text Char"/>
    <w:basedOn w:val="DefaultParagraphFont"/>
    <w:semiHidden/>
    <w:rsid w:val="002B39BE"/>
    <w:rPr>
      <w:rFonts w:ascii="Tahoma" w:hAnsi="Tahoma" w:cs="Tahoma"/>
      <w:sz w:val="16"/>
      <w:szCs w:val="16"/>
      <w:lang w:eastAsia="ar-SA"/>
    </w:rPr>
  </w:style>
  <w:style w:type="character" w:customStyle="1" w:styleId="hps">
    <w:name w:val="hps"/>
    <w:basedOn w:val="DefaultParagraphFont"/>
    <w:rsid w:val="00CA1394"/>
  </w:style>
  <w:style w:type="paragraph" w:styleId="ListParagraph">
    <w:name w:val="List Paragraph"/>
    <w:basedOn w:val="Normal"/>
    <w:uiPriority w:val="34"/>
    <w:qFormat/>
    <w:rsid w:val="00926526"/>
    <w:pPr>
      <w:ind w:left="720"/>
      <w:contextualSpacing/>
    </w:pPr>
  </w:style>
  <w:style w:type="character" w:styleId="Hyperlink">
    <w:name w:val="Hyperlink"/>
    <w:basedOn w:val="DefaultParagraphFont"/>
    <w:uiPriority w:val="99"/>
    <w:unhideWhenUsed/>
    <w:rsid w:val="00B118FB"/>
    <w:rPr>
      <w:color w:val="0000FF" w:themeColor="hyperlink"/>
      <w:u w:val="single"/>
    </w:rPr>
  </w:style>
  <w:style w:type="character" w:customStyle="1" w:styleId="HeaderChar">
    <w:name w:val="Header Char"/>
    <w:basedOn w:val="DefaultParagraphFont"/>
    <w:link w:val="Header"/>
    <w:rsid w:val="00EC08EF"/>
    <w:rPr>
      <w:sz w:val="24"/>
      <w:szCs w:val="24"/>
      <w:lang w:eastAsia="ar-SA"/>
    </w:rPr>
  </w:style>
  <w:style w:type="table" w:styleId="TableGrid">
    <w:name w:val="Table Grid"/>
    <w:basedOn w:val="TableNormal"/>
    <w:uiPriority w:val="59"/>
    <w:rsid w:val="00EC08E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F4791"/>
    <w:rPr>
      <w:sz w:val="16"/>
      <w:szCs w:val="16"/>
    </w:rPr>
  </w:style>
  <w:style w:type="paragraph" w:styleId="CommentText">
    <w:name w:val="annotation text"/>
    <w:basedOn w:val="Normal"/>
    <w:link w:val="CommentTextChar"/>
    <w:uiPriority w:val="99"/>
    <w:semiHidden/>
    <w:unhideWhenUsed/>
    <w:rsid w:val="009F4791"/>
    <w:rPr>
      <w:sz w:val="20"/>
      <w:szCs w:val="20"/>
    </w:rPr>
  </w:style>
  <w:style w:type="character" w:customStyle="1" w:styleId="CommentTextChar">
    <w:name w:val="Comment Text Char"/>
    <w:basedOn w:val="DefaultParagraphFont"/>
    <w:link w:val="CommentText"/>
    <w:uiPriority w:val="99"/>
    <w:semiHidden/>
    <w:rsid w:val="009F4791"/>
    <w:rPr>
      <w:lang w:eastAsia="ar-SA"/>
    </w:rPr>
  </w:style>
  <w:style w:type="paragraph" w:styleId="CommentSubject">
    <w:name w:val="annotation subject"/>
    <w:basedOn w:val="CommentText"/>
    <w:next w:val="CommentText"/>
    <w:link w:val="CommentSubjectChar"/>
    <w:uiPriority w:val="99"/>
    <w:semiHidden/>
    <w:unhideWhenUsed/>
    <w:rsid w:val="009F4791"/>
    <w:rPr>
      <w:b/>
      <w:bCs/>
    </w:rPr>
  </w:style>
  <w:style w:type="character" w:customStyle="1" w:styleId="CommentSubjectChar">
    <w:name w:val="Comment Subject Char"/>
    <w:basedOn w:val="CommentTextChar"/>
    <w:link w:val="CommentSubject"/>
    <w:uiPriority w:val="99"/>
    <w:semiHidden/>
    <w:rsid w:val="009F4791"/>
    <w:rPr>
      <w:b/>
      <w:bCs/>
      <w:lang w:eastAsia="ar-SA"/>
    </w:rPr>
  </w:style>
  <w:style w:type="paragraph" w:styleId="Revision">
    <w:name w:val="Revision"/>
    <w:hidden/>
    <w:uiPriority w:val="99"/>
    <w:semiHidden/>
    <w:rsid w:val="00C870B6"/>
    <w:rPr>
      <w:sz w:val="24"/>
      <w:szCs w:val="24"/>
      <w:lang w:eastAsia="ar-SA"/>
    </w:rPr>
  </w:style>
  <w:style w:type="paragraph" w:styleId="Title">
    <w:name w:val="Title"/>
    <w:basedOn w:val="Normal"/>
    <w:link w:val="TitleChar"/>
    <w:uiPriority w:val="99"/>
    <w:qFormat/>
    <w:rsid w:val="0009792A"/>
    <w:pPr>
      <w:bidi w:val="0"/>
      <w:jc w:val="center"/>
    </w:pPr>
    <w:rPr>
      <w:rFonts w:cs="Traditional Arabic"/>
      <w:b/>
      <w:bCs/>
      <w:sz w:val="28"/>
      <w:szCs w:val="20"/>
      <w:lang w:eastAsia="en-US"/>
    </w:rPr>
  </w:style>
  <w:style w:type="character" w:customStyle="1" w:styleId="TitleChar">
    <w:name w:val="Title Char"/>
    <w:basedOn w:val="DefaultParagraphFont"/>
    <w:link w:val="Title"/>
    <w:uiPriority w:val="99"/>
    <w:rsid w:val="0009792A"/>
    <w:rPr>
      <w:rFonts w:cs="Traditional Arabic"/>
      <w:b/>
      <w:bCs/>
      <w:sz w:val="28"/>
    </w:rPr>
  </w:style>
  <w:style w:type="character" w:customStyle="1" w:styleId="FooterChar">
    <w:name w:val="Footer Char"/>
    <w:basedOn w:val="DefaultParagraphFont"/>
    <w:link w:val="Footer"/>
    <w:uiPriority w:val="99"/>
    <w:rsid w:val="00D340D9"/>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9504849">
      <w:bodyDiv w:val="1"/>
      <w:marLeft w:val="0"/>
      <w:marRight w:val="0"/>
      <w:marTop w:val="0"/>
      <w:marBottom w:val="0"/>
      <w:divBdr>
        <w:top w:val="none" w:sz="0" w:space="0" w:color="auto"/>
        <w:left w:val="none" w:sz="0" w:space="0" w:color="auto"/>
        <w:bottom w:val="none" w:sz="0" w:space="0" w:color="auto"/>
        <w:right w:val="none" w:sz="0" w:space="0" w:color="auto"/>
      </w:divBdr>
      <w:divsChild>
        <w:div w:id="2053192311">
          <w:marLeft w:val="0"/>
          <w:marRight w:val="0"/>
          <w:marTop w:val="0"/>
          <w:marBottom w:val="0"/>
          <w:divBdr>
            <w:top w:val="none" w:sz="0" w:space="0" w:color="auto"/>
            <w:left w:val="none" w:sz="0" w:space="0" w:color="auto"/>
            <w:bottom w:val="none" w:sz="0" w:space="0" w:color="auto"/>
            <w:right w:val="none" w:sz="0" w:space="0" w:color="auto"/>
          </w:divBdr>
          <w:divsChild>
            <w:div w:id="601306783">
              <w:marLeft w:val="0"/>
              <w:marRight w:val="0"/>
              <w:marTop w:val="0"/>
              <w:marBottom w:val="0"/>
              <w:divBdr>
                <w:top w:val="none" w:sz="0" w:space="0" w:color="auto"/>
                <w:left w:val="none" w:sz="0" w:space="0" w:color="auto"/>
                <w:bottom w:val="none" w:sz="0" w:space="0" w:color="auto"/>
                <w:right w:val="none" w:sz="0" w:space="0" w:color="auto"/>
              </w:divBdr>
              <w:divsChild>
                <w:div w:id="1076364075">
                  <w:marLeft w:val="0"/>
                  <w:marRight w:val="0"/>
                  <w:marTop w:val="0"/>
                  <w:marBottom w:val="0"/>
                  <w:divBdr>
                    <w:top w:val="none" w:sz="0" w:space="0" w:color="auto"/>
                    <w:left w:val="none" w:sz="0" w:space="0" w:color="auto"/>
                    <w:bottom w:val="none" w:sz="0" w:space="0" w:color="auto"/>
                    <w:right w:val="none" w:sz="0" w:space="0" w:color="auto"/>
                  </w:divBdr>
                  <w:divsChild>
                    <w:div w:id="1137602499">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7270">
      <w:bodyDiv w:val="1"/>
      <w:marLeft w:val="0"/>
      <w:marRight w:val="0"/>
      <w:marTop w:val="0"/>
      <w:marBottom w:val="0"/>
      <w:divBdr>
        <w:top w:val="none" w:sz="0" w:space="0" w:color="auto"/>
        <w:left w:val="none" w:sz="0" w:space="0" w:color="auto"/>
        <w:bottom w:val="none" w:sz="0" w:space="0" w:color="auto"/>
        <w:right w:val="none" w:sz="0" w:space="0" w:color="auto"/>
      </w:divBdr>
    </w:div>
    <w:div w:id="884367750">
      <w:bodyDiv w:val="1"/>
      <w:marLeft w:val="0"/>
      <w:marRight w:val="0"/>
      <w:marTop w:val="0"/>
      <w:marBottom w:val="0"/>
      <w:divBdr>
        <w:top w:val="none" w:sz="0" w:space="0" w:color="auto"/>
        <w:left w:val="none" w:sz="0" w:space="0" w:color="auto"/>
        <w:bottom w:val="none" w:sz="0" w:space="0" w:color="auto"/>
        <w:right w:val="none" w:sz="0" w:space="0" w:color="auto"/>
      </w:divBdr>
    </w:div>
    <w:div w:id="1202061374">
      <w:bodyDiv w:val="1"/>
      <w:marLeft w:val="0"/>
      <w:marRight w:val="0"/>
      <w:marTop w:val="0"/>
      <w:marBottom w:val="0"/>
      <w:divBdr>
        <w:top w:val="none" w:sz="0" w:space="0" w:color="auto"/>
        <w:left w:val="none" w:sz="0" w:space="0" w:color="auto"/>
        <w:bottom w:val="none" w:sz="0" w:space="0" w:color="auto"/>
        <w:right w:val="none" w:sz="0" w:space="0" w:color="auto"/>
      </w:divBdr>
    </w:div>
    <w:div w:id="1270897575">
      <w:bodyDiv w:val="1"/>
      <w:marLeft w:val="0"/>
      <w:marRight w:val="0"/>
      <w:marTop w:val="0"/>
      <w:marBottom w:val="0"/>
      <w:divBdr>
        <w:top w:val="none" w:sz="0" w:space="0" w:color="auto"/>
        <w:left w:val="none" w:sz="0" w:space="0" w:color="auto"/>
        <w:bottom w:val="none" w:sz="0" w:space="0" w:color="auto"/>
        <w:right w:val="none" w:sz="0" w:space="0" w:color="auto"/>
      </w:divBdr>
    </w:div>
    <w:div w:id="1385257503">
      <w:bodyDiv w:val="1"/>
      <w:marLeft w:val="0"/>
      <w:marRight w:val="0"/>
      <w:marTop w:val="0"/>
      <w:marBottom w:val="0"/>
      <w:divBdr>
        <w:top w:val="none" w:sz="0" w:space="0" w:color="auto"/>
        <w:left w:val="none" w:sz="0" w:space="0" w:color="auto"/>
        <w:bottom w:val="none" w:sz="0" w:space="0" w:color="auto"/>
        <w:right w:val="none" w:sz="0" w:space="0" w:color="auto"/>
      </w:divBdr>
    </w:div>
    <w:div w:id="1387024306">
      <w:bodyDiv w:val="1"/>
      <w:marLeft w:val="0"/>
      <w:marRight w:val="0"/>
      <w:marTop w:val="0"/>
      <w:marBottom w:val="0"/>
      <w:divBdr>
        <w:top w:val="none" w:sz="0" w:space="0" w:color="auto"/>
        <w:left w:val="none" w:sz="0" w:space="0" w:color="auto"/>
        <w:bottom w:val="none" w:sz="0" w:space="0" w:color="auto"/>
        <w:right w:val="none" w:sz="0" w:space="0" w:color="auto"/>
      </w:divBdr>
    </w:div>
    <w:div w:id="15761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development-agenda/"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7891241934108576"/>
          <c:y val="0.125"/>
          <c:w val="0.79897325108729644"/>
          <c:h val="0.52173581243521616"/>
        </c:manualLayout>
      </c:layout>
      <c:barChart>
        <c:barDir val="col"/>
        <c:grouping val="clustered"/>
        <c:ser>
          <c:idx val="2"/>
          <c:order val="0"/>
          <c:tx>
            <c:strRef>
              <c:f>Sheet1!$A$2</c:f>
              <c:strCache>
                <c:ptCount val="1"/>
              </c:strCache>
            </c:strRef>
          </c:tx>
          <c:spPr>
            <a:solidFill>
              <a:srgbClr val="1F497D">
                <a:lumMod val="60000"/>
                <a:lumOff val="40000"/>
              </a:srgbClr>
            </a:solidFill>
            <a:ln w="12700">
              <a:solidFill>
                <a:srgbClr val="000000"/>
              </a:solidFill>
              <a:prstDash val="solid"/>
            </a:ln>
          </c:spPr>
          <c:dLbls>
            <c:numFmt formatCode="0.0" sourceLinked="0"/>
            <c:spPr>
              <a:noFill/>
              <a:ln w="25399">
                <a:noFill/>
              </a:ln>
            </c:spPr>
            <c:txPr>
              <a:bodyPr/>
              <a:lstStyle/>
              <a:p>
                <a:pPr>
                  <a:defRPr sz="800" b="0" i="0" u="none" strike="noStrike" baseline="0">
                    <a:solidFill>
                      <a:srgbClr val="000000"/>
                    </a:solidFill>
                    <a:latin typeface="Arial"/>
                    <a:ea typeface="Arial"/>
                    <a:cs typeface="Arial"/>
                  </a:defRPr>
                </a:pPr>
                <a:endParaRPr lang="ar-SA"/>
              </a:p>
            </c:txPr>
            <c:showVal val="1"/>
          </c:dLbls>
          <c:cat>
            <c:strRef>
              <c:f>Sheet1!$B$1:$D$1</c:f>
              <c:strCache>
                <c:ptCount val="3"/>
                <c:pt idx="0">
                  <c:v>Palestine</c:v>
                </c:pt>
                <c:pt idx="1">
                  <c:v>West Bank</c:v>
                </c:pt>
                <c:pt idx="2">
                  <c:v>Gaza Strip</c:v>
                </c:pt>
              </c:strCache>
            </c:strRef>
          </c:cat>
          <c:val>
            <c:numRef>
              <c:f>Sheet1!$B$2:$D$2</c:f>
              <c:numCache>
                <c:formatCode>General</c:formatCode>
                <c:ptCount val="3"/>
                <c:pt idx="0">
                  <c:v>62.4</c:v>
                </c:pt>
                <c:pt idx="1">
                  <c:v>95.1</c:v>
                </c:pt>
                <c:pt idx="2">
                  <c:v>11.4</c:v>
                </c:pt>
              </c:numCache>
            </c:numRef>
          </c:val>
        </c:ser>
        <c:dLbls>
          <c:showVal val="1"/>
        </c:dLbls>
        <c:axId val="119118080"/>
        <c:axId val="119124352"/>
      </c:barChart>
      <c:catAx>
        <c:axId val="119118080"/>
        <c:scaling>
          <c:orientation val="minMax"/>
        </c:scaling>
        <c:axPos val="b"/>
        <c:title>
          <c:tx>
            <c:rich>
              <a:bodyPr/>
              <a:lstStyle/>
              <a:p>
                <a:pPr>
                  <a:defRPr sz="800" b="1" i="0" u="none" strike="noStrike" baseline="0">
                    <a:solidFill>
                      <a:srgbClr val="000000"/>
                    </a:solidFill>
                    <a:latin typeface="Arial"/>
                    <a:ea typeface="Arial"/>
                    <a:cs typeface="Arial"/>
                  </a:defRPr>
                </a:pPr>
                <a:r>
                  <a:rPr lang="en-US"/>
                  <a:t>  Region</a:t>
                </a:r>
              </a:p>
            </c:rich>
          </c:tx>
          <c:layout>
            <c:manualLayout>
              <c:xMode val="edge"/>
              <c:yMode val="edge"/>
              <c:x val="0.45647460132466078"/>
              <c:y val="0.84535962416462662"/>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19124352"/>
        <c:crosses val="autoZero"/>
        <c:auto val="1"/>
        <c:lblAlgn val="ctr"/>
        <c:lblOffset val="100"/>
        <c:tickLblSkip val="1"/>
        <c:tickMarkSkip val="1"/>
      </c:catAx>
      <c:valAx>
        <c:axId val="119124352"/>
        <c:scaling>
          <c:orientation val="minMax"/>
          <c:max val="100"/>
          <c:min val="0"/>
        </c:scaling>
        <c:axPos val="l"/>
        <c:title>
          <c:tx>
            <c:rich>
              <a:bodyPr/>
              <a:lstStyle/>
              <a:p>
                <a:pPr>
                  <a:defRPr sz="800" b="1" i="0" u="none" strike="noStrike" baseline="0">
                    <a:solidFill>
                      <a:srgbClr val="000000"/>
                    </a:solidFill>
                    <a:latin typeface="Arial"/>
                    <a:ea typeface="Arial"/>
                    <a:cs typeface="Arial"/>
                  </a:defRPr>
                </a:pPr>
                <a:r>
                  <a:rPr lang="en-US"/>
                  <a:t>%</a:t>
                </a:r>
                <a:endParaRPr lang="ar-SA"/>
              </a:p>
            </c:rich>
          </c:tx>
          <c:layout>
            <c:manualLayout>
              <c:xMode val="edge"/>
              <c:yMode val="edge"/>
              <c:x val="2.5071775775321083E-3"/>
              <c:y val="0.31148547608019811"/>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19118080"/>
        <c:crosses val="autoZero"/>
        <c:crossBetween val="between"/>
        <c:majorUnit val="20"/>
      </c:valAx>
      <c:spPr>
        <a:solidFill>
          <a:srgbClr val="FFFFFF"/>
        </a:solidFill>
        <a:ln w="12700">
          <a:solidFill>
            <a:srgbClr val="FFFFFF"/>
          </a:solidFill>
          <a:prstDash val="solid"/>
        </a:ln>
      </c:spPr>
    </c:plotArea>
    <c:plotVisOnly val="1"/>
    <c:dispBlanksAs val="gap"/>
  </c:chart>
  <c:spPr>
    <a:solidFill>
      <a:srgbClr val="FFFFFF"/>
    </a:solidFill>
    <a:ln>
      <a:noFill/>
    </a:ln>
  </c:spPr>
  <c:txPr>
    <a:bodyPr/>
    <a:lstStyle/>
    <a:p>
      <a:pPr>
        <a:defRPr sz="875" b="1" i="0" u="none" strike="noStrike" baseline="0">
          <a:solidFill>
            <a:srgbClr val="000000"/>
          </a:solidFill>
          <a:latin typeface="Arial"/>
          <a:ea typeface="Arial"/>
          <a:cs typeface="Arial"/>
        </a:defRPr>
      </a:pPr>
      <a:endParaRPr lang="ar-S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9436325071912144"/>
          <c:y val="0.15049556924196394"/>
          <c:w val="0.73263522871449849"/>
          <c:h val="0.50064551337023799"/>
        </c:manualLayout>
      </c:layout>
      <c:lineChart>
        <c:grouping val="stacked"/>
        <c:ser>
          <c:idx val="0"/>
          <c:order val="0"/>
          <c:tx>
            <c:strRef>
              <c:f>Sheet1!$A$2</c:f>
              <c:strCache>
                <c:ptCount val="1"/>
                <c:pt idx="0">
                  <c:v>الأراضي الفلسطينية</c:v>
                </c:pt>
              </c:strCache>
            </c:strRef>
          </c:tx>
          <c:dLbls>
            <c:dLbl>
              <c:idx val="0"/>
              <c:layout>
                <c:manualLayout>
                  <c:x val="-7.2313101083767012E-2"/>
                  <c:y val="-7.5955926301291582E-2"/>
                </c:manualLayout>
              </c:layout>
              <c:dLblPos val="r"/>
              <c:showVal val="1"/>
              <c:extLst>
                <c:ext xmlns:c15="http://schemas.microsoft.com/office/drawing/2012/chart" uri="{CE6537A1-D6FC-4f65-9D91-7224C49458BB}"/>
              </c:extLst>
            </c:dLbl>
            <c:dLbl>
              <c:idx val="1"/>
              <c:layout>
                <c:manualLayout>
                  <c:x val="-8.3877928543066527E-2"/>
                  <c:y val="5.2688859437124806E-2"/>
                </c:manualLayout>
              </c:layout>
              <c:dLblPos val="r"/>
              <c:showVal val="1"/>
              <c:extLst>
                <c:ext xmlns:c15="http://schemas.microsoft.com/office/drawing/2012/chart" uri="{CE6537A1-D6FC-4f65-9D91-7224C49458BB}"/>
              </c:extLst>
            </c:dLbl>
            <c:dLbl>
              <c:idx val="2"/>
              <c:layout>
                <c:manualLayout>
                  <c:x val="-8.3265827933870121E-2"/>
                  <c:y val="-6.8903095033912884E-2"/>
                </c:manualLayout>
              </c:layout>
              <c:dLblPos val="r"/>
              <c:showVal val="1"/>
              <c:extLst>
                <c:ext xmlns:c15="http://schemas.microsoft.com/office/drawing/2012/chart" uri="{CE6537A1-D6FC-4f65-9D91-7224C49458BB}"/>
              </c:extLst>
            </c:dLbl>
            <c:dLbl>
              <c:idx val="3"/>
              <c:layout>
                <c:manualLayout>
                  <c:x val="-8.3265827933870884E-2"/>
                  <c:y val="7.1467477456407524E-2"/>
                </c:manualLayout>
              </c:layout>
              <c:dLblPos val="r"/>
              <c:showVal val="1"/>
              <c:extLst>
                <c:ext xmlns:c15="http://schemas.microsoft.com/office/drawing/2012/chart" uri="{CE6537A1-D6FC-4f65-9D91-7224C49458BB}"/>
              </c:extLst>
            </c:dLbl>
            <c:dLbl>
              <c:idx val="4"/>
              <c:layout>
                <c:manualLayout>
                  <c:x val="-7.6839546348219392E-2"/>
                  <c:y val="-8.2021776980847727E-2"/>
                </c:manualLayout>
              </c:layout>
              <c:dLblPos val="r"/>
              <c:showVal val="1"/>
              <c:extLst>
                <c:ext xmlns:c15="http://schemas.microsoft.com/office/drawing/2012/chart" uri="{CE6537A1-D6FC-4f65-9D91-7224C49458BB}"/>
              </c:extLst>
            </c:dLbl>
            <c:dLbl>
              <c:idx val="5"/>
              <c:layout>
                <c:manualLayout>
                  <c:x val="-8.421070982363367E-2"/>
                  <c:y val="6.744315376419531E-2"/>
                </c:manualLayout>
              </c:layout>
              <c:showVal val="1"/>
            </c:dLbl>
            <c:dLbl>
              <c:idx val="6"/>
              <c:layout>
                <c:manualLayout>
                  <c:x val="-8.7892998615025517E-2"/>
                  <c:y val="-7.5349393207037318E-2"/>
                </c:manualLayout>
              </c:layout>
              <c:showVal val="1"/>
              <c:extLst>
                <c:ext xmlns:c15="http://schemas.microsoft.com/office/drawing/2012/chart" uri="{CE6537A1-D6FC-4f65-9D91-7224C49458BB}"/>
              </c:extLst>
            </c:dLbl>
            <c:dLbl>
              <c:idx val="7"/>
              <c:layout>
                <c:manualLayout>
                  <c:x val="-8.1853347667334944E-2"/>
                  <c:y val="7.0737246953041955E-2"/>
                </c:manualLayout>
              </c:layout>
              <c:showVal val="1"/>
              <c:extLst>
                <c:ext xmlns:c15="http://schemas.microsoft.com/office/drawing/2012/chart" uri="{CE6537A1-D6FC-4f65-9D91-7224C49458BB}"/>
              </c:extLst>
            </c:dLbl>
            <c:dLbl>
              <c:idx val="8"/>
              <c:layout>
                <c:manualLayout>
                  <c:x val="-5.5233557059980093E-2"/>
                  <c:y val="-8.3292014240794188E-2"/>
                </c:manualLayout>
              </c:layout>
              <c:showVal val="1"/>
              <c:extLst>
                <c:ext xmlns:c15="http://schemas.microsoft.com/office/drawing/2012/chart" uri="{CE6537A1-D6FC-4f65-9D91-7224C49458BB}"/>
              </c:extLst>
            </c:dLbl>
            <c:spPr>
              <a:noFill/>
              <a:ln>
                <a:noFill/>
              </a:ln>
              <a:effectLst/>
            </c:spPr>
            <c:txPr>
              <a:bodyPr/>
              <a:lstStyle/>
              <a:p>
                <a:pPr>
                  <a:defRPr sz="800"/>
                </a:pPr>
                <a:endParaRPr lang="ar-SA"/>
              </a:p>
            </c:txPr>
            <c:showVal val="1"/>
            <c:extLst>
              <c:ext xmlns:c15="http://schemas.microsoft.com/office/drawing/2012/chart" uri="{CE6537A1-D6FC-4f65-9D91-7224C49458BB}">
                <c15:showLeaderLines val="0"/>
              </c:ext>
            </c:extLst>
          </c:dLbls>
          <c:cat>
            <c:numRef>
              <c:f>Sheet1!$B$1:$J$1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Sheet1!$B$2:$J$2</c:f>
              <c:numCache>
                <c:formatCode>General</c:formatCode>
                <c:ptCount val="9"/>
                <c:pt idx="0">
                  <c:v>81.8</c:v>
                </c:pt>
                <c:pt idx="1">
                  <c:v>81.8</c:v>
                </c:pt>
                <c:pt idx="2">
                  <c:v>82.4</c:v>
                </c:pt>
                <c:pt idx="3">
                  <c:v>83.8</c:v>
                </c:pt>
                <c:pt idx="4">
                  <c:v>82.6</c:v>
                </c:pt>
                <c:pt idx="5">
                  <c:v>80.099999999999994</c:v>
                </c:pt>
                <c:pt idx="6">
                  <c:v>79.7</c:v>
                </c:pt>
                <c:pt idx="7">
                  <c:v>77.2</c:v>
                </c:pt>
                <c:pt idx="8">
                  <c:v>76.8</c:v>
                </c:pt>
              </c:numCache>
            </c:numRef>
          </c:val>
        </c:ser>
        <c:marker val="1"/>
        <c:axId val="111898624"/>
        <c:axId val="111900544"/>
      </c:lineChart>
      <c:catAx>
        <c:axId val="111898624"/>
        <c:scaling>
          <c:orientation val="minMax"/>
        </c:scaling>
        <c:axPos val="b"/>
        <c:title>
          <c:tx>
            <c:rich>
              <a:bodyPr/>
              <a:lstStyle/>
              <a:p>
                <a:pPr>
                  <a:defRPr>
                    <a:latin typeface="Arial" pitchFamily="34" charset="0"/>
                    <a:cs typeface="Arial" pitchFamily="34" charset="0"/>
                  </a:defRPr>
                </a:pPr>
                <a:r>
                  <a:rPr lang="en-US">
                    <a:latin typeface="Arial" pitchFamily="34" charset="0"/>
                    <a:cs typeface="Arial" pitchFamily="34" charset="0"/>
                  </a:rPr>
                  <a:t>Year</a:t>
                </a:r>
                <a:endParaRPr lang="ar-SA">
                  <a:latin typeface="Arial" pitchFamily="34" charset="0"/>
                  <a:cs typeface="Arial" pitchFamily="34" charset="0"/>
                </a:endParaRPr>
              </a:p>
            </c:rich>
          </c:tx>
          <c:layout>
            <c:manualLayout>
              <c:xMode val="edge"/>
              <c:yMode val="edge"/>
              <c:x val="0.42232888785581618"/>
              <c:y val="0.89842106815299749"/>
            </c:manualLayout>
          </c:layout>
        </c:title>
        <c:numFmt formatCode="General" sourceLinked="1"/>
        <c:tickLblPos val="nextTo"/>
        <c:txPr>
          <a:bodyPr rot="2100000" vert="horz"/>
          <a:lstStyle/>
          <a:p>
            <a:pPr>
              <a:defRPr/>
            </a:pPr>
            <a:endParaRPr lang="ar-SA"/>
          </a:p>
        </c:txPr>
        <c:crossAx val="111900544"/>
        <c:crosses val="autoZero"/>
        <c:auto val="1"/>
        <c:lblAlgn val="ctr"/>
        <c:lblOffset val="100"/>
        <c:tickLblSkip val="1"/>
        <c:tickMarkSkip val="1"/>
      </c:catAx>
      <c:valAx>
        <c:axId val="111900544"/>
        <c:scaling>
          <c:orientation val="minMax"/>
          <c:max val="100"/>
          <c:min val="50"/>
        </c:scaling>
        <c:axPos val="l"/>
        <c:title>
          <c:tx>
            <c:rich>
              <a:bodyPr rot="-5400000" vert="horz"/>
              <a:lstStyle/>
              <a:p>
                <a:pPr>
                  <a:defRPr/>
                </a:pPr>
                <a:r>
                  <a:rPr lang="en-US"/>
                  <a:t>%</a:t>
                </a:r>
              </a:p>
            </c:rich>
          </c:tx>
          <c:layout>
            <c:manualLayout>
              <c:xMode val="edge"/>
              <c:yMode val="edge"/>
              <c:x val="9.9791769571241293E-3"/>
              <c:y val="0.39520694528569278"/>
            </c:manualLayout>
          </c:layout>
        </c:title>
        <c:numFmt formatCode="#,##0" sourceLinked="0"/>
        <c:tickLblPos val="nextTo"/>
        <c:txPr>
          <a:bodyPr rot="0" vert="horz"/>
          <a:lstStyle/>
          <a:p>
            <a:pPr>
              <a:defRPr/>
            </a:pPr>
            <a:endParaRPr lang="ar-SA"/>
          </a:p>
        </c:txPr>
        <c:crossAx val="111898624"/>
        <c:crosses val="autoZero"/>
        <c:crossBetween val="between"/>
        <c:majorUnit val="10"/>
        <c:minorUnit val="1"/>
      </c:valAx>
    </c:plotArea>
    <c:plotVisOnly val="1"/>
    <c:dispBlanksAs val="zero"/>
  </c:chart>
  <c:spPr>
    <a:ln>
      <a:noFill/>
    </a:ln>
  </c:spPr>
  <c:txPr>
    <a:bodyPr/>
    <a:lstStyle/>
    <a:p>
      <a:pPr>
        <a:defRPr sz="900">
          <a:latin typeface="Arial" pitchFamily="34" charset="0"/>
          <a:cs typeface="Arial"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54FC4-B78F-40EB-8061-5B15759B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3628</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Palestinian Central Bureau of Statistics (PCBS)</vt:lpstr>
      <vt:lpstr>        Theme for World Water Day 2019 is " "Leaving no one behind", which is the centra</vt:lpstr>
    </vt:vector>
  </TitlesOfParts>
  <Company>pcbs</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Central Bureau of Statistics (PCBS)</dc:title>
  <dc:creator>arabi</dc:creator>
  <cp:lastModifiedBy>hbadran</cp:lastModifiedBy>
  <cp:revision>2</cp:revision>
  <cp:lastPrinted>2019-03-20T12:55:00Z</cp:lastPrinted>
  <dcterms:created xsi:type="dcterms:W3CDTF">2019-03-20T12:59:00Z</dcterms:created>
  <dcterms:modified xsi:type="dcterms:W3CDTF">2019-03-20T12:59:00Z</dcterms:modified>
</cp:coreProperties>
</file>