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D6" w:rsidRDefault="002361D6" w:rsidP="002361D6">
      <w:pPr>
        <w:pStyle w:val="Heading3"/>
        <w:bidi w:val="0"/>
        <w:jc w:val="center"/>
        <w:rPr>
          <w:sz w:val="32"/>
          <w:szCs w:val="32"/>
          <w:u w:val="none"/>
        </w:rPr>
      </w:pPr>
    </w:p>
    <w:p w:rsidR="002361D6" w:rsidRDefault="002361D6" w:rsidP="002361D6">
      <w:pPr>
        <w:pStyle w:val="Heading3"/>
        <w:bidi w:val="0"/>
        <w:jc w:val="center"/>
        <w:rPr>
          <w:rFonts w:ascii="Simplified Arabic" w:hAnsi="Simplified Arabic" w:cs="Simplified Arabic"/>
          <w:sz w:val="32"/>
          <w:szCs w:val="32"/>
          <w:u w:val="none"/>
        </w:rPr>
      </w:pPr>
      <w:r w:rsidRPr="002361D6">
        <w:rPr>
          <w:sz w:val="32"/>
          <w:szCs w:val="32"/>
          <w:u w:val="none"/>
        </w:rPr>
        <w:t>Palestinian Central Bureau of Statistics (PCBS)</w:t>
      </w:r>
    </w:p>
    <w:p w:rsidR="002361D6" w:rsidRPr="002361D6" w:rsidRDefault="002361D6" w:rsidP="002361D6">
      <w:pPr>
        <w:bidi w:val="0"/>
        <w:jc w:val="center"/>
        <w:rPr>
          <w:sz w:val="16"/>
          <w:szCs w:val="16"/>
          <w:lang w:val="en-GB" w:eastAsia="en-US" w:bidi="ar-JO"/>
        </w:rPr>
      </w:pPr>
    </w:p>
    <w:p w:rsidR="002361D6" w:rsidRPr="002361D6" w:rsidRDefault="002361D6" w:rsidP="002361D6">
      <w:pPr>
        <w:pStyle w:val="Heading1"/>
        <w:ind w:hanging="334"/>
        <w:jc w:val="center"/>
        <w:rPr>
          <w:rFonts w:ascii="Times New Roman" w:hAnsi="Times New Roman" w:cs="Times New Roman"/>
          <w:color w:val="000000"/>
          <w:szCs w:val="32"/>
          <w:rtl/>
        </w:rPr>
      </w:pPr>
      <w:r w:rsidRPr="002361D6">
        <w:rPr>
          <w:rFonts w:ascii="Times New Roman" w:hAnsi="Times New Roman"/>
          <w:color w:val="000000"/>
        </w:rPr>
        <w:t>Preliminary Estimates of Quarterly National Accounts</w:t>
      </w:r>
    </w:p>
    <w:p w:rsidR="002361D6" w:rsidRPr="002361D6" w:rsidRDefault="002361D6" w:rsidP="002361D6">
      <w:pPr>
        <w:pStyle w:val="Heading1"/>
        <w:ind w:hanging="334"/>
        <w:jc w:val="center"/>
        <w:rPr>
          <w:rFonts w:ascii="Times New Roman" w:hAnsi="Times New Roman"/>
          <w:color w:val="000000"/>
          <w:sz w:val="28"/>
          <w:szCs w:val="28"/>
          <w:rtl/>
        </w:rPr>
      </w:pPr>
      <w:r w:rsidRPr="002361D6">
        <w:rPr>
          <w:rFonts w:ascii="Times New Roman" w:hAnsi="Times New Roman"/>
          <w:color w:val="000000"/>
        </w:rPr>
        <w:t xml:space="preserve">(First Quarter </w:t>
      </w:r>
      <w:r>
        <w:rPr>
          <w:rFonts w:ascii="Times New Roman" w:hAnsi="Times New Roman"/>
          <w:color w:val="000000"/>
        </w:rPr>
        <w:t>2017</w:t>
      </w:r>
      <w:r w:rsidRPr="002361D6">
        <w:rPr>
          <w:rFonts w:ascii="Times New Roman" w:hAnsi="Times New Roman"/>
          <w:color w:val="000000"/>
        </w:rPr>
        <w:t>)</w:t>
      </w:r>
    </w:p>
    <w:p w:rsidR="002361D6" w:rsidRPr="002361D6" w:rsidRDefault="002361D6" w:rsidP="002361D6">
      <w:pPr>
        <w:pStyle w:val="Heading7"/>
        <w:bidi w:val="0"/>
        <w:jc w:val="center"/>
        <w:rPr>
          <w:rFonts w:eastAsiaTheme="minorHAnsi"/>
          <w:color w:val="000000"/>
          <w:sz w:val="32"/>
          <w:szCs w:val="32"/>
        </w:rPr>
      </w:pPr>
      <w:r w:rsidRPr="002361D6">
        <w:rPr>
          <w:color w:val="000000"/>
          <w:sz w:val="32"/>
          <w:szCs w:val="32"/>
        </w:rPr>
        <w:t>Main Results</w:t>
      </w:r>
    </w:p>
    <w:p w:rsidR="00177FD4" w:rsidRPr="000C1C05" w:rsidRDefault="00177FD4" w:rsidP="00177FD4">
      <w:pPr>
        <w:pStyle w:val="Heading7"/>
        <w:bidi w:val="0"/>
        <w:ind w:right="-110"/>
        <w:jc w:val="both"/>
      </w:pPr>
    </w:p>
    <w:p w:rsidR="00177FD4" w:rsidRPr="002361D6" w:rsidRDefault="00177FD4" w:rsidP="00177FD4">
      <w:pPr>
        <w:pStyle w:val="Heading7"/>
        <w:bidi w:val="0"/>
        <w:ind w:right="-110"/>
        <w:jc w:val="center"/>
        <w:rPr>
          <w:rFonts w:cs="Times New Roman"/>
          <w:sz w:val="28"/>
          <w:szCs w:val="28"/>
          <w:lang w:eastAsia="en-US"/>
        </w:rPr>
      </w:pPr>
      <w:r w:rsidRPr="002361D6">
        <w:rPr>
          <w:sz w:val="28"/>
          <w:szCs w:val="28"/>
        </w:rPr>
        <w:t xml:space="preserve">Increase </w:t>
      </w:r>
      <w:r w:rsidRPr="002361D6">
        <w:rPr>
          <w:rFonts w:cs="Times New Roman"/>
          <w:sz w:val="28"/>
          <w:szCs w:val="28"/>
          <w:lang w:eastAsia="en-US"/>
        </w:rPr>
        <w:t xml:space="preserve">in GDP at constant prices in Palestine* during the </w:t>
      </w:r>
      <w:r w:rsidRPr="002361D6">
        <w:rPr>
          <w:sz w:val="28"/>
          <w:szCs w:val="28"/>
          <w:lang w:eastAsia="en-US"/>
        </w:rPr>
        <w:t>1</w:t>
      </w:r>
      <w:r w:rsidRPr="002361D6">
        <w:rPr>
          <w:sz w:val="28"/>
          <w:szCs w:val="28"/>
          <w:vertAlign w:val="superscript"/>
          <w:lang w:eastAsia="en-US"/>
        </w:rPr>
        <w:t>st</w:t>
      </w:r>
      <w:r w:rsidRPr="002361D6">
        <w:rPr>
          <w:rFonts w:cs="Times New Roman"/>
          <w:sz w:val="28"/>
          <w:szCs w:val="28"/>
          <w:lang w:eastAsia="en-US"/>
        </w:rPr>
        <w:t xml:space="preserve"> quarter 2017 compared to the parallel quarter (</w:t>
      </w:r>
      <w:r w:rsidRPr="002361D6">
        <w:rPr>
          <w:sz w:val="28"/>
          <w:szCs w:val="28"/>
          <w:lang w:eastAsia="en-US"/>
        </w:rPr>
        <w:t>1</w:t>
      </w:r>
      <w:r w:rsidRPr="002361D6">
        <w:rPr>
          <w:sz w:val="28"/>
          <w:szCs w:val="28"/>
          <w:vertAlign w:val="superscript"/>
          <w:lang w:eastAsia="en-US"/>
        </w:rPr>
        <w:t>st</w:t>
      </w:r>
      <w:r w:rsidRPr="002361D6">
        <w:rPr>
          <w:rFonts w:cs="Times New Roman"/>
          <w:sz w:val="28"/>
          <w:szCs w:val="28"/>
          <w:lang w:eastAsia="en-US"/>
        </w:rPr>
        <w:t xml:space="preserve"> quarter 2016)</w:t>
      </w:r>
    </w:p>
    <w:p w:rsidR="002361D6" w:rsidRDefault="002361D6" w:rsidP="00177FD4">
      <w:pPr>
        <w:bidi w:val="0"/>
        <w:jc w:val="lowKashida"/>
        <w:rPr>
          <w:lang w:eastAsia="en-US"/>
        </w:rPr>
      </w:pPr>
    </w:p>
    <w:p w:rsidR="00177FD4" w:rsidRPr="000C1C05" w:rsidRDefault="00177FD4" w:rsidP="002361D6">
      <w:pPr>
        <w:bidi w:val="0"/>
        <w:jc w:val="lowKashida"/>
        <w:rPr>
          <w:lang w:eastAsia="en-US"/>
        </w:rPr>
      </w:pPr>
      <w:r w:rsidRPr="000C1C05">
        <w:rPr>
          <w:lang w:eastAsia="en-US"/>
        </w:rPr>
        <w:t>Preliminary estimates at constant prices showed an increase of 0.7% in GDP in Palestine</w:t>
      </w:r>
      <w:proofErr w:type="spellStart"/>
      <w:r w:rsidRPr="000C1C05">
        <w:rPr>
          <w:rtl/>
        </w:rPr>
        <w:footnoteReference w:customMarkFollows="1" w:id="1"/>
        <w:t>*</w:t>
      </w:r>
      <w:proofErr w:type="spellEnd"/>
      <w:r w:rsidRPr="000C1C05">
        <w:rPr>
          <w:lang w:eastAsia="en-US"/>
        </w:rPr>
        <w:t xml:space="preserve"> during the 1</w:t>
      </w:r>
      <w:r w:rsidRPr="000C1C05">
        <w:rPr>
          <w:vertAlign w:val="superscript"/>
          <w:lang w:eastAsia="en-US"/>
        </w:rPr>
        <w:t>st</w:t>
      </w:r>
      <w:r w:rsidRPr="000C1C05">
        <w:rPr>
          <w:lang w:eastAsia="en-US"/>
        </w:rPr>
        <w:t xml:space="preserve"> quarter 2017 compared to the 1</w:t>
      </w:r>
      <w:r w:rsidRPr="000C1C05">
        <w:rPr>
          <w:vertAlign w:val="superscript"/>
          <w:lang w:eastAsia="en-US"/>
        </w:rPr>
        <w:t>st</w:t>
      </w:r>
      <w:r w:rsidRPr="000C1C05">
        <w:rPr>
          <w:lang w:eastAsia="en-US"/>
        </w:rPr>
        <w:t xml:space="preserve"> quarter 2016, (increase 0.8% in the West Bank* and increase 0.4% in Gaza Strip compared to the 1</w:t>
      </w:r>
      <w:r w:rsidRPr="000C1C05">
        <w:rPr>
          <w:vertAlign w:val="superscript"/>
          <w:lang w:eastAsia="en-US"/>
        </w:rPr>
        <w:t>st</w:t>
      </w:r>
      <w:r w:rsidRPr="000C1C05">
        <w:rPr>
          <w:lang w:eastAsia="en-US"/>
        </w:rPr>
        <w:t xml:space="preserve"> quarter 2016).  </w:t>
      </w:r>
      <w:r w:rsidRPr="00D67B03">
        <w:rPr>
          <w:lang w:eastAsia="en-US"/>
        </w:rPr>
        <w:t>And it showed a stab</w:t>
      </w:r>
      <w:r>
        <w:rPr>
          <w:lang w:eastAsia="en-US"/>
        </w:rPr>
        <w:t>ility</w:t>
      </w:r>
      <w:r w:rsidRPr="00D67B03">
        <w:rPr>
          <w:lang w:eastAsia="en-US"/>
        </w:rPr>
        <w:t xml:space="preserve"> in Palestine* compared to the 4</w:t>
      </w:r>
      <w:r w:rsidRPr="00D67B03">
        <w:rPr>
          <w:vertAlign w:val="superscript"/>
          <w:lang w:eastAsia="en-US"/>
        </w:rPr>
        <w:t>th</w:t>
      </w:r>
      <w:r w:rsidRPr="00D67B03">
        <w:rPr>
          <w:lang w:eastAsia="en-US"/>
        </w:rPr>
        <w:t xml:space="preserve"> quarter 2016 at constant prices, </w:t>
      </w:r>
      <w:r>
        <w:rPr>
          <w:lang w:eastAsia="en-US"/>
        </w:rPr>
        <w:t>with a slight increase of 0.1%</w:t>
      </w:r>
      <w:r w:rsidRPr="00D67B03">
        <w:rPr>
          <w:lang w:eastAsia="en-US"/>
        </w:rPr>
        <w:t>,  meanwhile the base year is 2004.  GDP for the 1</w:t>
      </w:r>
      <w:r w:rsidRPr="00D67B03">
        <w:rPr>
          <w:vertAlign w:val="superscript"/>
          <w:lang w:eastAsia="en-US"/>
        </w:rPr>
        <w:t>st</w:t>
      </w:r>
      <w:r w:rsidRPr="00D67B03">
        <w:rPr>
          <w:lang w:eastAsia="en-US"/>
        </w:rPr>
        <w:t xml:space="preserve"> quarter 2017 at constant prices</w:t>
      </w:r>
      <w:r w:rsidRPr="000C1C05">
        <w:rPr>
          <w:lang w:eastAsia="en-US"/>
        </w:rPr>
        <w:t xml:space="preserve"> was USD </w:t>
      </w:r>
      <w:r w:rsidRPr="000C1C05">
        <w:rPr>
          <w:rFonts w:hint="cs"/>
          <w:rtl/>
          <w:lang w:eastAsia="en-US"/>
        </w:rPr>
        <w:t>1,</w:t>
      </w:r>
      <w:r w:rsidRPr="000C1C05">
        <w:rPr>
          <w:lang w:eastAsia="en-US"/>
        </w:rPr>
        <w:t>5</w:t>
      </w:r>
      <w:r w:rsidRPr="000C1C05">
        <w:rPr>
          <w:rFonts w:hint="cs"/>
          <w:rtl/>
          <w:lang w:eastAsia="en-US"/>
        </w:rPr>
        <w:t>05</w:t>
      </w:r>
      <w:r w:rsidRPr="000C1C05">
        <w:rPr>
          <w:lang w:eastAsia="en-US"/>
        </w:rPr>
        <w:t>.8 million for the West Bank* and USD 4</w:t>
      </w:r>
      <w:r w:rsidRPr="000C1C05">
        <w:rPr>
          <w:rFonts w:hint="cs"/>
          <w:rtl/>
          <w:lang w:eastAsia="en-US"/>
        </w:rPr>
        <w:t>9</w:t>
      </w:r>
      <w:r w:rsidRPr="000C1C05">
        <w:rPr>
          <w:lang w:eastAsia="en-US"/>
        </w:rPr>
        <w:t xml:space="preserve">3.4 million for Gaza Strip. </w:t>
      </w:r>
    </w:p>
    <w:p w:rsidR="00177FD4" w:rsidRPr="002361D6" w:rsidRDefault="00177FD4" w:rsidP="00177FD4">
      <w:pPr>
        <w:pStyle w:val="Heading7"/>
        <w:bidi w:val="0"/>
        <w:ind w:right="-110"/>
        <w:jc w:val="left"/>
        <w:rPr>
          <w:sz w:val="16"/>
          <w:szCs w:val="16"/>
        </w:rPr>
      </w:pPr>
    </w:p>
    <w:p w:rsidR="00177FD4" w:rsidRPr="002361D6" w:rsidRDefault="00177FD4" w:rsidP="00177FD4">
      <w:pPr>
        <w:bidi w:val="0"/>
        <w:jc w:val="both"/>
        <w:rPr>
          <w:b/>
          <w:bCs/>
          <w:snapToGrid w:val="0"/>
          <w:sz w:val="25"/>
          <w:szCs w:val="25"/>
        </w:rPr>
      </w:pPr>
      <w:r w:rsidRPr="002361D6">
        <w:rPr>
          <w:b/>
          <w:bCs/>
          <w:snapToGrid w:val="0"/>
          <w:sz w:val="25"/>
          <w:szCs w:val="25"/>
        </w:rPr>
        <w:t>Gross Domestic Product Per Capita</w:t>
      </w:r>
    </w:p>
    <w:p w:rsidR="00177FD4" w:rsidRPr="000C1C05" w:rsidRDefault="00177FD4" w:rsidP="00177FD4">
      <w:pPr>
        <w:bidi w:val="0"/>
        <w:jc w:val="both"/>
        <w:rPr>
          <w:snapToGrid w:val="0"/>
        </w:rPr>
      </w:pPr>
      <w:r w:rsidRPr="000C1C05">
        <w:rPr>
          <w:snapToGrid w:val="0"/>
        </w:rPr>
        <w:t xml:space="preserve">GDP per Capita for </w:t>
      </w:r>
      <w:r w:rsidRPr="000C1C05">
        <w:rPr>
          <w:lang w:eastAsia="en-US"/>
        </w:rPr>
        <w:t xml:space="preserve">Palestine* at constant prices </w:t>
      </w:r>
      <w:r w:rsidRPr="000C1C05">
        <w:rPr>
          <w:snapToGrid w:val="0"/>
        </w:rPr>
        <w:t xml:space="preserve">was  USD 431.6 during the </w:t>
      </w:r>
      <w:r w:rsidRPr="000C1C05">
        <w:rPr>
          <w:lang w:eastAsia="en-US"/>
        </w:rPr>
        <w:t>1</w:t>
      </w:r>
      <w:r w:rsidRPr="000C1C05">
        <w:rPr>
          <w:vertAlign w:val="superscript"/>
          <w:lang w:eastAsia="en-US"/>
        </w:rPr>
        <w:t>st</w:t>
      </w:r>
      <w:r w:rsidRPr="000C1C05">
        <w:rPr>
          <w:lang w:eastAsia="en-US"/>
        </w:rPr>
        <w:t xml:space="preserve"> quarter 2017, it showed a </w:t>
      </w:r>
      <w:r w:rsidRPr="000C1C05">
        <w:rPr>
          <w:snapToGrid w:val="0"/>
        </w:rPr>
        <w:t xml:space="preserve">decrease of 2.1% compared to the </w:t>
      </w:r>
      <w:r w:rsidRPr="000C1C05">
        <w:rPr>
          <w:lang w:eastAsia="en-US"/>
        </w:rPr>
        <w:t>1</w:t>
      </w:r>
      <w:r w:rsidRPr="000C1C05">
        <w:rPr>
          <w:vertAlign w:val="superscript"/>
          <w:lang w:eastAsia="en-US"/>
        </w:rPr>
        <w:t>st</w:t>
      </w:r>
      <w:r w:rsidRPr="000C1C05">
        <w:t xml:space="preserve"> </w:t>
      </w:r>
      <w:r w:rsidRPr="000C1C05">
        <w:rPr>
          <w:snapToGrid w:val="0"/>
        </w:rPr>
        <w:t xml:space="preserve">quarter 2016. As for the West Bank* it was USD 555.2 </w:t>
      </w:r>
      <w:r w:rsidRPr="000C1C05">
        <w:rPr>
          <w:lang w:eastAsia="en-US"/>
        </w:rPr>
        <w:t xml:space="preserve">at constant prices </w:t>
      </w:r>
      <w:r w:rsidRPr="000C1C05">
        <w:rPr>
          <w:snapToGrid w:val="0"/>
        </w:rPr>
        <w:t xml:space="preserve">during the </w:t>
      </w:r>
      <w:r w:rsidRPr="000C1C05">
        <w:rPr>
          <w:lang w:eastAsia="en-US"/>
        </w:rPr>
        <w:t>1</w:t>
      </w:r>
      <w:r w:rsidRPr="000C1C05">
        <w:rPr>
          <w:vertAlign w:val="superscript"/>
          <w:lang w:eastAsia="en-US"/>
        </w:rPr>
        <w:t>st</w:t>
      </w:r>
      <w:r w:rsidRPr="000C1C05">
        <w:rPr>
          <w:lang w:eastAsia="en-US"/>
        </w:rPr>
        <w:t xml:space="preserve"> quarter 2017</w:t>
      </w:r>
      <w:r w:rsidRPr="000C1C05">
        <w:rPr>
          <w:snapToGrid w:val="0"/>
        </w:rPr>
        <w:t xml:space="preserve">, it showed a decrease </w:t>
      </w:r>
      <w:r w:rsidRPr="000C1C05">
        <w:rPr>
          <w:lang w:eastAsia="en-US"/>
        </w:rPr>
        <w:t>by 1.7% during the 1</w:t>
      </w:r>
      <w:r w:rsidRPr="000C1C05">
        <w:rPr>
          <w:vertAlign w:val="superscript"/>
          <w:lang w:eastAsia="en-US"/>
        </w:rPr>
        <w:t>st</w:t>
      </w:r>
      <w:r w:rsidRPr="000C1C05">
        <w:rPr>
          <w:lang w:eastAsia="en-US"/>
        </w:rPr>
        <w:t xml:space="preserve"> quarter 2017 compared to the 1</w:t>
      </w:r>
      <w:r w:rsidRPr="000C1C05">
        <w:rPr>
          <w:vertAlign w:val="superscript"/>
          <w:lang w:eastAsia="en-US"/>
        </w:rPr>
        <w:t>st</w:t>
      </w:r>
      <w:r w:rsidRPr="000C1C05">
        <w:rPr>
          <w:lang w:eastAsia="en-US"/>
        </w:rPr>
        <w:t xml:space="preserve"> quarter 2016</w:t>
      </w:r>
      <w:r w:rsidRPr="000C1C05">
        <w:rPr>
          <w:snapToGrid w:val="0"/>
        </w:rPr>
        <w:t xml:space="preserve">, while for Gaza Strip it was USD 257.0 during the </w:t>
      </w:r>
      <w:r w:rsidRPr="000C1C05">
        <w:rPr>
          <w:lang w:eastAsia="en-US"/>
        </w:rPr>
        <w:t>1</w:t>
      </w:r>
      <w:r w:rsidRPr="000C1C05">
        <w:rPr>
          <w:vertAlign w:val="superscript"/>
          <w:lang w:eastAsia="en-US"/>
        </w:rPr>
        <w:t>st</w:t>
      </w:r>
      <w:r w:rsidRPr="000C1C05">
        <w:rPr>
          <w:lang w:eastAsia="en-US"/>
        </w:rPr>
        <w:t xml:space="preserve"> quarter 2017</w:t>
      </w:r>
      <w:r w:rsidRPr="000C1C05">
        <w:rPr>
          <w:snapToGrid w:val="0"/>
        </w:rPr>
        <w:t xml:space="preserve">, and it showed a decrease </w:t>
      </w:r>
      <w:r w:rsidRPr="000C1C05">
        <w:rPr>
          <w:lang w:eastAsia="en-US"/>
        </w:rPr>
        <w:t>by 2.8% during the 1</w:t>
      </w:r>
      <w:r w:rsidRPr="000C1C05">
        <w:rPr>
          <w:vertAlign w:val="superscript"/>
          <w:lang w:eastAsia="en-US"/>
        </w:rPr>
        <w:t>st</w:t>
      </w:r>
      <w:r w:rsidRPr="000C1C05">
        <w:rPr>
          <w:lang w:eastAsia="en-US"/>
        </w:rPr>
        <w:t xml:space="preserve"> quarter 2017 compared to the 1</w:t>
      </w:r>
      <w:r w:rsidRPr="000C1C05">
        <w:rPr>
          <w:vertAlign w:val="superscript"/>
          <w:lang w:eastAsia="en-US"/>
        </w:rPr>
        <w:t>st</w:t>
      </w:r>
      <w:r w:rsidRPr="000C1C05">
        <w:rPr>
          <w:lang w:eastAsia="en-US"/>
        </w:rPr>
        <w:t xml:space="preserve"> quarter 2016</w:t>
      </w:r>
      <w:r w:rsidRPr="000C1C05">
        <w:rPr>
          <w:snapToGrid w:val="0"/>
        </w:rPr>
        <w:t>.</w:t>
      </w:r>
    </w:p>
    <w:p w:rsidR="00177FD4" w:rsidRPr="002361D6" w:rsidRDefault="00177FD4" w:rsidP="00177FD4">
      <w:pPr>
        <w:bidi w:val="0"/>
        <w:jc w:val="both"/>
        <w:rPr>
          <w:snapToGrid w:val="0"/>
          <w:sz w:val="16"/>
          <w:szCs w:val="16"/>
        </w:rPr>
      </w:pPr>
    </w:p>
    <w:p w:rsidR="00177FD4" w:rsidRDefault="00177FD4" w:rsidP="00177FD4">
      <w:pPr>
        <w:pStyle w:val="BodyTextIndent2"/>
        <w:spacing w:after="0" w:line="240" w:lineRule="atLeast"/>
        <w:ind w:left="0"/>
        <w:jc w:val="center"/>
        <w:rPr>
          <w:b/>
          <w:bCs/>
          <w:sz w:val="25"/>
          <w:szCs w:val="25"/>
        </w:rPr>
      </w:pPr>
      <w:r w:rsidRPr="002361D6">
        <w:rPr>
          <w:b/>
          <w:bCs/>
          <w:sz w:val="25"/>
          <w:szCs w:val="25"/>
        </w:rPr>
        <w:t>Quarterly GDP in Palestine* at Constant Prices for the Years 2013-2017</w:t>
      </w:r>
    </w:p>
    <w:p w:rsidR="002361D6" w:rsidRPr="002361D6" w:rsidRDefault="002361D6" w:rsidP="00177FD4">
      <w:pPr>
        <w:pStyle w:val="BodyTextIndent2"/>
        <w:spacing w:after="0" w:line="240" w:lineRule="atLeast"/>
        <w:ind w:left="0"/>
        <w:jc w:val="center"/>
        <w:rPr>
          <w:rFonts w:hint="cs"/>
          <w:b/>
          <w:bCs/>
          <w:sz w:val="8"/>
          <w:szCs w:val="8"/>
        </w:rPr>
      </w:pPr>
    </w:p>
    <w:p w:rsidR="00177FD4" w:rsidRPr="002361D6" w:rsidRDefault="00177FD4" w:rsidP="002361D6">
      <w:pPr>
        <w:pStyle w:val="BodyTextIndent2"/>
        <w:jc w:val="center"/>
        <w:rPr>
          <w:b/>
          <w:bCs/>
        </w:rPr>
      </w:pPr>
      <w:r w:rsidRPr="000C1C05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610225" cy="3143250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177FD4" w:rsidRPr="002361D6" w:rsidSect="002361D6">
      <w:pgSz w:w="11906" w:h="16838" w:code="9"/>
      <w:pgMar w:top="720" w:right="720" w:bottom="720" w:left="720" w:header="709" w:footer="709" w:gutter="0"/>
      <w:pgNumType w:start="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028" w:rsidRDefault="007D5028" w:rsidP="00212081">
      <w:r>
        <w:separator/>
      </w:r>
    </w:p>
  </w:endnote>
  <w:endnote w:type="continuationSeparator" w:id="0">
    <w:p w:rsidR="007D5028" w:rsidRDefault="007D5028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028" w:rsidRDefault="007D5028" w:rsidP="00212081">
      <w:r>
        <w:separator/>
      </w:r>
    </w:p>
  </w:footnote>
  <w:footnote w:type="continuationSeparator" w:id="0">
    <w:p w:rsidR="007D5028" w:rsidRDefault="007D5028" w:rsidP="00212081">
      <w:r>
        <w:continuationSeparator/>
      </w:r>
    </w:p>
  </w:footnote>
  <w:footnote w:id="1">
    <w:p w:rsidR="00177FD4" w:rsidRPr="00734D56" w:rsidRDefault="00177FD4" w:rsidP="00177FD4">
      <w:pPr>
        <w:pStyle w:val="FootnoteText"/>
        <w:rPr>
          <w:rFonts w:cs="Times New Roman"/>
          <w:sz w:val="18"/>
          <w:szCs w:val="18"/>
        </w:rPr>
      </w:pPr>
      <w:r w:rsidRPr="00734D56">
        <w:rPr>
          <w:rStyle w:val="FootnoteReference"/>
          <w:rtl/>
        </w:rPr>
        <w:t>*</w:t>
      </w:r>
      <w:r w:rsidRPr="00734D56">
        <w:t xml:space="preserve"> </w:t>
      </w:r>
      <w:r w:rsidRPr="00734D56">
        <w:rPr>
          <w:rFonts w:cs="Times New Roman"/>
          <w:sz w:val="18"/>
          <w:szCs w:val="18"/>
        </w:rPr>
        <w:t xml:space="preserve"> </w:t>
      </w:r>
      <w:r w:rsidRPr="00734D56">
        <w:rPr>
          <w:rFonts w:cs="Times New Roman"/>
          <w:snapToGrid w:val="0"/>
          <w:sz w:val="18"/>
          <w:szCs w:val="18"/>
        </w:rPr>
        <w:t xml:space="preserve">The data excludes those parts of </w:t>
      </w:r>
      <w:smartTag w:uri="urn:schemas-microsoft-com:office:smarttags" w:element="City">
        <w:r w:rsidRPr="00734D56">
          <w:rPr>
            <w:rFonts w:cs="Times New Roman"/>
            <w:snapToGrid w:val="0"/>
            <w:sz w:val="18"/>
            <w:szCs w:val="18"/>
          </w:rPr>
          <w:t>Jerusalem</w:t>
        </w:r>
      </w:smartTag>
      <w:r w:rsidRPr="00734D56">
        <w:rPr>
          <w:rFonts w:cs="Times New Roman"/>
          <w:snapToGrid w:val="0"/>
          <w:sz w:val="18"/>
          <w:szCs w:val="18"/>
        </w:rPr>
        <w:t xml:space="preserve"> </w:t>
      </w:r>
      <w:r w:rsidRPr="00646FBC">
        <w:rPr>
          <w:rFonts w:cs="Times New Roman"/>
          <w:snapToGrid w:val="0"/>
          <w:sz w:val="18"/>
          <w:szCs w:val="18"/>
        </w:rPr>
        <w:t xml:space="preserve">governorate </w:t>
      </w:r>
      <w:r w:rsidRPr="00734D56">
        <w:rPr>
          <w:rFonts w:cs="Times New Roman"/>
          <w:snapToGrid w:val="0"/>
          <w:sz w:val="18"/>
          <w:szCs w:val="18"/>
        </w:rPr>
        <w:t xml:space="preserve">which were annexed </w:t>
      </w:r>
      <w:r w:rsidRPr="00734D56">
        <w:rPr>
          <w:rFonts w:cs="Times New Roman"/>
          <w:sz w:val="18"/>
          <w:szCs w:val="18"/>
          <w:lang w:eastAsia="en-US"/>
        </w:rPr>
        <w:t>by</w:t>
      </w:r>
      <w:r w:rsidRPr="00734D56">
        <w:rPr>
          <w:rFonts w:cs="Times New Roman"/>
          <w:snapToGrid w:val="0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734D56">
            <w:rPr>
              <w:rFonts w:cs="Times New Roman"/>
              <w:snapToGrid w:val="0"/>
              <w:sz w:val="18"/>
              <w:szCs w:val="18"/>
            </w:rPr>
            <w:t>Israel</w:t>
          </w:r>
        </w:smartTag>
      </w:smartTag>
      <w:r w:rsidRPr="00734D56">
        <w:rPr>
          <w:rFonts w:cs="Times New Roman"/>
          <w:snapToGrid w:val="0"/>
          <w:sz w:val="18"/>
          <w:szCs w:val="18"/>
        </w:rPr>
        <w:t xml:space="preserve"> </w:t>
      </w:r>
      <w:r w:rsidRPr="00734D56">
        <w:rPr>
          <w:rFonts w:cs="Times New Roman"/>
          <w:sz w:val="18"/>
          <w:szCs w:val="18"/>
          <w:lang w:eastAsia="en-US"/>
        </w:rPr>
        <w:t>in 1967</w:t>
      </w:r>
      <w:r w:rsidRPr="00734D56">
        <w:rPr>
          <w:rFonts w:cs="Times New Roman"/>
          <w:snapToGrid w:val="0"/>
          <w:sz w:val="18"/>
          <w:szCs w:val="18"/>
        </w:rPr>
        <w:t>.</w:t>
      </w:r>
    </w:p>
    <w:p w:rsidR="00177FD4" w:rsidRDefault="00177FD4" w:rsidP="00177FD4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6590"/>
    <w:rsid w:val="00007A6D"/>
    <w:rsid w:val="00014AD2"/>
    <w:rsid w:val="00020C1C"/>
    <w:rsid w:val="0002273D"/>
    <w:rsid w:val="00026272"/>
    <w:rsid w:val="000332C5"/>
    <w:rsid w:val="00036896"/>
    <w:rsid w:val="00036EC6"/>
    <w:rsid w:val="00046002"/>
    <w:rsid w:val="00052826"/>
    <w:rsid w:val="00052A00"/>
    <w:rsid w:val="00052D60"/>
    <w:rsid w:val="00054BE8"/>
    <w:rsid w:val="00056A49"/>
    <w:rsid w:val="00057E4E"/>
    <w:rsid w:val="00061B8F"/>
    <w:rsid w:val="00061C91"/>
    <w:rsid w:val="00066C0D"/>
    <w:rsid w:val="000711DC"/>
    <w:rsid w:val="000734F6"/>
    <w:rsid w:val="000739A5"/>
    <w:rsid w:val="00074E17"/>
    <w:rsid w:val="0007646D"/>
    <w:rsid w:val="000774C7"/>
    <w:rsid w:val="00080C7B"/>
    <w:rsid w:val="00081357"/>
    <w:rsid w:val="00081BFE"/>
    <w:rsid w:val="00087836"/>
    <w:rsid w:val="00093AE7"/>
    <w:rsid w:val="0009640F"/>
    <w:rsid w:val="000A1F74"/>
    <w:rsid w:val="000A27D4"/>
    <w:rsid w:val="000A358E"/>
    <w:rsid w:val="000A46B4"/>
    <w:rsid w:val="000A6CB0"/>
    <w:rsid w:val="000A78D3"/>
    <w:rsid w:val="000B336B"/>
    <w:rsid w:val="000B35D1"/>
    <w:rsid w:val="000B5C72"/>
    <w:rsid w:val="000C0838"/>
    <w:rsid w:val="000C2A54"/>
    <w:rsid w:val="000C39C7"/>
    <w:rsid w:val="000C4243"/>
    <w:rsid w:val="000C5808"/>
    <w:rsid w:val="000D6E25"/>
    <w:rsid w:val="000D7B22"/>
    <w:rsid w:val="000E41C8"/>
    <w:rsid w:val="000E41DC"/>
    <w:rsid w:val="000E7DBB"/>
    <w:rsid w:val="000F210C"/>
    <w:rsid w:val="000F2A6E"/>
    <w:rsid w:val="000F3770"/>
    <w:rsid w:val="000F4D70"/>
    <w:rsid w:val="000F72AE"/>
    <w:rsid w:val="00102933"/>
    <w:rsid w:val="00102FB8"/>
    <w:rsid w:val="00103668"/>
    <w:rsid w:val="00103B15"/>
    <w:rsid w:val="001046D7"/>
    <w:rsid w:val="0011005C"/>
    <w:rsid w:val="00112607"/>
    <w:rsid w:val="00114BE9"/>
    <w:rsid w:val="00114EE2"/>
    <w:rsid w:val="0011758A"/>
    <w:rsid w:val="00122146"/>
    <w:rsid w:val="00123A69"/>
    <w:rsid w:val="0012717A"/>
    <w:rsid w:val="00131F39"/>
    <w:rsid w:val="00131FC0"/>
    <w:rsid w:val="0013360D"/>
    <w:rsid w:val="00133A50"/>
    <w:rsid w:val="001345D6"/>
    <w:rsid w:val="0013739C"/>
    <w:rsid w:val="00137BD4"/>
    <w:rsid w:val="00140996"/>
    <w:rsid w:val="0014239E"/>
    <w:rsid w:val="00143DBF"/>
    <w:rsid w:val="00145387"/>
    <w:rsid w:val="001519A4"/>
    <w:rsid w:val="00151FD6"/>
    <w:rsid w:val="001524E2"/>
    <w:rsid w:val="001552D9"/>
    <w:rsid w:val="001647CF"/>
    <w:rsid w:val="00167F9C"/>
    <w:rsid w:val="00172592"/>
    <w:rsid w:val="00174C52"/>
    <w:rsid w:val="0017555A"/>
    <w:rsid w:val="001767CC"/>
    <w:rsid w:val="00177FD4"/>
    <w:rsid w:val="001829AF"/>
    <w:rsid w:val="00184122"/>
    <w:rsid w:val="00184422"/>
    <w:rsid w:val="001869E0"/>
    <w:rsid w:val="0019171C"/>
    <w:rsid w:val="00192D5D"/>
    <w:rsid w:val="00195B58"/>
    <w:rsid w:val="001A0B0C"/>
    <w:rsid w:val="001A1153"/>
    <w:rsid w:val="001A1187"/>
    <w:rsid w:val="001A2A32"/>
    <w:rsid w:val="001A58EA"/>
    <w:rsid w:val="001B2B15"/>
    <w:rsid w:val="001B30E7"/>
    <w:rsid w:val="001B7E8D"/>
    <w:rsid w:val="001C184E"/>
    <w:rsid w:val="001C55C7"/>
    <w:rsid w:val="001C68C7"/>
    <w:rsid w:val="001D0427"/>
    <w:rsid w:val="001D0C5A"/>
    <w:rsid w:val="001D4E08"/>
    <w:rsid w:val="001D63E6"/>
    <w:rsid w:val="001D71F5"/>
    <w:rsid w:val="001D7CE5"/>
    <w:rsid w:val="001E3E59"/>
    <w:rsid w:val="001E76B7"/>
    <w:rsid w:val="001F026D"/>
    <w:rsid w:val="001F4D47"/>
    <w:rsid w:val="001F4F1D"/>
    <w:rsid w:val="001F5E31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30E8C"/>
    <w:rsid w:val="00230EA5"/>
    <w:rsid w:val="00234A09"/>
    <w:rsid w:val="002361D6"/>
    <w:rsid w:val="0024048B"/>
    <w:rsid w:val="00242473"/>
    <w:rsid w:val="00242BA3"/>
    <w:rsid w:val="00247487"/>
    <w:rsid w:val="00252AE9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1E6A"/>
    <w:rsid w:val="00287536"/>
    <w:rsid w:val="00291076"/>
    <w:rsid w:val="00291231"/>
    <w:rsid w:val="0029292A"/>
    <w:rsid w:val="0029304A"/>
    <w:rsid w:val="0029597F"/>
    <w:rsid w:val="002A3C77"/>
    <w:rsid w:val="002A6211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D5A6A"/>
    <w:rsid w:val="002E2B34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5433"/>
    <w:rsid w:val="00316988"/>
    <w:rsid w:val="003177BD"/>
    <w:rsid w:val="003178C2"/>
    <w:rsid w:val="0031796B"/>
    <w:rsid w:val="00317C13"/>
    <w:rsid w:val="00326E9B"/>
    <w:rsid w:val="003277EA"/>
    <w:rsid w:val="003331AE"/>
    <w:rsid w:val="003341C4"/>
    <w:rsid w:val="0034154C"/>
    <w:rsid w:val="0034240A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3B9D"/>
    <w:rsid w:val="003C4045"/>
    <w:rsid w:val="003C6BF7"/>
    <w:rsid w:val="003C6D63"/>
    <w:rsid w:val="003C6FEC"/>
    <w:rsid w:val="003D4196"/>
    <w:rsid w:val="003D4277"/>
    <w:rsid w:val="003D42FA"/>
    <w:rsid w:val="003D5BDE"/>
    <w:rsid w:val="003D6E51"/>
    <w:rsid w:val="003E339A"/>
    <w:rsid w:val="003F597D"/>
    <w:rsid w:val="00400208"/>
    <w:rsid w:val="00401BC6"/>
    <w:rsid w:val="00401C82"/>
    <w:rsid w:val="004035A4"/>
    <w:rsid w:val="00404C65"/>
    <w:rsid w:val="00414BAF"/>
    <w:rsid w:val="00415920"/>
    <w:rsid w:val="004175C7"/>
    <w:rsid w:val="00420BD3"/>
    <w:rsid w:val="00420CB4"/>
    <w:rsid w:val="00422047"/>
    <w:rsid w:val="004256DC"/>
    <w:rsid w:val="00425C0A"/>
    <w:rsid w:val="0042654C"/>
    <w:rsid w:val="00430DBA"/>
    <w:rsid w:val="00442A7E"/>
    <w:rsid w:val="0044325F"/>
    <w:rsid w:val="00443E01"/>
    <w:rsid w:val="00445EC7"/>
    <w:rsid w:val="004462D4"/>
    <w:rsid w:val="00446F80"/>
    <w:rsid w:val="004502F0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874"/>
    <w:rsid w:val="00481872"/>
    <w:rsid w:val="0048366F"/>
    <w:rsid w:val="00486DAA"/>
    <w:rsid w:val="004879D3"/>
    <w:rsid w:val="0049202F"/>
    <w:rsid w:val="00492679"/>
    <w:rsid w:val="00497165"/>
    <w:rsid w:val="004978FF"/>
    <w:rsid w:val="004A05A0"/>
    <w:rsid w:val="004A30FE"/>
    <w:rsid w:val="004A3A68"/>
    <w:rsid w:val="004A68D5"/>
    <w:rsid w:val="004B138D"/>
    <w:rsid w:val="004B20C5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07DA"/>
    <w:rsid w:val="004D2196"/>
    <w:rsid w:val="004D238C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6321"/>
    <w:rsid w:val="005026B3"/>
    <w:rsid w:val="00504322"/>
    <w:rsid w:val="005060F4"/>
    <w:rsid w:val="00511A29"/>
    <w:rsid w:val="005172DB"/>
    <w:rsid w:val="00527B47"/>
    <w:rsid w:val="00531850"/>
    <w:rsid w:val="005328F5"/>
    <w:rsid w:val="00536A5D"/>
    <w:rsid w:val="0053744D"/>
    <w:rsid w:val="00540249"/>
    <w:rsid w:val="005408E3"/>
    <w:rsid w:val="0054282F"/>
    <w:rsid w:val="00542E33"/>
    <w:rsid w:val="00546B66"/>
    <w:rsid w:val="005528E7"/>
    <w:rsid w:val="0055451E"/>
    <w:rsid w:val="00555072"/>
    <w:rsid w:val="005554A0"/>
    <w:rsid w:val="00557268"/>
    <w:rsid w:val="00563F11"/>
    <w:rsid w:val="00564A0E"/>
    <w:rsid w:val="0056752B"/>
    <w:rsid w:val="00572CAB"/>
    <w:rsid w:val="00575F9A"/>
    <w:rsid w:val="00581595"/>
    <w:rsid w:val="00581E9E"/>
    <w:rsid w:val="005862BA"/>
    <w:rsid w:val="0059277F"/>
    <w:rsid w:val="005927BD"/>
    <w:rsid w:val="00593BB2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58E7"/>
    <w:rsid w:val="005C7B0F"/>
    <w:rsid w:val="005D2E4E"/>
    <w:rsid w:val="005D52DE"/>
    <w:rsid w:val="005D65F1"/>
    <w:rsid w:val="005D74D9"/>
    <w:rsid w:val="005E4118"/>
    <w:rsid w:val="005E472C"/>
    <w:rsid w:val="005F271A"/>
    <w:rsid w:val="005F2C1A"/>
    <w:rsid w:val="005F6D3F"/>
    <w:rsid w:val="005F6EF6"/>
    <w:rsid w:val="005F7E98"/>
    <w:rsid w:val="0060124D"/>
    <w:rsid w:val="0060392C"/>
    <w:rsid w:val="00610E1E"/>
    <w:rsid w:val="0061373E"/>
    <w:rsid w:val="00616163"/>
    <w:rsid w:val="006206B0"/>
    <w:rsid w:val="0062119F"/>
    <w:rsid w:val="00621F94"/>
    <w:rsid w:val="006271E2"/>
    <w:rsid w:val="006306B4"/>
    <w:rsid w:val="00632D47"/>
    <w:rsid w:val="00635017"/>
    <w:rsid w:val="00640385"/>
    <w:rsid w:val="00641BC0"/>
    <w:rsid w:val="00643145"/>
    <w:rsid w:val="0064315E"/>
    <w:rsid w:val="0064495F"/>
    <w:rsid w:val="00645B0D"/>
    <w:rsid w:val="00645FEC"/>
    <w:rsid w:val="00653759"/>
    <w:rsid w:val="00654010"/>
    <w:rsid w:val="00655246"/>
    <w:rsid w:val="00661DA0"/>
    <w:rsid w:val="00666D38"/>
    <w:rsid w:val="0067012B"/>
    <w:rsid w:val="0067331E"/>
    <w:rsid w:val="00674995"/>
    <w:rsid w:val="00677D47"/>
    <w:rsid w:val="00680D85"/>
    <w:rsid w:val="0068197A"/>
    <w:rsid w:val="006873D8"/>
    <w:rsid w:val="006905E2"/>
    <w:rsid w:val="00690BE7"/>
    <w:rsid w:val="006930CD"/>
    <w:rsid w:val="00693448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3495"/>
    <w:rsid w:val="007057F6"/>
    <w:rsid w:val="00705E8F"/>
    <w:rsid w:val="007070D7"/>
    <w:rsid w:val="0071280D"/>
    <w:rsid w:val="00712B0F"/>
    <w:rsid w:val="007150F2"/>
    <w:rsid w:val="00724136"/>
    <w:rsid w:val="0072430D"/>
    <w:rsid w:val="007253A4"/>
    <w:rsid w:val="007309C8"/>
    <w:rsid w:val="00732929"/>
    <w:rsid w:val="00732E40"/>
    <w:rsid w:val="00734D56"/>
    <w:rsid w:val="00735913"/>
    <w:rsid w:val="007359BB"/>
    <w:rsid w:val="007365EA"/>
    <w:rsid w:val="00740A8F"/>
    <w:rsid w:val="00741430"/>
    <w:rsid w:val="00751F2C"/>
    <w:rsid w:val="00752A66"/>
    <w:rsid w:val="0076080B"/>
    <w:rsid w:val="00760E04"/>
    <w:rsid w:val="00762E92"/>
    <w:rsid w:val="00765C02"/>
    <w:rsid w:val="007667AB"/>
    <w:rsid w:val="00767D78"/>
    <w:rsid w:val="00772AE3"/>
    <w:rsid w:val="00772DCF"/>
    <w:rsid w:val="00775FB8"/>
    <w:rsid w:val="00783BAF"/>
    <w:rsid w:val="00783DF8"/>
    <w:rsid w:val="0078716D"/>
    <w:rsid w:val="00792833"/>
    <w:rsid w:val="00794224"/>
    <w:rsid w:val="007A0FAE"/>
    <w:rsid w:val="007A57CB"/>
    <w:rsid w:val="007A599D"/>
    <w:rsid w:val="007B0EBE"/>
    <w:rsid w:val="007B3999"/>
    <w:rsid w:val="007B440C"/>
    <w:rsid w:val="007C02F9"/>
    <w:rsid w:val="007D0E0D"/>
    <w:rsid w:val="007D1625"/>
    <w:rsid w:val="007D17BF"/>
    <w:rsid w:val="007D26AE"/>
    <w:rsid w:val="007D48FF"/>
    <w:rsid w:val="007D49FD"/>
    <w:rsid w:val="007D5028"/>
    <w:rsid w:val="007D7649"/>
    <w:rsid w:val="007E0B6D"/>
    <w:rsid w:val="007E6831"/>
    <w:rsid w:val="007F0912"/>
    <w:rsid w:val="007F13BF"/>
    <w:rsid w:val="007F4678"/>
    <w:rsid w:val="007F4911"/>
    <w:rsid w:val="008042EE"/>
    <w:rsid w:val="00804A1A"/>
    <w:rsid w:val="00815F8C"/>
    <w:rsid w:val="00816D74"/>
    <w:rsid w:val="00817370"/>
    <w:rsid w:val="00821E23"/>
    <w:rsid w:val="00823C78"/>
    <w:rsid w:val="00825C76"/>
    <w:rsid w:val="0082700B"/>
    <w:rsid w:val="008347EE"/>
    <w:rsid w:val="008369DC"/>
    <w:rsid w:val="00841405"/>
    <w:rsid w:val="0084143F"/>
    <w:rsid w:val="00841461"/>
    <w:rsid w:val="0084218B"/>
    <w:rsid w:val="00842489"/>
    <w:rsid w:val="00842B09"/>
    <w:rsid w:val="00845565"/>
    <w:rsid w:val="0085294E"/>
    <w:rsid w:val="008606DC"/>
    <w:rsid w:val="008607B8"/>
    <w:rsid w:val="008671BE"/>
    <w:rsid w:val="00890620"/>
    <w:rsid w:val="00891282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697B"/>
    <w:rsid w:val="008C0A3C"/>
    <w:rsid w:val="008C2C51"/>
    <w:rsid w:val="008C59A3"/>
    <w:rsid w:val="008C5AFB"/>
    <w:rsid w:val="008D0334"/>
    <w:rsid w:val="008D0740"/>
    <w:rsid w:val="008D0A9C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737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41645"/>
    <w:rsid w:val="00941F1F"/>
    <w:rsid w:val="009431F0"/>
    <w:rsid w:val="00945537"/>
    <w:rsid w:val="00945D3B"/>
    <w:rsid w:val="009559B1"/>
    <w:rsid w:val="00957D07"/>
    <w:rsid w:val="00961657"/>
    <w:rsid w:val="00962A92"/>
    <w:rsid w:val="00963493"/>
    <w:rsid w:val="0096531F"/>
    <w:rsid w:val="00972C0F"/>
    <w:rsid w:val="009733AF"/>
    <w:rsid w:val="009740A6"/>
    <w:rsid w:val="009753B8"/>
    <w:rsid w:val="009769CB"/>
    <w:rsid w:val="0098057C"/>
    <w:rsid w:val="00983C8F"/>
    <w:rsid w:val="009845D2"/>
    <w:rsid w:val="00984DAF"/>
    <w:rsid w:val="0099052E"/>
    <w:rsid w:val="0099074B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F060D"/>
    <w:rsid w:val="009F1566"/>
    <w:rsid w:val="009F1729"/>
    <w:rsid w:val="009F173A"/>
    <w:rsid w:val="009F2297"/>
    <w:rsid w:val="009F31EF"/>
    <w:rsid w:val="009F375A"/>
    <w:rsid w:val="009F4187"/>
    <w:rsid w:val="009F5EEB"/>
    <w:rsid w:val="009F601C"/>
    <w:rsid w:val="009F6C28"/>
    <w:rsid w:val="009F6C3E"/>
    <w:rsid w:val="00A013ED"/>
    <w:rsid w:val="00A0485F"/>
    <w:rsid w:val="00A06DB9"/>
    <w:rsid w:val="00A07FB7"/>
    <w:rsid w:val="00A14707"/>
    <w:rsid w:val="00A20BD9"/>
    <w:rsid w:val="00A213C7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484"/>
    <w:rsid w:val="00A731FD"/>
    <w:rsid w:val="00A73FDD"/>
    <w:rsid w:val="00A7650D"/>
    <w:rsid w:val="00A81E31"/>
    <w:rsid w:val="00A86BA0"/>
    <w:rsid w:val="00A917BE"/>
    <w:rsid w:val="00A922F2"/>
    <w:rsid w:val="00A92864"/>
    <w:rsid w:val="00A9441B"/>
    <w:rsid w:val="00A95279"/>
    <w:rsid w:val="00A97C88"/>
    <w:rsid w:val="00AA0770"/>
    <w:rsid w:val="00AA43D0"/>
    <w:rsid w:val="00AB0182"/>
    <w:rsid w:val="00AB028C"/>
    <w:rsid w:val="00AB09CF"/>
    <w:rsid w:val="00AB4E32"/>
    <w:rsid w:val="00AB5122"/>
    <w:rsid w:val="00AB573A"/>
    <w:rsid w:val="00AB5DBA"/>
    <w:rsid w:val="00AB77E7"/>
    <w:rsid w:val="00AC16D7"/>
    <w:rsid w:val="00AC2538"/>
    <w:rsid w:val="00AC45BA"/>
    <w:rsid w:val="00AC601C"/>
    <w:rsid w:val="00AD0D01"/>
    <w:rsid w:val="00AD652F"/>
    <w:rsid w:val="00AD73D2"/>
    <w:rsid w:val="00AD7DD6"/>
    <w:rsid w:val="00AE302E"/>
    <w:rsid w:val="00AE3E94"/>
    <w:rsid w:val="00AE5C5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207DF"/>
    <w:rsid w:val="00B22E06"/>
    <w:rsid w:val="00B30432"/>
    <w:rsid w:val="00B30FBF"/>
    <w:rsid w:val="00B320BE"/>
    <w:rsid w:val="00B33195"/>
    <w:rsid w:val="00B344E4"/>
    <w:rsid w:val="00B4193B"/>
    <w:rsid w:val="00B45147"/>
    <w:rsid w:val="00B46FC0"/>
    <w:rsid w:val="00B57979"/>
    <w:rsid w:val="00B60937"/>
    <w:rsid w:val="00B60EEC"/>
    <w:rsid w:val="00B63FDE"/>
    <w:rsid w:val="00B663CE"/>
    <w:rsid w:val="00B83606"/>
    <w:rsid w:val="00B85B8A"/>
    <w:rsid w:val="00B872C7"/>
    <w:rsid w:val="00B905E2"/>
    <w:rsid w:val="00B9331B"/>
    <w:rsid w:val="00B95CA5"/>
    <w:rsid w:val="00B97985"/>
    <w:rsid w:val="00BA291D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5CEF"/>
    <w:rsid w:val="00BC6060"/>
    <w:rsid w:val="00BD200A"/>
    <w:rsid w:val="00BD4843"/>
    <w:rsid w:val="00BD52C7"/>
    <w:rsid w:val="00BD6A8D"/>
    <w:rsid w:val="00BD6BE4"/>
    <w:rsid w:val="00BD70DE"/>
    <w:rsid w:val="00BE5AD1"/>
    <w:rsid w:val="00BE5BFD"/>
    <w:rsid w:val="00BE755A"/>
    <w:rsid w:val="00BF100B"/>
    <w:rsid w:val="00BF23B4"/>
    <w:rsid w:val="00BF51CB"/>
    <w:rsid w:val="00BF7A2C"/>
    <w:rsid w:val="00BF7F62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523FD"/>
    <w:rsid w:val="00C542BB"/>
    <w:rsid w:val="00C55359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4DDB"/>
    <w:rsid w:val="00C92829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450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D01A16"/>
    <w:rsid w:val="00D02878"/>
    <w:rsid w:val="00D05D11"/>
    <w:rsid w:val="00D065E6"/>
    <w:rsid w:val="00D0664E"/>
    <w:rsid w:val="00D06AE5"/>
    <w:rsid w:val="00D06BDA"/>
    <w:rsid w:val="00D114B9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D35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73BE"/>
    <w:rsid w:val="00D859CE"/>
    <w:rsid w:val="00D85B27"/>
    <w:rsid w:val="00D9460A"/>
    <w:rsid w:val="00DA0F1B"/>
    <w:rsid w:val="00DA6B92"/>
    <w:rsid w:val="00DA6E0C"/>
    <w:rsid w:val="00DA6FD5"/>
    <w:rsid w:val="00DA7095"/>
    <w:rsid w:val="00DB23AD"/>
    <w:rsid w:val="00DB6AF5"/>
    <w:rsid w:val="00DB7B82"/>
    <w:rsid w:val="00DC1465"/>
    <w:rsid w:val="00DC15AF"/>
    <w:rsid w:val="00DC5B93"/>
    <w:rsid w:val="00DC626B"/>
    <w:rsid w:val="00DD0761"/>
    <w:rsid w:val="00DD2946"/>
    <w:rsid w:val="00DE28A5"/>
    <w:rsid w:val="00DE541F"/>
    <w:rsid w:val="00DE63B0"/>
    <w:rsid w:val="00DE6C79"/>
    <w:rsid w:val="00DE76AB"/>
    <w:rsid w:val="00DF2E1F"/>
    <w:rsid w:val="00E03D64"/>
    <w:rsid w:val="00E04238"/>
    <w:rsid w:val="00E05EC7"/>
    <w:rsid w:val="00E12BC6"/>
    <w:rsid w:val="00E12E38"/>
    <w:rsid w:val="00E15F56"/>
    <w:rsid w:val="00E17174"/>
    <w:rsid w:val="00E17E3B"/>
    <w:rsid w:val="00E212A1"/>
    <w:rsid w:val="00E23C08"/>
    <w:rsid w:val="00E24475"/>
    <w:rsid w:val="00E2498E"/>
    <w:rsid w:val="00E31116"/>
    <w:rsid w:val="00E31311"/>
    <w:rsid w:val="00E32845"/>
    <w:rsid w:val="00E32CC2"/>
    <w:rsid w:val="00E3408A"/>
    <w:rsid w:val="00E41013"/>
    <w:rsid w:val="00E4158E"/>
    <w:rsid w:val="00E41EDF"/>
    <w:rsid w:val="00E42CF9"/>
    <w:rsid w:val="00E460EA"/>
    <w:rsid w:val="00E46345"/>
    <w:rsid w:val="00E471F4"/>
    <w:rsid w:val="00E563FB"/>
    <w:rsid w:val="00E71C9F"/>
    <w:rsid w:val="00E73A0E"/>
    <w:rsid w:val="00E748C0"/>
    <w:rsid w:val="00E76F52"/>
    <w:rsid w:val="00E76FF1"/>
    <w:rsid w:val="00E82AB9"/>
    <w:rsid w:val="00E8509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982"/>
    <w:rsid w:val="00EC6366"/>
    <w:rsid w:val="00EC64FB"/>
    <w:rsid w:val="00ED6EFC"/>
    <w:rsid w:val="00ED73C5"/>
    <w:rsid w:val="00EE0454"/>
    <w:rsid w:val="00EE134A"/>
    <w:rsid w:val="00EE420C"/>
    <w:rsid w:val="00EE7DE7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1070A"/>
    <w:rsid w:val="00F108DA"/>
    <w:rsid w:val="00F114C7"/>
    <w:rsid w:val="00F16C01"/>
    <w:rsid w:val="00F1771C"/>
    <w:rsid w:val="00F2100F"/>
    <w:rsid w:val="00F243F6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8105A"/>
    <w:rsid w:val="00F81B5D"/>
    <w:rsid w:val="00F83B98"/>
    <w:rsid w:val="00F85141"/>
    <w:rsid w:val="00F8562E"/>
    <w:rsid w:val="00F87EB4"/>
    <w:rsid w:val="00F87FD6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2D03"/>
    <w:rsid w:val="00FC4518"/>
    <w:rsid w:val="00FC4F8D"/>
    <w:rsid w:val="00FC5987"/>
    <w:rsid w:val="00FC73ED"/>
    <w:rsid w:val="00FD4332"/>
    <w:rsid w:val="00FD58E7"/>
    <w:rsid w:val="00FD644E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942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6798"/>
          <c:y val="4.1278468329486687E-2"/>
          <c:w val="0.80987492345936063"/>
          <c:h val="0.77814699566916889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0375363317358251E-2"/>
                  <c:y val="4.8783348910020917E-2"/>
                </c:manualLayout>
              </c:layout>
              <c:showVal val="1"/>
            </c:dLbl>
            <c:dLbl>
              <c:idx val="16"/>
              <c:layout>
                <c:manualLayout>
                  <c:x val="-1.3583456704514409E-2"/>
                  <c:y val="5.6288820449300017E-2"/>
                </c:manualLayout>
              </c:layout>
              <c:showVal val="1"/>
            </c:dLbl>
            <c:dLbl>
              <c:idx val="19"/>
              <c:layout>
                <c:manualLayout>
                  <c:x val="-3.39586417612859E-2"/>
                  <c:y val="4.878364438939365E-2"/>
                </c:manualLayout>
              </c:layout>
              <c:showVal val="1"/>
            </c:dLbl>
            <c:delete val="1"/>
          </c:dLbls>
          <c:cat>
            <c:multiLvlStrRef>
              <c:f>Sheet1!$A$3:$B$19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</c:lvl>
              </c:multiLvlStrCache>
            </c:multiLvlStrRef>
          </c:cat>
          <c:val>
            <c:numRef>
              <c:f>Sheet1!$C$3:$C$19</c:f>
              <c:numCache>
                <c:formatCode>#,##0.0</c:formatCode>
                <c:ptCount val="17"/>
                <c:pt idx="0">
                  <c:v>1770.9</c:v>
                </c:pt>
                <c:pt idx="1">
                  <c:v>1907.8999999999999</c:v>
                </c:pt>
                <c:pt idx="2">
                  <c:v>1897.7999999999997</c:v>
                </c:pt>
                <c:pt idx="3">
                  <c:v>1900.4000000000003</c:v>
                </c:pt>
                <c:pt idx="4">
                  <c:v>1892.1</c:v>
                </c:pt>
                <c:pt idx="5">
                  <c:v>1942.4</c:v>
                </c:pt>
                <c:pt idx="6">
                  <c:v>1754.1</c:v>
                </c:pt>
                <c:pt idx="7">
                  <c:v>1874.8</c:v>
                </c:pt>
                <c:pt idx="8">
                  <c:v>1863</c:v>
                </c:pt>
                <c:pt idx="9">
                  <c:v>1961.4</c:v>
                </c:pt>
                <c:pt idx="10">
                  <c:v>1922.4</c:v>
                </c:pt>
                <c:pt idx="11">
                  <c:v>1972.5</c:v>
                </c:pt>
                <c:pt idx="12">
                  <c:v>1985.7</c:v>
                </c:pt>
                <c:pt idx="13">
                  <c:v>2030.9</c:v>
                </c:pt>
                <c:pt idx="14">
                  <c:v>2023.1</c:v>
                </c:pt>
                <c:pt idx="15">
                  <c:v>1997.3</c:v>
                </c:pt>
                <c:pt idx="16">
                  <c:v>1999.2</c:v>
                </c:pt>
              </c:numCache>
            </c:numRef>
          </c:val>
        </c:ser>
        <c:marker val="1"/>
        <c:axId val="128672512"/>
        <c:axId val="128674048"/>
      </c:lineChart>
      <c:catAx>
        <c:axId val="1286725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8674048"/>
        <c:crosses val="autoZero"/>
        <c:auto val="1"/>
        <c:lblAlgn val="ctr"/>
        <c:lblOffset val="100"/>
      </c:catAx>
      <c:valAx>
        <c:axId val="128674048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28672512"/>
        <c:crossesAt val="1"/>
        <c:crossBetween val="between"/>
        <c:majorUnit val="6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E9DE-85E8-4096-B7DF-FCD364F7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hbadran</cp:lastModifiedBy>
  <cp:revision>2</cp:revision>
  <cp:lastPrinted>2015-12-21T10:47:00Z</cp:lastPrinted>
  <dcterms:created xsi:type="dcterms:W3CDTF">2017-06-21T09:04:00Z</dcterms:created>
  <dcterms:modified xsi:type="dcterms:W3CDTF">2017-06-21T09:04:00Z</dcterms:modified>
</cp:coreProperties>
</file>