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D6" w:rsidRDefault="00E031D6" w:rsidP="003A52FE">
      <w:pPr>
        <w:pStyle w:val="Heading1"/>
        <w:bidi w:val="0"/>
        <w:spacing w:before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 w:rsidRPr="00E031D6">
        <w:rPr>
          <w:rFonts w:ascii="Times New Roman" w:eastAsia="Times New Roman" w:hAnsi="Times New Roman"/>
          <w:color w:val="000000"/>
          <w:sz w:val="32"/>
          <w:szCs w:val="32"/>
        </w:rPr>
        <w:t>Palestinian Central Bureau of Statistics (PCBS)</w:t>
      </w:r>
    </w:p>
    <w:p w:rsidR="003A52FE" w:rsidRPr="003A52FE" w:rsidRDefault="003A52FE" w:rsidP="003A52FE">
      <w:pPr>
        <w:bidi w:val="0"/>
        <w:rPr>
          <w:sz w:val="16"/>
          <w:szCs w:val="16"/>
          <w:rtl/>
        </w:rPr>
      </w:pPr>
    </w:p>
    <w:p w:rsidR="003A52FE" w:rsidRDefault="00E031D6" w:rsidP="003A52FE">
      <w:pPr>
        <w:pStyle w:val="Heading1"/>
        <w:bidi w:val="0"/>
        <w:spacing w:before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E031D6">
        <w:rPr>
          <w:rFonts w:ascii="Times New Roman" w:eastAsia="Times New Roman" w:hAnsi="Times New Roman"/>
          <w:color w:val="000000"/>
        </w:rPr>
        <w:t xml:space="preserve">Press Release on Hotel Activities Survey in </w:t>
      </w:r>
      <w:r w:rsidRPr="00E031D6">
        <w:rPr>
          <w:rFonts w:ascii="Times New Roman" w:eastAsia="Times New Roman" w:hAnsi="Times New Roman"/>
          <w:snapToGrid w:val="0"/>
          <w:color w:val="000000"/>
        </w:rPr>
        <w:t>the West Bank</w:t>
      </w:r>
      <w:r w:rsidRPr="00E031D6">
        <w:rPr>
          <w:rFonts w:ascii="Times New Roman" w:eastAsia="Times New Roman" w:hAnsi="Times New Roman"/>
          <w:color w:val="000000"/>
        </w:rPr>
        <w:t xml:space="preserve"> during the</w:t>
      </w:r>
      <w:r w:rsidR="003A52FE">
        <w:rPr>
          <w:rFonts w:ascii="Times New Roman" w:eastAsia="Times New Roman" w:hAnsi="Times New Roman"/>
          <w:color w:val="000000"/>
        </w:rPr>
        <w:t xml:space="preserve"> </w:t>
      </w:r>
      <w:r w:rsidRPr="00E031D6">
        <w:rPr>
          <w:rFonts w:ascii="Times New Roman" w:eastAsia="Times New Roman" w:hAnsi="Times New Roman"/>
          <w:color w:val="000000"/>
        </w:rPr>
        <w:t>third Quarter 2016</w:t>
      </w:r>
    </w:p>
    <w:p w:rsidR="003A52FE" w:rsidRPr="003A52FE" w:rsidRDefault="003A52FE" w:rsidP="00E031D6">
      <w:pPr>
        <w:bidi w:val="0"/>
        <w:spacing w:after="0" w:line="240" w:lineRule="auto"/>
        <w:jc w:val="center"/>
        <w:rPr>
          <w:sz w:val="16"/>
          <w:szCs w:val="16"/>
        </w:rPr>
      </w:pPr>
    </w:p>
    <w:p w:rsidR="00E031D6" w:rsidRPr="00E031D6" w:rsidRDefault="00E031D6" w:rsidP="003A52F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31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About 115 Thousand Guests Spent 310 Thousand Nights</w:t>
      </w:r>
    </w:p>
    <w:p w:rsidR="00E031D6" w:rsidRPr="001B56E6" w:rsidRDefault="00E031D6" w:rsidP="00E031D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8"/>
          <w:szCs w:val="8"/>
        </w:rPr>
      </w:pPr>
    </w:p>
    <w:p w:rsidR="00E031D6" w:rsidRDefault="00E031D6" w:rsidP="00E031D6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E031D6" w:rsidRPr="00277437" w:rsidRDefault="00E031D6" w:rsidP="00E031D6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6E56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During the </w:t>
      </w:r>
      <w:r w:rsidRPr="0027743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third</w:t>
      </w:r>
      <w:r w:rsidRPr="006E56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quarter of 2016,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the total number of the guests who stayed in hotels reached </w:t>
      </w:r>
      <w:r w:rsidRPr="006E56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</w:t>
      </w:r>
      <w:r w:rsidRPr="006E56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,501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 where</w:t>
      </w:r>
      <w:r w:rsidRPr="0027743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</w:t>
      </w:r>
      <w:r w:rsidRPr="0027743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he guests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from</w:t>
      </w:r>
      <w:r w:rsidRPr="0027743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Asia formed around 12%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of </w:t>
      </w:r>
      <w:r w:rsidRPr="0027743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the total guests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</w:t>
      </w:r>
    </w:p>
    <w:p w:rsidR="00E031D6" w:rsidRPr="003A52FE" w:rsidRDefault="00E031D6" w:rsidP="00E031D6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E031D6" w:rsidRPr="006E561F" w:rsidRDefault="00E031D6" w:rsidP="00E031D6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6E56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The number of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hotel </w:t>
      </w:r>
      <w:r w:rsidRPr="006E56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guests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was</w:t>
      </w:r>
      <w:r w:rsidRPr="006E56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</w:t>
      </w:r>
      <w:r w:rsidRPr="006E56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%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higher than it was in the</w:t>
      </w:r>
      <w:r w:rsidRPr="00D4128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6E56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second quarter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of </w:t>
      </w:r>
      <w:r w:rsidRPr="006E56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2016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and 7</w:t>
      </w:r>
      <w:r w:rsidRPr="006E56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%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lower than the third </w:t>
      </w:r>
      <w:r w:rsidRPr="006E56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quarter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of 2015</w:t>
      </w:r>
      <w:r w:rsidRPr="006E56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</w:t>
      </w:r>
    </w:p>
    <w:p w:rsidR="00E031D6" w:rsidRPr="004F6F42" w:rsidRDefault="00E031D6" w:rsidP="00E031D6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031D6" w:rsidRDefault="00E031D6" w:rsidP="00E031D6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During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96282">
        <w:rPr>
          <w:rFonts w:ascii="Times New Roman" w:hAnsi="Times New Roman" w:cs="Times New Roman"/>
          <w:color w:val="000000" w:themeColor="text1"/>
          <w:sz w:val="24"/>
          <w:szCs w:val="24"/>
        </w:rPr>
        <w:t>hird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quarter of </w:t>
      </w:r>
      <w:r>
        <w:rPr>
          <w:rFonts w:ascii="Times New Roman" w:hAnsi="Times New Roman" w:cs="Times New Roman"/>
          <w:snapToGrid w:val="0"/>
          <w:sz w:val="24"/>
          <w:szCs w:val="24"/>
        </w:rPr>
        <w:t>2016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, the number of guest nights in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the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West Bank hotels was </w:t>
      </w:r>
      <w:r>
        <w:rPr>
          <w:rFonts w:ascii="Times New Roman" w:hAnsi="Times New Roman" w:cs="Times New Roman"/>
          <w:snapToGrid w:val="0"/>
          <w:sz w:val="24"/>
          <w:szCs w:val="24"/>
        </w:rPr>
        <w:t>310,489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: of these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42%</w:t>
      </w:r>
      <w:r w:rsidRPr="00D83A9A">
        <w:rPr>
          <w:rFonts w:ascii="Times New Roman" w:hAnsi="Times New Roman" w:cs="Times New Roman"/>
          <w:snapToGrid w:val="0"/>
          <w:sz w:val="24"/>
          <w:szCs w:val="24"/>
        </w:rPr>
        <w:t xml:space="preserve"> of total nights in hotels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was </w:t>
      </w:r>
      <w:r w:rsidRPr="00D83A9A">
        <w:rPr>
          <w:rFonts w:ascii="Times New Roman" w:hAnsi="Times New Roman" w:cs="Times New Roman"/>
          <w:snapToGrid w:val="0"/>
          <w:sz w:val="24"/>
          <w:szCs w:val="24"/>
        </w:rPr>
        <w:t xml:space="preserve">in the South of the West Bank, </w:t>
      </w:r>
      <w:r>
        <w:rPr>
          <w:rFonts w:ascii="Times New Roman" w:hAnsi="Times New Roman" w:cs="Times New Roman"/>
          <w:snapToGrid w:val="0"/>
          <w:sz w:val="24"/>
          <w:szCs w:val="24"/>
        </w:rPr>
        <w:t>and 25</w:t>
      </w:r>
      <w:r w:rsidRPr="00D83A9A">
        <w:rPr>
          <w:rFonts w:ascii="Times New Roman" w:hAnsi="Times New Roman" w:cs="Times New Roman"/>
          <w:snapToGrid w:val="0"/>
          <w:sz w:val="24"/>
          <w:szCs w:val="24"/>
        </w:rPr>
        <w:t>% in Jerusalem hotel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914DF" w:rsidRDefault="005914DF" w:rsidP="00E031D6">
      <w:pPr>
        <w:pBdr>
          <w:bottom w:val="single" w:sz="4" w:space="1" w:color="auto"/>
        </w:pBdr>
        <w:bidi w:val="0"/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E031D6" w:rsidRDefault="00E031D6" w:rsidP="005914DF">
      <w:pPr>
        <w:pBdr>
          <w:bottom w:val="single" w:sz="4" w:space="1" w:color="auto"/>
        </w:pBdr>
        <w:bidi w:val="0"/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E031D6">
        <w:rPr>
          <w:rFonts w:ascii="Times New Roman" w:hAnsi="Times New Roman" w:cs="Times New Roman"/>
          <w:b/>
          <w:bCs/>
          <w:sz w:val="25"/>
          <w:szCs w:val="25"/>
        </w:rPr>
        <w:t xml:space="preserve">Variables in Main Hotel Indicators </w:t>
      </w:r>
    </w:p>
    <w:p w:rsidR="003A52FE" w:rsidRPr="003A52FE" w:rsidRDefault="003A52FE" w:rsidP="003A52FE">
      <w:pPr>
        <w:pBdr>
          <w:bottom w:val="single" w:sz="4" w:space="1" w:color="auto"/>
        </w:pBdr>
        <w:bidi w:val="0"/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eGrid"/>
        <w:tblW w:w="6159" w:type="dxa"/>
        <w:jc w:val="center"/>
        <w:tblInd w:w="-617" w:type="dxa"/>
        <w:tblLayout w:type="fixed"/>
        <w:tblLook w:val="04A0"/>
      </w:tblPr>
      <w:tblGrid>
        <w:gridCol w:w="2604"/>
        <w:gridCol w:w="1053"/>
        <w:gridCol w:w="1226"/>
        <w:gridCol w:w="1276"/>
      </w:tblGrid>
      <w:tr w:rsidR="00E031D6" w:rsidRPr="00E031D6" w:rsidTr="003A52FE">
        <w:trPr>
          <w:trHeight w:val="569"/>
          <w:jc w:val="center"/>
        </w:trPr>
        <w:tc>
          <w:tcPr>
            <w:tcW w:w="2604" w:type="dxa"/>
            <w:vAlign w:val="center"/>
          </w:tcPr>
          <w:p w:rsidR="00E031D6" w:rsidRPr="00E031D6" w:rsidRDefault="00E031D6" w:rsidP="00E031D6">
            <w:pPr>
              <w:pStyle w:val="Header"/>
              <w:tabs>
                <w:tab w:val="clear" w:pos="4320"/>
                <w:tab w:val="clear" w:pos="8640"/>
                <w:tab w:val="right" w:pos="4927"/>
                <w:tab w:val="right" w:pos="5919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031D6"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</w:rPr>
              <w:t>Indicator</w:t>
            </w:r>
          </w:p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:rsidR="00E031D6" w:rsidRPr="00E031D6" w:rsidRDefault="00E031D6" w:rsidP="00E031D6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031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3rd </w:t>
            </w:r>
            <w:r w:rsidRPr="00E031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Quarter</w:t>
            </w:r>
          </w:p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26" w:type="dxa"/>
          </w:tcPr>
          <w:p w:rsidR="00E031D6" w:rsidRPr="00E031D6" w:rsidRDefault="00E031D6" w:rsidP="00E031D6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031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2nd</w:t>
            </w:r>
          </w:p>
          <w:p w:rsidR="00E031D6" w:rsidRPr="00E031D6" w:rsidRDefault="00E031D6" w:rsidP="00E031D6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Quarter</w:t>
            </w:r>
          </w:p>
          <w:p w:rsidR="00E031D6" w:rsidRPr="00E031D6" w:rsidRDefault="00E031D6" w:rsidP="00E031D6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031D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6" w:type="dxa"/>
            <w:vAlign w:val="center"/>
          </w:tcPr>
          <w:p w:rsidR="00E031D6" w:rsidRPr="00E031D6" w:rsidRDefault="00E031D6" w:rsidP="00E031D6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E031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  <w:t>3rd Quarter</w:t>
            </w:r>
          </w:p>
          <w:p w:rsidR="00E031D6" w:rsidRPr="00E031D6" w:rsidRDefault="00E031D6" w:rsidP="00E031D6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E031D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  <w:t>2015</w:t>
            </w:r>
          </w:p>
        </w:tc>
      </w:tr>
      <w:tr w:rsidR="00E031D6" w:rsidRPr="00E031D6" w:rsidTr="003A52FE">
        <w:trPr>
          <w:trHeight w:val="288"/>
          <w:jc w:val="center"/>
        </w:trPr>
        <w:tc>
          <w:tcPr>
            <w:tcW w:w="2604" w:type="dxa"/>
            <w:vAlign w:val="center"/>
          </w:tcPr>
          <w:p w:rsidR="00E031D6" w:rsidRPr="00E031D6" w:rsidRDefault="00E031D6" w:rsidP="00E031D6">
            <w:pPr>
              <w:bidi w:val="0"/>
              <w:ind w:right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sz w:val="24"/>
                <w:szCs w:val="24"/>
              </w:rPr>
              <w:t>No. of guests</w:t>
            </w:r>
          </w:p>
        </w:tc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E031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114,501</w:t>
            </w:r>
          </w:p>
        </w:tc>
        <w:tc>
          <w:tcPr>
            <w:tcW w:w="1226" w:type="dxa"/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E031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113,517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E031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123,531</w:t>
            </w:r>
          </w:p>
        </w:tc>
      </w:tr>
      <w:tr w:rsidR="00E031D6" w:rsidRPr="00E031D6" w:rsidTr="003A52FE">
        <w:trPr>
          <w:trHeight w:val="288"/>
          <w:jc w:val="center"/>
        </w:trPr>
        <w:tc>
          <w:tcPr>
            <w:tcW w:w="2604" w:type="dxa"/>
            <w:vAlign w:val="center"/>
          </w:tcPr>
          <w:p w:rsidR="00E031D6" w:rsidRPr="00E031D6" w:rsidRDefault="00E031D6" w:rsidP="00E031D6">
            <w:pPr>
              <w:bidi w:val="0"/>
              <w:ind w:right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sz w:val="24"/>
                <w:szCs w:val="24"/>
              </w:rPr>
              <w:t>No. of guest nights</w:t>
            </w:r>
          </w:p>
        </w:tc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310,489</w:t>
            </w:r>
          </w:p>
        </w:tc>
        <w:tc>
          <w:tcPr>
            <w:tcW w:w="1226" w:type="dxa"/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E031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354,787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336,822</w:t>
            </w:r>
          </w:p>
        </w:tc>
      </w:tr>
      <w:tr w:rsidR="00E031D6" w:rsidRPr="00E031D6" w:rsidTr="003A52FE">
        <w:trPr>
          <w:trHeight w:val="288"/>
          <w:jc w:val="center"/>
        </w:trPr>
        <w:tc>
          <w:tcPr>
            <w:tcW w:w="2604" w:type="dxa"/>
            <w:vAlign w:val="center"/>
          </w:tcPr>
          <w:p w:rsidR="00E031D6" w:rsidRPr="00E031D6" w:rsidRDefault="00E031D6" w:rsidP="00E031D6">
            <w:pPr>
              <w:bidi w:val="0"/>
              <w:ind w:right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sz w:val="24"/>
                <w:szCs w:val="24"/>
              </w:rPr>
              <w:t>Average room occupancy</w:t>
            </w:r>
          </w:p>
        </w:tc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1,373.3</w:t>
            </w:r>
          </w:p>
        </w:tc>
        <w:tc>
          <w:tcPr>
            <w:tcW w:w="1226" w:type="dxa"/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E031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1,552.7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1,545.9</w:t>
            </w:r>
          </w:p>
        </w:tc>
      </w:tr>
      <w:tr w:rsidR="00E031D6" w:rsidRPr="00E031D6" w:rsidTr="003A52FE">
        <w:trPr>
          <w:trHeight w:val="288"/>
          <w:jc w:val="center"/>
        </w:trPr>
        <w:tc>
          <w:tcPr>
            <w:tcW w:w="2604" w:type="dxa"/>
            <w:vAlign w:val="center"/>
          </w:tcPr>
          <w:p w:rsidR="00E031D6" w:rsidRPr="00E031D6" w:rsidRDefault="00E031D6" w:rsidP="00E031D6">
            <w:pPr>
              <w:bidi w:val="0"/>
              <w:ind w:right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sz w:val="24"/>
                <w:szCs w:val="24"/>
              </w:rPr>
              <w:t>Average bed occupancy</w:t>
            </w:r>
          </w:p>
        </w:tc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3,374.9</w:t>
            </w:r>
          </w:p>
        </w:tc>
        <w:tc>
          <w:tcPr>
            <w:tcW w:w="1226" w:type="dxa"/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E031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3,898.8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3,661.1</w:t>
            </w:r>
          </w:p>
        </w:tc>
      </w:tr>
      <w:tr w:rsidR="00E031D6" w:rsidRPr="00E031D6" w:rsidTr="003A52FE">
        <w:trPr>
          <w:trHeight w:val="288"/>
          <w:jc w:val="center"/>
        </w:trPr>
        <w:tc>
          <w:tcPr>
            <w:tcW w:w="2604" w:type="dxa"/>
            <w:vAlign w:val="center"/>
          </w:tcPr>
          <w:p w:rsidR="00E031D6" w:rsidRPr="00E031D6" w:rsidRDefault="00E031D6" w:rsidP="00E031D6">
            <w:pPr>
              <w:bidi w:val="0"/>
              <w:ind w:right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sz w:val="24"/>
                <w:szCs w:val="24"/>
              </w:rPr>
              <w:t>Rooms occupancy  %</w:t>
            </w:r>
          </w:p>
        </w:tc>
        <w:tc>
          <w:tcPr>
            <w:tcW w:w="1053" w:type="dxa"/>
            <w:tcMar>
              <w:left w:w="28" w:type="dxa"/>
              <w:right w:w="28" w:type="dxa"/>
            </w:tcMar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19.9</w:t>
            </w:r>
          </w:p>
        </w:tc>
        <w:tc>
          <w:tcPr>
            <w:tcW w:w="1226" w:type="dxa"/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E031D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23.0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031D6" w:rsidRPr="00E031D6" w:rsidRDefault="00E031D6" w:rsidP="00E031D6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031D6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22.9</w:t>
            </w:r>
          </w:p>
        </w:tc>
      </w:tr>
    </w:tbl>
    <w:p w:rsidR="00E031D6" w:rsidRPr="00E031D6" w:rsidRDefault="00E031D6" w:rsidP="00E031D6">
      <w:pPr>
        <w:bidi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031D6" w:rsidRPr="006B65D8" w:rsidRDefault="00E031D6" w:rsidP="00E031D6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During the third quarter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, there were 2,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930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hotel workers: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2,258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males and 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72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females.</w:t>
      </w:r>
    </w:p>
    <w:p w:rsidR="00E031D6" w:rsidRPr="00E031D6" w:rsidRDefault="00E031D6" w:rsidP="00E031D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 w:rsidRPr="00E031D6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Hotel Room Occupancy </w:t>
      </w:r>
    </w:p>
    <w:p w:rsidR="00E031D6" w:rsidRPr="006B65D8" w:rsidRDefault="00E031D6" w:rsidP="00E031D6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The room occupancy rate in</w:t>
      </w:r>
      <w:r w:rsidRPr="00D0605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the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West Bank was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in the third quarter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31D6" w:rsidRDefault="00E031D6" w:rsidP="00E031D6">
      <w:pPr>
        <w:bidi w:val="0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Room occupancy during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uarter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of 2016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lower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was in the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third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quarter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2015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lower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was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second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uarter</w:t>
      </w:r>
      <w:r>
        <w:rPr>
          <w:rFonts w:ascii="Times New Roman" w:hAnsi="Times New Roman" w:cs="Times New Roman"/>
          <w:sz w:val="24"/>
          <w:szCs w:val="24"/>
        </w:rPr>
        <w:t xml:space="preserve"> of 2016.</w:t>
      </w:r>
    </w:p>
    <w:p w:rsidR="00E031D6" w:rsidRPr="00E031D6" w:rsidRDefault="00E031D6" w:rsidP="00E031D6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031D6">
        <w:rPr>
          <w:rFonts w:ascii="Times New Roman" w:hAnsi="Times New Roman" w:cs="Times New Roman"/>
          <w:b/>
          <w:bCs/>
          <w:sz w:val="25"/>
          <w:szCs w:val="25"/>
        </w:rPr>
        <w:t>Hotel Capacity by Region</w:t>
      </w:r>
    </w:p>
    <w:p w:rsidR="00E031D6" w:rsidRPr="00A23887" w:rsidRDefault="00E031D6" w:rsidP="00E031D6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E031D6" w:rsidRPr="00184A38" w:rsidRDefault="00E031D6" w:rsidP="00E031D6">
      <w:pPr>
        <w:widowControl w:val="0"/>
        <w:bidi w:val="0"/>
        <w:ind w:right="-1"/>
        <w:jc w:val="both"/>
        <w:rPr>
          <w:rFonts w:cs="Times New Roman"/>
          <w:color w:val="000000" w:themeColor="text1"/>
          <w:sz w:val="24"/>
          <w:szCs w:val="24"/>
        </w:rPr>
      </w:pPr>
      <w:r w:rsidRPr="00AA2D05">
        <w:rPr>
          <w:rFonts w:ascii="Times New Roman" w:hAnsi="Times New Roman" w:cs="Times New Roman"/>
          <w:snapToGrid w:val="0"/>
          <w:sz w:val="24"/>
          <w:szCs w:val="24"/>
        </w:rPr>
        <w:t xml:space="preserve">A hundred and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nineteen </w:t>
      </w:r>
      <w:r w:rsidRPr="00AA2D05">
        <w:rPr>
          <w:rFonts w:ascii="Times New Roman" w:hAnsi="Times New Roman" w:cs="Times New Roman"/>
          <w:snapToGrid w:val="0"/>
          <w:sz w:val="24"/>
          <w:szCs w:val="24"/>
        </w:rPr>
        <w:t xml:space="preserve"> hotels operating in the West Bank responded to the Hotel Activities Survey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in</w:t>
      </w:r>
      <w:r w:rsidRPr="00AA2D05">
        <w:rPr>
          <w:rFonts w:ascii="Times New Roman" w:hAnsi="Times New Roman" w:cs="Times New Roman"/>
          <w:snapToGrid w:val="0"/>
          <w:sz w:val="24"/>
          <w:szCs w:val="24"/>
        </w:rPr>
        <w:t xml:space="preserve"> September of </w:t>
      </w:r>
      <w:r>
        <w:rPr>
          <w:rFonts w:ascii="Times New Roman" w:hAnsi="Times New Roman" w:cs="Times New Roman"/>
          <w:snapToGrid w:val="0"/>
          <w:sz w:val="24"/>
          <w:szCs w:val="24"/>
        </w:rPr>
        <w:t>2016</w:t>
      </w:r>
      <w:r w:rsidRPr="00AA2D05">
        <w:rPr>
          <w:rFonts w:ascii="Times New Roman" w:hAnsi="Times New Roman" w:cs="Times New Roman"/>
          <w:snapToGrid w:val="0"/>
          <w:sz w:val="24"/>
          <w:szCs w:val="24"/>
        </w:rPr>
        <w:t>.  Th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Pr="00AA2D05">
        <w:rPr>
          <w:rFonts w:ascii="Times New Roman" w:hAnsi="Times New Roman" w:cs="Times New Roman"/>
          <w:snapToGrid w:val="0"/>
          <w:sz w:val="24"/>
          <w:szCs w:val="24"/>
        </w:rPr>
        <w:t>se hotels had 6,</w:t>
      </w:r>
      <w:r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AA2D05">
        <w:rPr>
          <w:rFonts w:ascii="Times New Roman" w:hAnsi="Times New Roman" w:cs="Times New Roman"/>
          <w:snapToGrid w:val="0"/>
          <w:sz w:val="24"/>
          <w:szCs w:val="24"/>
        </w:rPr>
        <w:t>5</w:t>
      </w:r>
      <w:r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AA2D05">
        <w:rPr>
          <w:rFonts w:ascii="Times New Roman" w:hAnsi="Times New Roman" w:cs="Times New Roman"/>
          <w:snapToGrid w:val="0"/>
          <w:sz w:val="24"/>
          <w:szCs w:val="24"/>
        </w:rPr>
        <w:t xml:space="preserve"> rooms available with 1</w:t>
      </w:r>
      <w:r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AA2D05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>134</w:t>
      </w:r>
      <w:r w:rsidRPr="00AA2D05">
        <w:rPr>
          <w:rFonts w:ascii="Times New Roman" w:hAnsi="Times New Roman" w:cs="Times New Roman"/>
          <w:snapToGrid w:val="0"/>
          <w:sz w:val="24"/>
          <w:szCs w:val="24"/>
        </w:rPr>
        <w:t xml:space="preserve"> beds.</w:t>
      </w:r>
      <w:r w:rsidRPr="00184A38">
        <w:rPr>
          <w:rFonts w:ascii="Times New Roman" w:hAnsi="Times New Roman" w:cs="Times New Roman"/>
          <w:snapToGrid w:val="0"/>
          <w:sz w:val="24"/>
          <w:szCs w:val="24"/>
        </w:rPr>
        <w:t xml:space="preserve"> These were distributed by region as follows</w:t>
      </w:r>
      <w:r w:rsidRPr="00184A38">
        <w:rPr>
          <w:rFonts w:cs="Times New Roman"/>
          <w:color w:val="000000" w:themeColor="text1"/>
          <w:sz w:val="24"/>
          <w:szCs w:val="24"/>
        </w:rPr>
        <w:t>:</w:t>
      </w:r>
    </w:p>
    <w:p w:rsidR="00E031D6" w:rsidRPr="003B3DFC" w:rsidRDefault="00E031D6" w:rsidP="00E031D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North of West Bank: </w:t>
      </w:r>
      <w:r>
        <w:rPr>
          <w:rFonts w:ascii="Times New Roman" w:hAnsi="Times New Roman" w:cs="Times New Roman"/>
          <w:snapToGrid w:val="0"/>
          <w:sz w:val="24"/>
          <w:szCs w:val="24"/>
        </w:rPr>
        <w:t>26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hotels comprising </w:t>
      </w:r>
      <w:r>
        <w:rPr>
          <w:rFonts w:ascii="Times New Roman" w:hAnsi="Times New Roman" w:cs="Times New Roman"/>
          <w:snapToGrid w:val="0"/>
          <w:sz w:val="24"/>
          <w:szCs w:val="24"/>
        </w:rPr>
        <w:t>496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rooms with </w:t>
      </w:r>
      <w:r>
        <w:rPr>
          <w:rFonts w:ascii="Times New Roman" w:hAnsi="Times New Roman" w:cs="Times New Roman"/>
          <w:snapToGrid w:val="0"/>
          <w:sz w:val="24"/>
          <w:szCs w:val="24"/>
        </w:rPr>
        <w:t>1,383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beds.</w:t>
      </w:r>
    </w:p>
    <w:p w:rsidR="00E031D6" w:rsidRDefault="00E031D6" w:rsidP="00E031D6">
      <w:pPr>
        <w:pStyle w:val="Header"/>
        <w:numPr>
          <w:ilvl w:val="0"/>
          <w:numId w:val="1"/>
        </w:numPr>
        <w:tabs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>Middle of West Bank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(excluding Jerusalem)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snapToGrid w:val="0"/>
          <w:sz w:val="24"/>
          <w:szCs w:val="24"/>
        </w:rPr>
        <w:t>36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hotels comprising 1,</w:t>
      </w:r>
      <w:r>
        <w:rPr>
          <w:rFonts w:ascii="Times New Roman" w:hAnsi="Times New Roman" w:cs="Times New Roman"/>
          <w:snapToGrid w:val="0"/>
          <w:sz w:val="24"/>
          <w:szCs w:val="24"/>
        </w:rPr>
        <w:t>634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rooms with 3,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353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beds</w:t>
      </w:r>
      <w:r w:rsidRPr="00FD75D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E031D6" w:rsidRPr="00FD75D4" w:rsidRDefault="00E031D6" w:rsidP="00E031D6">
      <w:pPr>
        <w:pStyle w:val="Header"/>
        <w:numPr>
          <w:ilvl w:val="0"/>
          <w:numId w:val="1"/>
        </w:numPr>
        <w:tabs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Jerusalem: </w:t>
      </w:r>
      <w:r>
        <w:rPr>
          <w:rFonts w:ascii="Times New Roman" w:hAnsi="Times New Roman" w:cs="Times New Roman"/>
          <w:snapToGrid w:val="0"/>
          <w:sz w:val="24"/>
          <w:szCs w:val="24"/>
        </w:rPr>
        <w:t>20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hotels comprising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1,265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rooms with 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>826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beds</w:t>
      </w:r>
      <w:r w:rsidRPr="00FD75D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031D6" w:rsidRDefault="00E031D6" w:rsidP="00E031D6">
      <w:pPr>
        <w:pStyle w:val="Header"/>
        <w:numPr>
          <w:ilvl w:val="0"/>
          <w:numId w:val="1"/>
        </w:numPr>
        <w:tabs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South of West Bank: </w:t>
      </w:r>
      <w:r>
        <w:rPr>
          <w:rFonts w:ascii="Times New Roman" w:hAnsi="Times New Roman" w:cs="Times New Roman"/>
          <w:snapToGrid w:val="0"/>
          <w:sz w:val="24"/>
          <w:szCs w:val="24"/>
        </w:rPr>
        <w:t>37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hotels comprising </w:t>
      </w:r>
      <w:r>
        <w:rPr>
          <w:rFonts w:ascii="Times New Roman" w:hAnsi="Times New Roman" w:cs="Times New Roman"/>
          <w:snapToGrid w:val="0"/>
          <w:sz w:val="24"/>
          <w:szCs w:val="24"/>
        </w:rPr>
        <w:t>3,461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rooms with </w:t>
      </w:r>
      <w:r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572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beds.</w:t>
      </w:r>
    </w:p>
    <w:p w:rsidR="00E031D6" w:rsidRPr="003B3DFC" w:rsidRDefault="00E031D6" w:rsidP="00E031D6">
      <w:pPr>
        <w:pStyle w:val="Header"/>
        <w:tabs>
          <w:tab w:val="right" w:pos="4927"/>
          <w:tab w:val="right" w:pos="5919"/>
        </w:tabs>
        <w:bidi w:val="0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55538" w:rsidRDefault="00E031D6">
      <w:pPr>
        <w:rPr>
          <w:rtl/>
        </w:rPr>
      </w:pPr>
      <w:r>
        <w:rPr>
          <w:rFonts w:hint="cs"/>
          <w:rtl/>
        </w:rPr>
        <w:t xml:space="preserve"> </w:t>
      </w:r>
    </w:p>
    <w:p w:rsidR="00E031D6" w:rsidRPr="00E031D6" w:rsidRDefault="00E031D6" w:rsidP="00E031D6">
      <w:pPr>
        <w:bidi w:val="0"/>
        <w:jc w:val="center"/>
      </w:pPr>
    </w:p>
    <w:sectPr w:rsidR="00E031D6" w:rsidRPr="00E031D6" w:rsidSect="003A52FE">
      <w:headerReference w:type="default" r:id="rId7"/>
      <w:footerReference w:type="default" r:id="rId8"/>
      <w:pgSz w:w="11906" w:h="16838"/>
      <w:pgMar w:top="720" w:right="720" w:bottom="720" w:left="567" w:header="709" w:footer="709" w:gutter="0"/>
      <w:cols w:space="567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C29" w:rsidRDefault="00567C29" w:rsidP="00E031D6">
      <w:pPr>
        <w:spacing w:after="0" w:line="240" w:lineRule="auto"/>
      </w:pPr>
      <w:r>
        <w:separator/>
      </w:r>
    </w:p>
  </w:endnote>
  <w:endnote w:type="continuationSeparator" w:id="0">
    <w:p w:rsidR="00567C29" w:rsidRDefault="00567C29" w:rsidP="00E0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32942847"/>
      <w:docPartObj>
        <w:docPartGallery w:val="Page Numbers (Bottom of Page)"/>
        <w:docPartUnique/>
      </w:docPartObj>
    </w:sdtPr>
    <w:sdtContent>
      <w:p w:rsidR="003A52FE" w:rsidRDefault="006D484C">
        <w:pPr>
          <w:pStyle w:val="Footer"/>
          <w:jc w:val="center"/>
        </w:pPr>
        <w:fldSimple w:instr=" PAGE   \* MERGEFORMAT ">
          <w:r w:rsidR="0079670E">
            <w:rPr>
              <w:noProof/>
              <w:rtl/>
            </w:rPr>
            <w:t>1</w:t>
          </w:r>
        </w:fldSimple>
      </w:p>
    </w:sdtContent>
  </w:sdt>
  <w:p w:rsidR="003A52FE" w:rsidRDefault="003A52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C29" w:rsidRDefault="00567C29" w:rsidP="00E031D6">
      <w:pPr>
        <w:spacing w:after="0" w:line="240" w:lineRule="auto"/>
      </w:pPr>
      <w:r>
        <w:separator/>
      </w:r>
    </w:p>
  </w:footnote>
  <w:footnote w:type="continuationSeparator" w:id="0">
    <w:p w:rsidR="00567C29" w:rsidRDefault="00567C29" w:rsidP="00E03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5FD" w:rsidRDefault="00567C29" w:rsidP="00CC2EDF">
    <w:pPr>
      <w:pStyle w:val="Header"/>
      <w:rPr>
        <w:rtl/>
      </w:rPr>
    </w:pPr>
  </w:p>
  <w:p w:rsidR="00E655FD" w:rsidRDefault="00567C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76AE"/>
    <w:multiLevelType w:val="hybridMultilevel"/>
    <w:tmpl w:val="EBEAF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1D6"/>
    <w:rsid w:val="003A52FE"/>
    <w:rsid w:val="00567C29"/>
    <w:rsid w:val="005914DF"/>
    <w:rsid w:val="005A3C8C"/>
    <w:rsid w:val="006D484C"/>
    <w:rsid w:val="0079670E"/>
    <w:rsid w:val="00855538"/>
    <w:rsid w:val="00AE3A99"/>
    <w:rsid w:val="00CB6A66"/>
    <w:rsid w:val="00E031D6"/>
    <w:rsid w:val="00F8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1D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03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E031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31D6"/>
  </w:style>
  <w:style w:type="table" w:styleId="TableGrid">
    <w:name w:val="Table Grid"/>
    <w:basedOn w:val="TableNormal"/>
    <w:uiPriority w:val="59"/>
    <w:rsid w:val="00E0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nhideWhenUsed/>
    <w:rsid w:val="00E031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31D6"/>
  </w:style>
  <w:style w:type="paragraph" w:styleId="BalloonText">
    <w:name w:val="Balloon Text"/>
    <w:basedOn w:val="Normal"/>
    <w:link w:val="BalloonTextChar"/>
    <w:uiPriority w:val="99"/>
    <w:semiHidden/>
    <w:unhideWhenUsed/>
    <w:rsid w:val="00E0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1D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031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loays</cp:lastModifiedBy>
  <cp:revision>3</cp:revision>
  <cp:lastPrinted>2016-11-23T08:56:00Z</cp:lastPrinted>
  <dcterms:created xsi:type="dcterms:W3CDTF">2016-11-23T08:43:00Z</dcterms:created>
  <dcterms:modified xsi:type="dcterms:W3CDTF">2016-11-23T09:24:00Z</dcterms:modified>
</cp:coreProperties>
</file>