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A2" w:rsidRDefault="00E107A2" w:rsidP="00E107A2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</w:p>
    <w:p w:rsidR="00E107A2" w:rsidRDefault="00E107A2" w:rsidP="00E107A2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E107A2"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 (PCBS) and</w:t>
      </w:r>
    </w:p>
    <w:p w:rsidR="00E107A2" w:rsidRPr="00E107A2" w:rsidRDefault="00E107A2" w:rsidP="00E107A2">
      <w:pPr>
        <w:bidi/>
        <w:jc w:val="center"/>
        <w:rPr>
          <w:b w:val="0"/>
          <w:bCs/>
          <w:i w:val="0"/>
          <w:iCs/>
          <w:sz w:val="32"/>
          <w:szCs w:val="32"/>
          <w:rtl/>
        </w:rPr>
      </w:pPr>
      <w:r w:rsidRPr="00E107A2">
        <w:rPr>
          <w:rFonts w:asciiTheme="majorBidi" w:hAnsiTheme="majorBidi" w:cstheme="majorBidi"/>
          <w:i w:val="0"/>
          <w:iCs/>
          <w:sz w:val="32"/>
          <w:szCs w:val="32"/>
        </w:rPr>
        <w:t xml:space="preserve"> the Palestine Monetary Authority (PMA)</w:t>
      </w:r>
    </w:p>
    <w:p w:rsidR="00E107A2" w:rsidRDefault="00E107A2" w:rsidP="00E107A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E107A2" w:rsidRPr="00E107A2" w:rsidRDefault="00E107A2" w:rsidP="00E107A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107A2">
        <w:rPr>
          <w:rFonts w:asciiTheme="majorBidi" w:hAnsiTheme="majorBidi" w:cstheme="majorBidi"/>
          <w:i w:val="0"/>
          <w:iCs/>
          <w:sz w:val="28"/>
          <w:szCs w:val="28"/>
        </w:rPr>
        <w:t>Results Announcement</w:t>
      </w:r>
    </w:p>
    <w:p w:rsidR="00E107A2" w:rsidRPr="00E107A2" w:rsidRDefault="00E107A2" w:rsidP="00E107A2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107A2">
        <w:rPr>
          <w:rFonts w:asciiTheme="majorBidi" w:hAnsiTheme="majorBidi" w:cstheme="majorBidi"/>
          <w:i w:val="0"/>
          <w:iCs/>
          <w:sz w:val="28"/>
          <w:szCs w:val="28"/>
        </w:rPr>
        <w:t>International Investment Position &amp; External Debt</w:t>
      </w:r>
      <w:r w:rsidRPr="00E107A2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</w:t>
      </w:r>
      <w:proofErr w:type="spellStart"/>
      <w:r w:rsidRPr="00E107A2">
        <w:rPr>
          <w:rFonts w:asciiTheme="majorBidi" w:hAnsiTheme="majorBidi" w:cstheme="majorBidi"/>
          <w:b w:val="0"/>
          <w:bCs/>
          <w:sz w:val="28"/>
          <w:szCs w:val="28"/>
          <w:rtl/>
        </w:rPr>
        <w:t>–</w:t>
      </w:r>
      <w:proofErr w:type="spellEnd"/>
      <w:r w:rsidRPr="00E107A2">
        <w:rPr>
          <w:rFonts w:asciiTheme="majorBidi" w:hAnsiTheme="majorBidi" w:cstheme="majorBidi"/>
          <w:i w:val="0"/>
          <w:iCs/>
          <w:sz w:val="28"/>
          <w:szCs w:val="28"/>
        </w:rPr>
        <w:t xml:space="preserve"> Second Quarter, 2018</w:t>
      </w:r>
    </w:p>
    <w:p w:rsidR="00E107A2" w:rsidRPr="00E107A2" w:rsidRDefault="00E107A2" w:rsidP="00E107A2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E107A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E107A2" w:rsidRPr="00E23D7F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E107A2" w:rsidRPr="00E107A2" w:rsidRDefault="00E107A2" w:rsidP="00E107A2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E107A2" w:rsidRPr="00E0420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second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about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Pr="004B73D8">
        <w:rPr>
          <w:rFonts w:asciiTheme="majorBidi" w:hAnsiTheme="majorBidi" w:cstheme="majorBidi" w:hint="cs"/>
          <w:sz w:val="24"/>
          <w:szCs w:val="24"/>
          <w:rtl/>
        </w:rPr>
        <w:t>49</w:t>
      </w:r>
      <w:r>
        <w:rPr>
          <w:rFonts w:asciiTheme="majorBidi" w:hAnsiTheme="majorBidi" w:cstheme="majorBidi" w:hint="cs"/>
          <w:sz w:val="24"/>
          <w:szCs w:val="24"/>
          <w:rtl/>
        </w:rPr>
        <w:t>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The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resident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cash deposits in foreign banks and foreign exchange 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accounted for the bulk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constituting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59.7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0420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 the total value of external assets.</w:t>
      </w:r>
    </w:p>
    <w:p w:rsidR="00E107A2" w:rsidRPr="00E107A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E107A2" w:rsidRPr="0034603E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6,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413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contributed to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5.4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21.9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(mainly currency and deposits)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64.5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8.2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 </w:t>
      </w:r>
      <w:proofErr w:type="spellStart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68.7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E107A2" w:rsidRPr="00E107A2" w:rsidRDefault="00E107A2" w:rsidP="00E107A2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E107A2" w:rsidRPr="00E23D7F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921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55.0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13.8%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Pr="004B73D8">
        <w:rPr>
          <w:rFonts w:asciiTheme="majorBidi" w:hAnsiTheme="majorBidi" w:cstheme="majorBidi" w:hint="cs"/>
          <w:sz w:val="24"/>
          <w:szCs w:val="24"/>
          <w:rtl/>
        </w:rPr>
        <w:t>31.2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Pr="004B73D8">
        <w:rPr>
          <w:rFonts w:asciiTheme="majorBidi" w:hAnsiTheme="majorBidi" w:cstheme="majorBidi" w:hint="cs"/>
          <w:sz w:val="24"/>
          <w:szCs w:val="24"/>
          <w:rtl/>
        </w:rPr>
        <w:t>35.5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E107A2" w:rsidRPr="00E107A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E107A2" w:rsidRPr="00F33016" w:rsidRDefault="00E107A2" w:rsidP="00E107A2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ic sectors 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Pr="00911E2C">
        <w:rPr>
          <w:rFonts w:asciiTheme="majorBidi" w:hAnsiTheme="majorBidi" w:cstheme="majorBidi" w:hint="cs"/>
          <w:sz w:val="24"/>
          <w:szCs w:val="24"/>
          <w:rtl/>
        </w:rPr>
        <w:t>579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911E2C">
        <w:rPr>
          <w:rFonts w:asciiTheme="majorBidi" w:hAnsiTheme="majorBidi" w:cstheme="majorBidi" w:hint="cs"/>
          <w:sz w:val="24"/>
          <w:szCs w:val="24"/>
          <w:rtl/>
        </w:rPr>
        <w:t>65.1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Pr="00911E2C">
        <w:rPr>
          <w:rFonts w:asciiTheme="majorBidi" w:hAnsiTheme="majorBidi" w:cstheme="majorBidi" w:hint="cs"/>
          <w:sz w:val="24"/>
          <w:szCs w:val="24"/>
          <w:rtl/>
        </w:rPr>
        <w:t>29.5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2.6%,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2.8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E107A2" w:rsidRPr="00E107A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E107A2" w:rsidRPr="00E107A2" w:rsidRDefault="00E107A2" w:rsidP="00E107A2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Banks/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Pr="00E107A2" w:rsidRDefault="00E107A2" w:rsidP="00E107A2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E107A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>
        <w:rPr>
          <w:rFonts w:asciiTheme="majorBidi" w:hAnsiTheme="majorBidi" w:cstheme="majorBidi"/>
          <w:bCs/>
          <w:iCs/>
          <w:szCs w:val="24"/>
        </w:rPr>
        <w:t xml:space="preserve"> deposits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>
        <w:rPr>
          <w:rFonts w:asciiTheme="majorBidi" w:hAnsiTheme="majorBidi" w:cstheme="majorBidi"/>
          <w:bCs/>
          <w:iCs/>
          <w:szCs w:val="24"/>
        </w:rPr>
        <w:t>the 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E107A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107A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107A2" w:rsidRPr="00E107A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107A2" w:rsidRPr="0070638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r w:rsidRPr="00706382">
        <w:rPr>
          <w:rFonts w:asciiTheme="majorBidi" w:hAnsiTheme="majorBidi" w:cstheme="majorBidi"/>
          <w:b/>
          <w:iCs/>
          <w:szCs w:val="24"/>
        </w:rPr>
        <w:t>For further details please contact:</w:t>
      </w:r>
    </w:p>
    <w:p w:rsidR="00E107A2" w:rsidRPr="0070638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219"/>
        <w:gridCol w:w="992"/>
        <w:gridCol w:w="4032"/>
      </w:tblGrid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ind w:right="-108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Palestinian Central Bureau of Statistics           </w:t>
            </w:r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/>
                <w:iCs/>
                <w:sz w:val="20"/>
                <w:szCs w:val="20"/>
                <w:rtl/>
              </w:rPr>
              <w:t xml:space="preserve"> </w:t>
            </w:r>
            <w:r w:rsidRPr="00E107A2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Or</w:t>
            </w: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Palestine Monetary Authority</w:t>
            </w: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 Box 1647, Ramallah- Palestine.</w:t>
            </w:r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 Box 452, Ramallah- Palestine.</w:t>
            </w: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jc w:val="left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Tel:   (972/970) 2 2982700</w:t>
            </w:r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Tel:   (972/970) 2 2415250</w:t>
            </w: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Fax:  (972/970) 2 2982710</w:t>
            </w:r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Fax:  (972/970) 2 2409922</w:t>
            </w: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Toll free: </w:t>
            </w:r>
            <w:r w:rsidRPr="00E107A2">
              <w:rPr>
                <w:rFonts w:asciiTheme="majorBidi" w:hAnsiTheme="majorBidi" w:cstheme="majorBidi"/>
                <w:b/>
                <w:i/>
                <w:sz w:val="20"/>
                <w:szCs w:val="20"/>
                <w:rtl/>
                <w:lang w:val="en-GB"/>
              </w:rPr>
              <w:t>1800300300</w:t>
            </w:r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proofErr w:type="spellStart"/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E-Mail</w:t>
            </w:r>
            <w:proofErr w:type="spellEnd"/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:     </w:t>
            </w:r>
            <w:hyperlink r:id="rId6" w:history="1">
              <w:r w:rsidRPr="00E107A2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diwan@pcbs.gov.ps</w:t>
              </w:r>
            </w:hyperlink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proofErr w:type="spellStart"/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E-Mail</w:t>
            </w:r>
            <w:proofErr w:type="spellEnd"/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:     </w:t>
            </w:r>
            <w:hyperlink r:id="rId7" w:history="1">
              <w:r w:rsidRPr="00E107A2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info@pma.ps</w:t>
              </w:r>
            </w:hyperlink>
          </w:p>
        </w:tc>
      </w:tr>
      <w:tr w:rsidR="00E107A2" w:rsidRPr="00E107A2" w:rsidTr="00E107A2">
        <w:trPr>
          <w:jc w:val="center"/>
        </w:trPr>
        <w:tc>
          <w:tcPr>
            <w:tcW w:w="4219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Website:  </w:t>
            </w:r>
            <w:hyperlink r:id="rId8" w:history="1">
              <w:r w:rsidRPr="00E107A2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</w:rPr>
                <w:t>http://www.pcbs.gov.ps</w:t>
              </w:r>
            </w:hyperlink>
          </w:p>
        </w:tc>
        <w:tc>
          <w:tcPr>
            <w:tcW w:w="99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E107A2" w:rsidRPr="00E107A2" w:rsidRDefault="00E107A2" w:rsidP="00B04854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Website:  http://www.</w:t>
            </w: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  <w:lang w:eastAsia="fr-FR"/>
              </w:rPr>
              <w:t xml:space="preserve"> pma.ps</w:t>
            </w:r>
          </w:p>
        </w:tc>
      </w:tr>
      <w:tr w:rsidR="00E107A2" w:rsidRPr="00E107A2" w:rsidTr="00E107A2">
        <w:trPr>
          <w:jc w:val="center"/>
        </w:trPr>
        <w:tc>
          <w:tcPr>
            <w:tcW w:w="4219" w:type="dxa"/>
          </w:tcPr>
          <w:p w:rsidR="00E107A2" w:rsidRPr="00E107A2" w:rsidRDefault="00E107A2" w:rsidP="00B04854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E107A2" w:rsidRPr="00E107A2" w:rsidRDefault="00E107A2" w:rsidP="00B04854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4032" w:type="dxa"/>
          </w:tcPr>
          <w:p w:rsidR="00E107A2" w:rsidRPr="00E107A2" w:rsidRDefault="00E107A2" w:rsidP="00B04854">
            <w:pPr>
              <w:pStyle w:val="BodyText"/>
              <w:bidi w:val="0"/>
              <w:ind w:left="-81" w:right="489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E107A2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  Issued on : 24/9/2018</w:t>
            </w:r>
          </w:p>
        </w:tc>
      </w:tr>
    </w:tbl>
    <w:p w:rsidR="00E107A2" w:rsidRDefault="00E107A2" w:rsidP="00E107A2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E107A2" w:rsidRDefault="00E107A2" w:rsidP="00E107A2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E107A2" w:rsidRDefault="00E107A2" w:rsidP="00E107A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E107A2" w:rsidRDefault="00E107A2" w:rsidP="00E107A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E107A2" w:rsidRDefault="00E107A2" w:rsidP="00E107A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E107A2" w:rsidRPr="00E107A2" w:rsidRDefault="00E107A2" w:rsidP="00E107A2">
      <w:pPr>
        <w:contextualSpacing/>
        <w:jc w:val="center"/>
        <w:rPr>
          <w:rFonts w:asciiTheme="majorBidi" w:hAnsiTheme="majorBidi" w:cstheme="majorBidi"/>
          <w:i w:val="0"/>
          <w:iCs/>
        </w:rPr>
      </w:pPr>
      <w:r w:rsidRPr="00E107A2">
        <w:rPr>
          <w:rFonts w:asciiTheme="majorBidi" w:hAnsiTheme="majorBidi" w:cstheme="majorBidi"/>
          <w:i w:val="0"/>
          <w:iCs/>
        </w:rPr>
        <w:t>Table 1: International Investment Position (IIP) Stock by Economic Sectors for Palestine, at the end of the Second Quarter, 2018</w:t>
      </w:r>
    </w:p>
    <w:p w:rsidR="00E107A2" w:rsidRDefault="00E107A2" w:rsidP="00E107A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E107A2" w:rsidRPr="00E107A2" w:rsidRDefault="00E107A2" w:rsidP="00E107A2">
      <w:pPr>
        <w:ind w:right="3631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E107A2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 Value in million USD</w:t>
      </w:r>
    </w:p>
    <w:tbl>
      <w:tblPr>
        <w:bidiVisual/>
        <w:tblW w:w="1082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080"/>
        <w:gridCol w:w="1532"/>
        <w:gridCol w:w="1171"/>
        <w:gridCol w:w="1262"/>
        <w:gridCol w:w="1175"/>
        <w:gridCol w:w="3521"/>
      </w:tblGrid>
      <w:tr w:rsidR="00E107A2" w:rsidRPr="00E107A2" w:rsidTr="00B04854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583" w:type="pct"/>
            <w:vMerge w:val="restar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543" w:type="pct"/>
            <w:vMerge w:val="restar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627" w:type="pct"/>
            <w:vMerge w:val="restart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4pt;margin-top:2.05pt;width:166.9pt;height:86.25pt;z-index:251661312;mso-position-horizontal-relative:text;mso-position-vertical-relative:text" o:connectortype="straight">
                  <w10:wrap anchorx="page"/>
                </v:shape>
              </w:pict>
            </w:r>
            <w:r w:rsidRPr="00E107A2">
              <w:rPr>
                <w:rFonts w:asciiTheme="majorBidi" w:hAnsiTheme="majorBidi" w:cstheme="majorBidi"/>
                <w:i w:val="0"/>
                <w:iCs/>
              </w:rPr>
              <w:t xml:space="preserve">            Economic Sector</w:t>
            </w:r>
            <w:r w:rsidRPr="00E107A2">
              <w:rPr>
                <w:rFonts w:asciiTheme="majorBidi" w:hAnsiTheme="majorBidi" w:cstheme="majorBidi"/>
                <w:i w:val="0"/>
                <w:iCs/>
                <w:rtl/>
              </w:rPr>
              <w:t xml:space="preserve">   </w:t>
            </w:r>
          </w:p>
          <w:p w:rsidR="00E107A2" w:rsidRPr="00E107A2" w:rsidRDefault="00E107A2" w:rsidP="00B04854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E107A2" w:rsidRPr="00E107A2" w:rsidRDefault="00E107A2" w:rsidP="00B04854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E107A2" w:rsidRPr="00E107A2" w:rsidRDefault="00E107A2" w:rsidP="00B04854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E107A2" w:rsidRPr="00E107A2" w:rsidRDefault="00E107A2" w:rsidP="00B04854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 xml:space="preserve">               </w:t>
            </w:r>
          </w:p>
          <w:p w:rsidR="00E107A2" w:rsidRPr="00E107A2" w:rsidRDefault="00E107A2" w:rsidP="00B04854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E107A2" w:rsidRPr="00E107A2" w:rsidRDefault="00E107A2" w:rsidP="00B04854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 xml:space="preserve">Investments Stocks by </w:t>
            </w:r>
          </w:p>
          <w:p w:rsidR="00E107A2" w:rsidRPr="00E107A2" w:rsidRDefault="00E107A2" w:rsidP="00B04854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Type of Investment</w:t>
            </w:r>
          </w:p>
        </w:tc>
      </w:tr>
      <w:tr w:rsidR="00E107A2" w:rsidRPr="00E107A2" w:rsidTr="00B04854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499" w:type="pc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708" w:type="pc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Nonbank Financial Corporations, Non-Financial Corporations, and NGOs Sector</w:t>
            </w:r>
          </w:p>
        </w:tc>
        <w:tc>
          <w:tcPr>
            <w:tcW w:w="541" w:type="pct"/>
            <w:vMerge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583" w:type="pct"/>
            <w:vMerge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543" w:type="pct"/>
            <w:vMerge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627" w:type="pct"/>
            <w:vMerge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1,492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-954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-200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2,660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-961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947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6,413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34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960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4,406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66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947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349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11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338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Abroad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1,402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421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898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83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Portfolio Investments Abroad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4,137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201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3,508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66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339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Other Investments Abroad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3,828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23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37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3,429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339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</w:rPr>
              <w:t xml:space="preserve">     Of which: currency and deposits**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525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525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Reserve Assets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4,921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988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1,160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1,746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1,027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2,705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988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730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987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in Palestine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681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388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293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Portfolio Investments in Palestine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1,535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42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466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1,027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Other Investments in Palestine: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1,058</w:t>
            </w:r>
          </w:p>
        </w:tc>
        <w:tc>
          <w:tcPr>
            <w:tcW w:w="499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8" w:type="pct"/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</w:t>
            </w:r>
          </w:p>
        </w:tc>
        <w:tc>
          <w:tcPr>
            <w:tcW w:w="541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8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1,027</w:t>
            </w:r>
          </w:p>
        </w:tc>
        <w:tc>
          <w:tcPr>
            <w:tcW w:w="543" w:type="pct"/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</w:rPr>
              <w:t xml:space="preserve">     Of which: loans from abroad</w:t>
            </w:r>
          </w:p>
        </w:tc>
      </w:tr>
      <w:tr w:rsidR="00E107A2" w:rsidRPr="00E107A2" w:rsidTr="00B04854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466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bottom"/>
          </w:tcPr>
          <w:p w:rsidR="00E107A2" w:rsidRPr="00E107A2" w:rsidRDefault="00E107A2" w:rsidP="00B04854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rtl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466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:rsidR="00E107A2" w:rsidRPr="00E107A2" w:rsidRDefault="00E107A2" w:rsidP="00E107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</w:rPr>
              <w:t xml:space="preserve">    Of which: currency and deposits***</w:t>
            </w:r>
          </w:p>
        </w:tc>
      </w:tr>
    </w:tbl>
    <w:p w:rsidR="00E107A2" w:rsidRDefault="00E107A2" w:rsidP="00E107A2">
      <w:pPr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107A2" w:rsidRPr="00E107A2" w:rsidRDefault="00E107A2" w:rsidP="00E107A2">
      <w:pPr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107A2" w:rsidRPr="00E107A2" w:rsidRDefault="00E107A2" w:rsidP="00E107A2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</w:pPr>
      <w:r w:rsidRPr="00E107A2">
        <w:rPr>
          <w:rFonts w:asciiTheme="majorBidi" w:hAnsiTheme="majorBidi" w:cstheme="majorBidi"/>
          <w:i w:val="0"/>
          <w:iCs/>
          <w:sz w:val="17"/>
          <w:szCs w:val="17"/>
        </w:rPr>
        <w:t>Notes</w:t>
      </w:r>
      <w:r w:rsidRPr="00E107A2"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  <w:t xml:space="preserve">: </w:t>
      </w:r>
    </w:p>
    <w:p w:rsidR="00E107A2" w:rsidRPr="00E107A2" w:rsidRDefault="00E107A2" w:rsidP="00E107A2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</w:pPr>
      <w:r w:rsidRPr="00E107A2"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  <w:t>- The data in the above table are close to the nearest integer.</w:t>
      </w:r>
    </w:p>
    <w:p w:rsidR="00E107A2" w:rsidRPr="00E107A2" w:rsidRDefault="00E107A2" w:rsidP="00E107A2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</w:pPr>
      <w:r w:rsidRPr="00E107A2"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  <w:t>- The data does not include the value of land owned by non-residents.</w:t>
      </w:r>
    </w:p>
    <w:p w:rsidR="00E107A2" w:rsidRPr="00E107A2" w:rsidRDefault="00E107A2" w:rsidP="00E107A2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17"/>
          <w:szCs w:val="17"/>
          <w:rtl/>
        </w:rPr>
      </w:pPr>
      <w:r w:rsidRPr="00E107A2"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E107A2" w:rsidRPr="00E107A2" w:rsidRDefault="00E107A2" w:rsidP="00E107A2">
      <w:pPr>
        <w:spacing w:line="0" w:lineRule="atLeast"/>
        <w:ind w:right="-45" w:hanging="142"/>
        <w:jc w:val="both"/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</w:pPr>
      <w:r w:rsidRPr="00E107A2"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  <w:t>** Currency and deposits: Include the residents deposits in banks abroad, in addition to foreign exchange in Palestinian economy.</w:t>
      </w:r>
    </w:p>
    <w:p w:rsidR="00E107A2" w:rsidRPr="00E107A2" w:rsidRDefault="00E107A2" w:rsidP="00E107A2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</w:pPr>
      <w:r w:rsidRPr="00E107A2">
        <w:rPr>
          <w:rFonts w:asciiTheme="majorBidi" w:hAnsiTheme="majorBidi" w:cstheme="majorBidi"/>
          <w:b w:val="0"/>
          <w:bCs/>
          <w:i w:val="0"/>
          <w:iCs/>
          <w:sz w:val="17"/>
          <w:szCs w:val="17"/>
        </w:rPr>
        <w:t>*** Currency and deposits: Include the deposits of non-residents deposited in resident banks.</w:t>
      </w:r>
    </w:p>
    <w:p w:rsidR="00E107A2" w:rsidRDefault="00E107A2" w:rsidP="00E107A2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E107A2" w:rsidRDefault="00E107A2" w:rsidP="00E107A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E107A2" w:rsidRDefault="00E107A2" w:rsidP="00E107A2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E107A2" w:rsidRPr="00E107A2" w:rsidRDefault="00E107A2" w:rsidP="00E107A2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107A2">
        <w:rPr>
          <w:rFonts w:asciiTheme="majorBidi" w:hAnsiTheme="majorBidi" w:cstheme="majorBidi"/>
          <w:i w:val="0"/>
          <w:iCs/>
          <w:sz w:val="28"/>
          <w:szCs w:val="28"/>
        </w:rPr>
        <w:t xml:space="preserve">Table 2: Gross External Debt Position on Palestine, at the End of the </w:t>
      </w:r>
    </w:p>
    <w:p w:rsidR="00E107A2" w:rsidRPr="00E107A2" w:rsidRDefault="00E107A2" w:rsidP="00E107A2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107A2">
        <w:rPr>
          <w:rFonts w:asciiTheme="majorBidi" w:hAnsiTheme="majorBidi" w:cstheme="majorBidi"/>
          <w:i w:val="0"/>
          <w:iCs/>
          <w:sz w:val="28"/>
          <w:szCs w:val="28"/>
        </w:rPr>
        <w:t>First Quarter, 2018 and Second Quarter, 2018</w:t>
      </w:r>
    </w:p>
    <w:p w:rsidR="00E107A2" w:rsidRDefault="00E107A2" w:rsidP="00E107A2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E107A2" w:rsidRDefault="00E107A2" w:rsidP="00E107A2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</w:p>
    <w:p w:rsidR="00E107A2" w:rsidRPr="00E107A2" w:rsidRDefault="00E107A2" w:rsidP="00E107A2">
      <w:pPr>
        <w:ind w:left="-284" w:right="3967" w:firstLine="284"/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  <w:r w:rsidRPr="00E107A2">
        <w:rPr>
          <w:rFonts w:asciiTheme="majorBidi" w:hAnsiTheme="majorBidi" w:cstheme="majorBidi"/>
          <w:i w:val="0"/>
          <w:iCs/>
          <w:sz w:val="22"/>
          <w:szCs w:val="22"/>
        </w:rPr>
        <w:t xml:space="preserve">            Value in million USD </w:t>
      </w:r>
      <w:r w:rsidRPr="00E107A2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</w:t>
      </w:r>
    </w:p>
    <w:tbl>
      <w:tblPr>
        <w:tblpPr w:leftFromText="180" w:rightFromText="180" w:vertAnchor="text" w:tblpXSpec="center" w:tblpY="1"/>
        <w:tblOverlap w:val="never"/>
        <w:bidiVisual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33"/>
        <w:gridCol w:w="4178"/>
      </w:tblGrid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Stock at the end of the Second Quarter 2018</w:t>
            </w:r>
          </w:p>
        </w:tc>
        <w:tc>
          <w:tcPr>
            <w:tcW w:w="1370" w:type="pc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Stock at the end of the First Quarter 2018</w:t>
            </w:r>
          </w:p>
        </w:tc>
        <w:tc>
          <w:tcPr>
            <w:tcW w:w="2260" w:type="pct"/>
            <w:vAlign w:val="center"/>
          </w:tcPr>
          <w:p w:rsidR="00E107A2" w:rsidRPr="00E107A2" w:rsidRDefault="00E107A2" w:rsidP="00B04854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1,027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1,040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86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81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941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959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466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525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217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297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249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228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42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4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38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67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44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5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affiliated enterprises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107A2">
              <w:rPr>
                <w:rFonts w:asciiTheme="majorBidi" w:hAnsiTheme="majorBidi" w:cstheme="majorBidi"/>
                <w:color w:val="000000"/>
                <w:rtl/>
              </w:rPr>
              <w:t>5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direct investors</w:t>
            </w:r>
          </w:p>
        </w:tc>
      </w:tr>
      <w:tr w:rsidR="00E107A2" w:rsidRPr="00E107A2" w:rsidTr="00B04854">
        <w:trPr>
          <w:trHeight w:val="284"/>
        </w:trPr>
        <w:tc>
          <w:tcPr>
            <w:tcW w:w="1370" w:type="pct"/>
            <w:vAlign w:val="center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1,579</w:t>
            </w:r>
          </w:p>
        </w:tc>
        <w:tc>
          <w:tcPr>
            <w:tcW w:w="1370" w:type="pct"/>
            <w:vAlign w:val="bottom"/>
          </w:tcPr>
          <w:p w:rsidR="00E107A2" w:rsidRPr="00E107A2" w:rsidRDefault="00E107A2" w:rsidP="00B04854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107A2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1,640</w:t>
            </w:r>
          </w:p>
        </w:tc>
        <w:tc>
          <w:tcPr>
            <w:tcW w:w="2260" w:type="pct"/>
            <w:vAlign w:val="bottom"/>
          </w:tcPr>
          <w:p w:rsidR="00E107A2" w:rsidRPr="00E107A2" w:rsidRDefault="00E107A2" w:rsidP="00B04854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107A2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E107A2" w:rsidRPr="0053342F" w:rsidRDefault="00E107A2" w:rsidP="00E107A2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E107A2" w:rsidRPr="00C305B9" w:rsidRDefault="00E107A2" w:rsidP="00E107A2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E107A2" w:rsidRPr="00B94B95" w:rsidRDefault="00E107A2" w:rsidP="00E107A2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E107A2" w:rsidRPr="00F91DCF" w:rsidRDefault="00E107A2" w:rsidP="00E107A2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p w:rsidR="006D172E" w:rsidRDefault="00E107A2">
      <w:r>
        <w:rPr>
          <w:rFonts w:hint="cs"/>
          <w:rtl/>
        </w:rPr>
        <w:t xml:space="preserve"> </w:t>
      </w:r>
    </w:p>
    <w:sectPr w:rsidR="006D172E" w:rsidSect="00E107A2"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98" w:rsidRDefault="00592598" w:rsidP="00E107A2">
      <w:r>
        <w:separator/>
      </w:r>
    </w:p>
  </w:endnote>
  <w:endnote w:type="continuationSeparator" w:id="0">
    <w:p w:rsidR="00592598" w:rsidRDefault="00592598" w:rsidP="00E1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EndPr/>
    <w:sdtContent>
      <w:p w:rsidR="00A32FAD" w:rsidRDefault="00592598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E107A2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A32FAD" w:rsidRDefault="005925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98" w:rsidRDefault="00592598" w:rsidP="00E107A2">
      <w:r>
        <w:separator/>
      </w:r>
    </w:p>
  </w:footnote>
  <w:footnote w:type="continuationSeparator" w:id="0">
    <w:p w:rsidR="00592598" w:rsidRDefault="00592598" w:rsidP="00E10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7A2"/>
    <w:rsid w:val="004C7DB1"/>
    <w:rsid w:val="00592598"/>
    <w:rsid w:val="006D172E"/>
    <w:rsid w:val="00E1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07A2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0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7A2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07A2"/>
    <w:rPr>
      <w:color w:val="0000FF"/>
      <w:u w:val="single"/>
    </w:rPr>
  </w:style>
  <w:style w:type="paragraph" w:styleId="BodyText">
    <w:name w:val="Body Text"/>
    <w:basedOn w:val="Normal"/>
    <w:link w:val="BodyTextChar"/>
    <w:rsid w:val="00E107A2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E107A2"/>
    <w:rPr>
      <w:rFonts w:ascii="Arial" w:eastAsia="Times New Roman" w:hAnsi="Arial" w:cs="Traditional Arabic"/>
      <w:sz w:val="24"/>
      <w:szCs w:val="28"/>
    </w:rPr>
  </w:style>
  <w:style w:type="table" w:styleId="TableGrid">
    <w:name w:val="Table Grid"/>
    <w:basedOn w:val="TableNormal"/>
    <w:uiPriority w:val="59"/>
    <w:rsid w:val="00E107A2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E107A2"/>
  </w:style>
  <w:style w:type="paragraph" w:styleId="ListParagraph">
    <w:name w:val="List Paragraph"/>
    <w:basedOn w:val="Normal"/>
    <w:uiPriority w:val="34"/>
    <w:qFormat/>
    <w:rsid w:val="00E107A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E107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07A2"/>
    <w:rPr>
      <w:rFonts w:ascii="Simplified Arabic" w:eastAsia="Times New Roman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E107A2"/>
  </w:style>
  <w:style w:type="paragraph" w:styleId="BalloonText">
    <w:name w:val="Balloon Text"/>
    <w:basedOn w:val="Normal"/>
    <w:link w:val="BalloonTextChar"/>
    <w:uiPriority w:val="99"/>
    <w:semiHidden/>
    <w:unhideWhenUsed/>
    <w:rsid w:val="00E1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A2"/>
    <w:rPr>
      <w:rFonts w:ascii="Tahoma" w:eastAsia="Times New Roman" w:hAnsi="Tahoma" w:cs="Tahoma"/>
      <w:b/>
      <w:i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07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7A2"/>
    <w:rPr>
      <w:rFonts w:ascii="Simplified Arabic" w:eastAsia="Times New Roman" w:hAnsi="Simplified Arabic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ma.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wan@pcbs.gov.p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1080</Words>
  <Characters>6158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2018-09-20T08:55:00Z</dcterms:created>
  <dcterms:modified xsi:type="dcterms:W3CDTF">2018-09-20T09:01:00Z</dcterms:modified>
</cp:coreProperties>
</file>