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D5" w:rsidRDefault="000810D5" w:rsidP="000810D5">
      <w:pPr>
        <w:bidi/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  <w:r>
        <w:rPr>
          <w:rFonts w:asciiTheme="majorBidi" w:hAnsiTheme="majorBidi" w:cstheme="majorBidi"/>
          <w:i w:val="0"/>
          <w:iCs/>
          <w:sz w:val="32"/>
          <w:szCs w:val="32"/>
        </w:rPr>
        <w:t>Palestinian Central Bureau of Statistics (PCBS) and</w:t>
      </w:r>
    </w:p>
    <w:p w:rsidR="000810D5" w:rsidRDefault="000810D5" w:rsidP="000810D5">
      <w:pPr>
        <w:bidi/>
        <w:jc w:val="center"/>
        <w:rPr>
          <w:b w:val="0"/>
          <w:bCs/>
          <w:i w:val="0"/>
          <w:iCs/>
          <w:sz w:val="32"/>
          <w:szCs w:val="32"/>
        </w:rPr>
      </w:pPr>
      <w:r>
        <w:rPr>
          <w:rFonts w:asciiTheme="majorBidi" w:hAnsiTheme="majorBidi" w:cstheme="majorBidi"/>
          <w:i w:val="0"/>
          <w:iCs/>
          <w:sz w:val="32"/>
          <w:szCs w:val="32"/>
        </w:rPr>
        <w:t>the Palestine Monetary Authority (PMA)</w:t>
      </w:r>
    </w:p>
    <w:p w:rsidR="00F80EC6" w:rsidRPr="000810D5" w:rsidRDefault="00F80EC6" w:rsidP="00FC7CEB">
      <w:pPr>
        <w:tabs>
          <w:tab w:val="left" w:pos="3491"/>
          <w:tab w:val="left" w:pos="3614"/>
          <w:tab w:val="left" w:pos="4130"/>
          <w:tab w:val="left" w:pos="4524"/>
          <w:tab w:val="left" w:pos="5040"/>
          <w:tab w:val="left" w:pos="6290"/>
          <w:tab w:val="right" w:pos="6707"/>
        </w:tabs>
        <w:bidi/>
        <w:rPr>
          <w:b w:val="0"/>
          <w:bCs/>
          <w:i w:val="0"/>
          <w:iCs/>
          <w:rtl/>
        </w:rPr>
      </w:pPr>
    </w:p>
    <w:p w:rsidR="00F93771" w:rsidRDefault="00F93771" w:rsidP="000810D5">
      <w:pPr>
        <w:tabs>
          <w:tab w:val="left" w:pos="3125"/>
          <w:tab w:val="left" w:pos="3777"/>
          <w:tab w:val="left" w:pos="4469"/>
          <w:tab w:val="left" w:pos="5715"/>
        </w:tabs>
        <w:bidi/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  <w:r w:rsidRPr="00FC7CEB">
        <w:rPr>
          <w:rFonts w:asciiTheme="majorBidi" w:hAnsiTheme="majorBidi" w:cstheme="majorBidi"/>
          <w:i w:val="0"/>
          <w:iCs/>
          <w:sz w:val="32"/>
          <w:szCs w:val="32"/>
        </w:rPr>
        <w:t>Results Announcement</w:t>
      </w:r>
    </w:p>
    <w:p w:rsidR="000810D5" w:rsidRPr="00FC7CEB" w:rsidRDefault="000810D5" w:rsidP="000810D5">
      <w:pPr>
        <w:tabs>
          <w:tab w:val="left" w:pos="3125"/>
          <w:tab w:val="left" w:pos="3777"/>
          <w:tab w:val="left" w:pos="4469"/>
          <w:tab w:val="left" w:pos="5715"/>
        </w:tabs>
        <w:bidi/>
        <w:jc w:val="center"/>
        <w:rPr>
          <w:rFonts w:asciiTheme="majorBidi" w:hAnsiTheme="majorBidi" w:cstheme="majorBidi"/>
          <w:i w:val="0"/>
          <w:iCs/>
          <w:sz w:val="32"/>
          <w:szCs w:val="32"/>
          <w:rtl/>
        </w:rPr>
      </w:pPr>
    </w:p>
    <w:p w:rsidR="00F93771" w:rsidRPr="00FC7CEB" w:rsidRDefault="00F93771" w:rsidP="00F87F86">
      <w:pPr>
        <w:spacing w:line="480" w:lineRule="exact"/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  <w:r w:rsidRPr="00FC7CEB">
        <w:rPr>
          <w:rFonts w:asciiTheme="majorBidi" w:hAnsiTheme="majorBidi" w:cstheme="majorBidi"/>
          <w:i w:val="0"/>
          <w:iCs/>
          <w:sz w:val="32"/>
          <w:szCs w:val="32"/>
        </w:rPr>
        <w:t>International Investment Position &amp; External Debt –</w:t>
      </w:r>
      <w:r w:rsidR="00517AB7" w:rsidRPr="00FC7CEB">
        <w:rPr>
          <w:rFonts w:asciiTheme="majorBidi" w:hAnsiTheme="majorBidi" w:cstheme="majorBidi"/>
          <w:i w:val="0"/>
          <w:iCs/>
          <w:sz w:val="32"/>
          <w:szCs w:val="32"/>
        </w:rPr>
        <w:t xml:space="preserve"> </w:t>
      </w:r>
      <w:r w:rsidRPr="00FC7CEB">
        <w:rPr>
          <w:rFonts w:asciiTheme="majorBidi" w:hAnsiTheme="majorBidi" w:cstheme="majorBidi" w:hint="cs"/>
          <w:b w:val="0"/>
          <w:bCs/>
          <w:sz w:val="32"/>
          <w:szCs w:val="32"/>
          <w:rtl/>
        </w:rPr>
        <w:t>201</w:t>
      </w:r>
      <w:r w:rsidR="00F87F86" w:rsidRPr="00FC7CEB">
        <w:rPr>
          <w:rFonts w:asciiTheme="majorBidi" w:hAnsiTheme="majorBidi" w:cstheme="majorBidi"/>
          <w:i w:val="0"/>
          <w:iCs/>
          <w:sz w:val="32"/>
          <w:szCs w:val="32"/>
        </w:rPr>
        <w:t>7</w:t>
      </w:r>
    </w:p>
    <w:p w:rsidR="00F93771" w:rsidRPr="003661CF" w:rsidRDefault="00F93771" w:rsidP="00F93771">
      <w:pPr>
        <w:pStyle w:val="BodyText3"/>
        <w:tabs>
          <w:tab w:val="left" w:pos="6660"/>
        </w:tabs>
        <w:ind w:right="70"/>
        <w:rPr>
          <w:rFonts w:asciiTheme="majorBidi" w:hAnsiTheme="majorBidi" w:cstheme="majorBidi"/>
          <w:i w:val="0"/>
          <w:iCs/>
          <w:sz w:val="24"/>
          <w:szCs w:val="24"/>
        </w:rPr>
      </w:pPr>
      <w:r>
        <w:rPr>
          <w:rFonts w:asciiTheme="majorBidi" w:hAnsiTheme="majorBidi" w:cstheme="majorBidi"/>
          <w:i w:val="0"/>
          <w:iCs/>
          <w:sz w:val="24"/>
          <w:szCs w:val="24"/>
        </w:rPr>
        <w:tab/>
      </w:r>
    </w:p>
    <w:p w:rsidR="00F93771" w:rsidRPr="00E23D7F" w:rsidRDefault="00F93771" w:rsidP="00FC7CE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Palestinian Central Bureau of Statistics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(PCBS)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the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Monetary Authority (PMA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announced the preliminary results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0E58D6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(IIP), and External Debt statistics for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end of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</w:t>
      </w:r>
      <w:r w:rsidR="00F87F86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7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F93771" w:rsidRPr="00E23D7F" w:rsidRDefault="00F93771" w:rsidP="00FC7CEB">
      <w:pPr>
        <w:pStyle w:val="BodyText3"/>
        <w:spacing w:after="0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F93771" w:rsidRDefault="00F93771" w:rsidP="00FC7CE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primary results of the IIP (external assets – foreign liabilities) for Palestine at the end of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</w:t>
      </w:r>
      <w:r w:rsidR="00F87F8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revealed that the net IIP amounted to about USD </w:t>
      </w:r>
      <w:r w:rsidRPr="0091370A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156FFE" w:rsidRPr="00156FFE">
        <w:rPr>
          <w:rFonts w:asciiTheme="majorBidi" w:hAnsiTheme="majorBidi" w:cstheme="majorBidi" w:hint="cs"/>
          <w:sz w:val="24"/>
          <w:szCs w:val="24"/>
          <w:rtl/>
        </w:rPr>
        <w:t>7</w:t>
      </w:r>
      <w:r w:rsidR="00152CC2">
        <w:rPr>
          <w:rFonts w:asciiTheme="majorBidi" w:hAnsiTheme="majorBidi" w:cstheme="majorBidi" w:hint="cs"/>
          <w:sz w:val="24"/>
          <w:szCs w:val="24"/>
          <w:rtl/>
        </w:rPr>
        <w:t>06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which means that the Palestinian economy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’s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</w:t>
      </w:r>
      <w:r w:rsidR="004315B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outside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outweighs investmen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="004315B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 Palestine from abroad.  The </w:t>
      </w:r>
      <w:r w:rsidR="0069596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esident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cash deposits in foreign banks and foreign exchange in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Palestinian economy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accounted for the bulk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external assets,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constituting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63.</w:t>
      </w:r>
      <w:r w:rsidR="007041BE" w:rsidRPr="007041B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 of </w:t>
      </w:r>
      <w:r w:rsidR="0006615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total value</w:t>
      </w:r>
      <w:r w:rsidR="0006615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of external assets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F93771" w:rsidRPr="00E23D7F" w:rsidRDefault="00F93771" w:rsidP="00FC7CE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F93771" w:rsidRDefault="00F93771" w:rsidP="00FC7CE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total stocks of External Assets for Palestine amounted to USD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6,</w:t>
      </w:r>
      <w:r w:rsidR="00156FFE">
        <w:rPr>
          <w:rFonts w:asciiTheme="majorBidi" w:hAnsiTheme="majorBidi" w:cstheme="majorBidi" w:hint="cs"/>
          <w:sz w:val="24"/>
          <w:szCs w:val="24"/>
          <w:rtl/>
        </w:rPr>
        <w:t>743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</w:t>
      </w:r>
      <w:r w:rsidR="0069596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abroad contributed to </w:t>
      </w:r>
      <w:r w:rsidR="00156FFE" w:rsidRPr="00156FFE">
        <w:rPr>
          <w:rFonts w:asciiTheme="majorBidi" w:hAnsiTheme="majorBidi" w:cstheme="majorBidi" w:hint="cs"/>
          <w:sz w:val="24"/>
          <w:szCs w:val="24"/>
          <w:rtl/>
        </w:rPr>
        <w:t>5.3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abroad reached </w:t>
      </w:r>
      <w:r w:rsidR="00156FF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20.2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while Other Foreign Investments abroad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(mainly currency and deposits)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reached </w:t>
      </w:r>
      <w:r w:rsidR="00156FF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67.9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Reserve Assets amounted to </w:t>
      </w:r>
      <w:r w:rsidR="00156FF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6.6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%. 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At sector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level, the external investments of </w:t>
      </w:r>
      <w:r w:rsidR="0006615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ban</w:t>
      </w:r>
      <w:r w:rsidR="00C81A8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k</w:t>
      </w:r>
      <w:r w:rsidR="00E658C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="0006615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represented a large share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external assets,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standing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7041BE" w:rsidRPr="007041B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70.5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external assets.</w:t>
      </w:r>
    </w:p>
    <w:p w:rsidR="00F93771" w:rsidRPr="00E23D7F" w:rsidRDefault="00F93771" w:rsidP="00FC7CEB">
      <w:pPr>
        <w:pStyle w:val="BodyText3"/>
        <w:spacing w:after="0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F93771" w:rsidRPr="00E23D7F" w:rsidRDefault="00F93771" w:rsidP="00FC7CE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total stocks of Foreign Liabilities in Palestine (Stocks of non-residents invested in Palestine) amounted to USD </w:t>
      </w:r>
      <w:r w:rsidR="00156FF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Pr="003B332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156FF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03</w:t>
      </w:r>
      <w:r w:rsidR="00C010E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in Palestine contributed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 </w:t>
      </w:r>
      <w:r w:rsidR="00156FF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52.</w:t>
      </w:r>
      <w:r w:rsidR="00D50007" w:rsidRPr="00D50007">
        <w:rPr>
          <w:rFonts w:asciiTheme="majorBidi" w:hAnsiTheme="majorBidi" w:cstheme="majorBidi" w:hint="cs"/>
          <w:sz w:val="24"/>
          <w:szCs w:val="24"/>
          <w:rtl/>
        </w:rPr>
        <w:t>5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in Palestine reached </w:t>
      </w:r>
      <w:r w:rsidR="00156FF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14.0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Other Investments in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loans and deposits from abroad)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amounted to </w:t>
      </w:r>
      <w:r w:rsidR="00156FF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33.5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%.  According to sectoral level, the foreign investments in bank</w:t>
      </w:r>
      <w:r w:rsidR="0006615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contributed a major value in the foreign liabilities, represented by </w:t>
      </w:r>
      <w:r w:rsidR="00156FF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36.</w:t>
      </w:r>
      <w:r w:rsidR="00C010E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foreign liabilities</w:t>
      </w:r>
      <w:r w:rsidR="0006615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on Palestinian economy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F93771" w:rsidRPr="00E23D7F" w:rsidRDefault="00F93771" w:rsidP="00FC7CE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EE227E" w:rsidRPr="006C20BF" w:rsidRDefault="00F93771" w:rsidP="00FC7CEB">
      <w:pPr>
        <w:pStyle w:val="BodyText3"/>
        <w:spacing w:after="0"/>
        <w:jc w:val="both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Gross External Debt on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different sectors of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Palestinian economy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reached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USD 1,</w:t>
      </w:r>
      <w:r w:rsidR="00A62E78" w:rsidRPr="00A62E78">
        <w:rPr>
          <w:rFonts w:asciiTheme="majorBidi" w:hAnsiTheme="majorBidi" w:cstheme="majorBidi" w:hint="cs"/>
          <w:sz w:val="24"/>
          <w:szCs w:val="24"/>
          <w:rtl/>
        </w:rPr>
        <w:t>731</w:t>
      </w:r>
      <w:r w:rsidRPr="008B4A3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million,  The debt on government sector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represented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A62E78" w:rsidRPr="00A62E78">
        <w:rPr>
          <w:rFonts w:asciiTheme="majorBidi" w:hAnsiTheme="majorBidi" w:cstheme="majorBidi" w:hint="cs"/>
          <w:sz w:val="24"/>
          <w:szCs w:val="24"/>
          <w:rtl/>
        </w:rPr>
        <w:t>60.0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while debt on banks sector reached </w:t>
      </w:r>
      <w:r w:rsidR="00A62E78" w:rsidRPr="00A62E78">
        <w:rPr>
          <w:rFonts w:asciiTheme="majorBidi" w:hAnsiTheme="majorBidi" w:cstheme="majorBidi" w:hint="cs"/>
          <w:sz w:val="24"/>
          <w:szCs w:val="24"/>
          <w:rtl/>
        </w:rPr>
        <w:t>35.0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and debt on other sectors (</w:t>
      </w:r>
      <w:r w:rsidR="00194427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Nonbank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financial</w:t>
      </w:r>
      <w:r w:rsidR="00194427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corporations,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non-financial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194427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corporations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NGOs and household</w:t>
      </w:r>
      <w:r w:rsidR="006C20B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sectors) amounted to </w:t>
      </w:r>
      <w:r w:rsidR="00A62E78" w:rsidRPr="00A62E78">
        <w:rPr>
          <w:rFonts w:asciiTheme="majorBidi" w:hAnsiTheme="majorBidi" w:cstheme="majorBidi" w:hint="cs"/>
          <w:sz w:val="24"/>
          <w:szCs w:val="24"/>
          <w:rtl/>
        </w:rPr>
        <w:t>2.0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</w:t>
      </w:r>
      <w:r w:rsidR="003E0EB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the lending between affiliated companies 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reached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 w:rsidR="00A62E78" w:rsidRPr="00A62E78">
        <w:rPr>
          <w:rFonts w:ascii="Times New Roman" w:hAnsi="Times New Roman" w:hint="cs"/>
          <w:sz w:val="24"/>
          <w:szCs w:val="24"/>
          <w:rtl/>
        </w:rPr>
        <w:t>3.0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>%.</w:t>
      </w:r>
    </w:p>
    <w:p w:rsidR="00F93771" w:rsidRPr="00E23D7F" w:rsidRDefault="00F93771" w:rsidP="00FC7CE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514827" w:rsidRDefault="00514827" w:rsidP="00FC7CE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(IIP) is a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accounting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sheet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that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record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 the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investments stocks for the residents in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rest of the world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(abroad)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 the name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(assets)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compares them to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investments stocks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owned by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residents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outside 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Palestine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name of (liabilities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514827" w:rsidRPr="00E23D7F" w:rsidRDefault="00514827" w:rsidP="00FC7CEB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514827" w:rsidRDefault="00514827" w:rsidP="00FC7CEB">
      <w:pPr>
        <w:pStyle w:val="BodyText3"/>
        <w:spacing w:after="0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 xml:space="preserve">The Balance of Payments Manual - fifth edition, issued by the International Monetary Fund in 1993, divides the assets and liabilities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in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to direct investment (investment by 10% and more in the non-resident capital), and portfolio investment (investment less than 10% in the non-resident capital as well as investment in bonds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other investments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It divides these other investments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into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 trade credit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loans, currency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deposits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any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other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assets or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liabilities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in addition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Reserve Assets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i.e.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held by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Central Banks/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Monetary Authorit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address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imbalances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balance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payments,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it is worth mentioning that the reserve assets are only included in the asset side. </w:t>
      </w:r>
    </w:p>
    <w:p w:rsidR="00514827" w:rsidRPr="00E23D7F" w:rsidRDefault="00514827" w:rsidP="00FC7CEB">
      <w:pPr>
        <w:pStyle w:val="BodyText3"/>
        <w:spacing w:after="0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:rsidR="00514827" w:rsidRDefault="00514827" w:rsidP="00514827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  <w:r w:rsidRPr="00E23D7F">
        <w:rPr>
          <w:rStyle w:val="hps"/>
          <w:rFonts w:asciiTheme="majorBidi" w:hAnsiTheme="majorBidi" w:cstheme="majorBidi"/>
          <w:bCs/>
          <w:iCs/>
          <w:szCs w:val="24"/>
        </w:rPr>
        <w:t>The External Debt is a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n accounting sheet </w:t>
      </w:r>
      <w:r>
        <w:rPr>
          <w:rFonts w:asciiTheme="majorBidi" w:hAnsiTheme="majorBidi" w:cstheme="majorBidi"/>
          <w:bCs/>
          <w:iCs/>
          <w:szCs w:val="24"/>
        </w:rPr>
        <w:t xml:space="preserve">that </w:t>
      </w:r>
      <w:r w:rsidRPr="00E23D7F">
        <w:rPr>
          <w:rFonts w:asciiTheme="majorBidi" w:hAnsiTheme="majorBidi" w:cstheme="majorBidi"/>
          <w:bCs/>
          <w:iCs/>
          <w:szCs w:val="24"/>
        </w:rPr>
        <w:t>records the debt stocks on Palestinian econom</w:t>
      </w:r>
      <w:r>
        <w:rPr>
          <w:rFonts w:asciiTheme="majorBidi" w:hAnsiTheme="majorBidi" w:cstheme="majorBidi"/>
          <w:bCs/>
          <w:iCs/>
          <w:szCs w:val="24"/>
        </w:rPr>
        <w:t>ic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sectors due to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</w:t>
      </w:r>
      <w:r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Cs w:val="24"/>
        </w:rPr>
        <w:t>These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include (loans from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</w:t>
      </w:r>
      <w:r>
        <w:rPr>
          <w:rFonts w:asciiTheme="majorBidi" w:hAnsiTheme="majorBidi" w:cstheme="majorBidi"/>
          <w:bCs/>
          <w:iCs/>
          <w:szCs w:val="24"/>
        </w:rPr>
        <w:t xml:space="preserve">s, </w:t>
      </w:r>
      <w:r w:rsidRPr="00E23D7F">
        <w:rPr>
          <w:rFonts w:asciiTheme="majorBidi" w:hAnsiTheme="majorBidi" w:cstheme="majorBidi"/>
          <w:bCs/>
          <w:iCs/>
          <w:szCs w:val="24"/>
        </w:rPr>
        <w:t>the</w:t>
      </w:r>
      <w:r>
        <w:rPr>
          <w:rFonts w:asciiTheme="majorBidi" w:hAnsiTheme="majorBidi" w:cstheme="majorBidi"/>
          <w:bCs/>
          <w:iCs/>
          <w:szCs w:val="24"/>
        </w:rPr>
        <w:t xml:space="preserve"> deposits of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Cs w:val="24"/>
        </w:rPr>
        <w:t xml:space="preserve">the </w:t>
      </w:r>
      <w:r w:rsidRPr="00E23D7F">
        <w:rPr>
          <w:rFonts w:asciiTheme="majorBidi" w:hAnsiTheme="majorBidi" w:cstheme="majorBidi"/>
          <w:bCs/>
          <w:iCs/>
          <w:szCs w:val="24"/>
        </w:rPr>
        <w:t>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 deposited in the banks sector in Palestine, the Palestinian bonds purchased by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residents, debt transactions between the non-resident enterprises and fellow enterprises in </w:t>
      </w:r>
      <w:r>
        <w:rPr>
          <w:rFonts w:asciiTheme="majorBidi" w:hAnsiTheme="majorBidi" w:cstheme="majorBidi"/>
          <w:bCs/>
          <w:iCs/>
          <w:szCs w:val="24"/>
        </w:rPr>
        <w:t>Palestine. They encompass as well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any other liabilities on Palestinian economy) the data of external debt have been extracted from the liabilities side in the international investment </w:t>
      </w:r>
      <w:r>
        <w:rPr>
          <w:rFonts w:asciiTheme="majorBidi" w:hAnsiTheme="majorBidi" w:cstheme="majorBidi"/>
          <w:bCs/>
          <w:iCs/>
          <w:szCs w:val="24"/>
        </w:rPr>
        <w:t xml:space="preserve">position matrix (debt items). 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Preparing, classifying and publishing of the data </w:t>
      </w:r>
      <w:r>
        <w:rPr>
          <w:rFonts w:asciiTheme="majorBidi" w:hAnsiTheme="majorBidi" w:cstheme="majorBidi"/>
          <w:bCs/>
          <w:iCs/>
          <w:szCs w:val="24"/>
        </w:rPr>
        <w:t xml:space="preserve">are 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based on (External Debt Statistics Manual) issued by IMF in 2003, this manual is harmonized with </w:t>
      </w:r>
      <w:r>
        <w:rPr>
          <w:rFonts w:asciiTheme="majorBidi" w:hAnsiTheme="majorBidi" w:cstheme="majorBidi"/>
          <w:bCs/>
          <w:iCs/>
          <w:szCs w:val="24"/>
        </w:rPr>
        <w:t>the fifth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edition of Balance of Payments Man</w:t>
      </w:r>
      <w:bookmarkStart w:id="0" w:name="_GoBack"/>
      <w:bookmarkEnd w:id="0"/>
      <w:r w:rsidRPr="00E23D7F">
        <w:rPr>
          <w:rFonts w:asciiTheme="majorBidi" w:hAnsiTheme="majorBidi" w:cstheme="majorBidi"/>
          <w:bCs/>
          <w:iCs/>
          <w:szCs w:val="24"/>
        </w:rPr>
        <w:t>ual</w:t>
      </w:r>
      <w:r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 </w:t>
      </w:r>
    </w:p>
    <w:p w:rsidR="00F93771" w:rsidRPr="00FC7CEB" w:rsidRDefault="00F93771" w:rsidP="00F93771">
      <w:pPr>
        <w:pStyle w:val="BodyText"/>
        <w:bidi w:val="0"/>
        <w:jc w:val="both"/>
        <w:rPr>
          <w:rFonts w:asciiTheme="majorBidi" w:hAnsiTheme="majorBidi" w:cstheme="majorBidi"/>
          <w:bCs/>
          <w:iCs/>
          <w:sz w:val="16"/>
          <w:szCs w:val="16"/>
        </w:rPr>
      </w:pPr>
    </w:p>
    <w:p w:rsidR="00F93771" w:rsidRDefault="00F93771" w:rsidP="00F93771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</w:p>
    <w:p w:rsidR="00F93771" w:rsidRDefault="00F93771" w:rsidP="00F93771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</w:p>
    <w:p w:rsidR="00F93771" w:rsidRDefault="00F93771" w:rsidP="00F93771">
      <w:pPr>
        <w:spacing w:before="120" w:after="120" w:line="276" w:lineRule="auto"/>
        <w:jc w:val="right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 w:val="0"/>
          <w:bCs/>
          <w:i w:val="0"/>
          <w:iCs/>
        </w:rPr>
        <w:br w:type="page"/>
      </w:r>
    </w:p>
    <w:p w:rsidR="00FC7CEB" w:rsidRDefault="00FC7CEB" w:rsidP="00F87F86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FC7CEB" w:rsidRDefault="00F93771" w:rsidP="00F87F86">
      <w:pPr>
        <w:contextualSpacing/>
        <w:jc w:val="center"/>
        <w:rPr>
          <w:rFonts w:asciiTheme="majorBidi" w:hAnsiTheme="majorBidi" w:cstheme="majorBidi"/>
          <w:i w:val="0"/>
          <w:iCs/>
        </w:rPr>
      </w:pPr>
      <w:r w:rsidRPr="00FC7CEB">
        <w:rPr>
          <w:rFonts w:asciiTheme="majorBidi" w:hAnsiTheme="majorBidi" w:cstheme="majorBidi"/>
          <w:i w:val="0"/>
          <w:iCs/>
        </w:rPr>
        <w:t xml:space="preserve">Table 1: International Investment Position (IIP) stock by Economic Sectors For Palestine, </w:t>
      </w:r>
    </w:p>
    <w:p w:rsidR="00F93771" w:rsidRPr="00FC7CEB" w:rsidRDefault="00F93771" w:rsidP="00F87F86">
      <w:pPr>
        <w:contextualSpacing/>
        <w:jc w:val="center"/>
        <w:rPr>
          <w:rFonts w:asciiTheme="majorBidi" w:hAnsiTheme="majorBidi" w:cstheme="majorBidi"/>
          <w:i w:val="0"/>
          <w:iCs/>
        </w:rPr>
      </w:pPr>
      <w:r w:rsidRPr="00FC7CEB">
        <w:rPr>
          <w:rFonts w:asciiTheme="majorBidi" w:hAnsiTheme="majorBidi" w:cstheme="majorBidi"/>
          <w:i w:val="0"/>
          <w:iCs/>
        </w:rPr>
        <w:t>at the end of 201</w:t>
      </w:r>
      <w:r w:rsidR="00F87F86" w:rsidRPr="00FC7CEB">
        <w:rPr>
          <w:rFonts w:asciiTheme="majorBidi" w:hAnsiTheme="majorBidi" w:cstheme="majorBidi"/>
          <w:i w:val="0"/>
          <w:iCs/>
        </w:rPr>
        <w:t>7</w:t>
      </w:r>
    </w:p>
    <w:p w:rsidR="00F93771" w:rsidRDefault="00F93771" w:rsidP="00F93771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F93771" w:rsidRPr="00FC7CEB" w:rsidRDefault="00F93771" w:rsidP="00FC7CEB">
      <w:pPr>
        <w:ind w:right="3631"/>
        <w:contextualSpacing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FC7CEB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 Value in million USD</w:t>
      </w:r>
    </w:p>
    <w:tbl>
      <w:tblPr>
        <w:bidiVisual/>
        <w:tblW w:w="10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"/>
        <w:gridCol w:w="1038"/>
        <w:gridCol w:w="972"/>
        <w:gridCol w:w="1438"/>
        <w:gridCol w:w="1079"/>
        <w:gridCol w:w="11"/>
        <w:gridCol w:w="1501"/>
        <w:gridCol w:w="11"/>
        <w:gridCol w:w="1333"/>
        <w:gridCol w:w="3524"/>
      </w:tblGrid>
      <w:tr w:rsidR="00D67D96" w:rsidRPr="00FC7CEB" w:rsidTr="003236BA">
        <w:trPr>
          <w:trHeight w:val="284"/>
          <w:jc w:val="center"/>
        </w:trPr>
        <w:tc>
          <w:tcPr>
            <w:tcW w:w="483" w:type="pct"/>
            <w:gridSpan w:val="2"/>
            <w:vMerge w:val="restart"/>
            <w:vAlign w:val="center"/>
          </w:tcPr>
          <w:p w:rsidR="00D67D96" w:rsidRPr="00FC7CEB" w:rsidRDefault="00AC67A9" w:rsidP="00E74098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>TOTAL</w:t>
            </w:r>
          </w:p>
        </w:tc>
        <w:tc>
          <w:tcPr>
            <w:tcW w:w="1103" w:type="pct"/>
            <w:gridSpan w:val="2"/>
            <w:vAlign w:val="center"/>
          </w:tcPr>
          <w:p w:rsidR="00D67D96" w:rsidRPr="00FC7CEB" w:rsidRDefault="00D67D96" w:rsidP="003236BA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>Other Sectors</w:t>
            </w:r>
          </w:p>
        </w:tc>
        <w:tc>
          <w:tcPr>
            <w:tcW w:w="494" w:type="pct"/>
            <w:vMerge w:val="restart"/>
            <w:vAlign w:val="center"/>
          </w:tcPr>
          <w:p w:rsidR="00D67D96" w:rsidRPr="00FC7CEB" w:rsidRDefault="00D67D96" w:rsidP="003236BA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>Banks Sector</w:t>
            </w:r>
          </w:p>
        </w:tc>
        <w:tc>
          <w:tcPr>
            <w:tcW w:w="692" w:type="pct"/>
            <w:gridSpan w:val="2"/>
            <w:vMerge w:val="restart"/>
            <w:vAlign w:val="center"/>
          </w:tcPr>
          <w:p w:rsidR="00D67D96" w:rsidRPr="00FC7CEB" w:rsidRDefault="00D67D96" w:rsidP="003236BA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>Government Sector</w:t>
            </w:r>
          </w:p>
        </w:tc>
        <w:tc>
          <w:tcPr>
            <w:tcW w:w="615" w:type="pct"/>
            <w:gridSpan w:val="2"/>
            <w:vMerge w:val="restart"/>
            <w:vAlign w:val="center"/>
          </w:tcPr>
          <w:p w:rsidR="00D67D96" w:rsidRPr="00FC7CEB" w:rsidRDefault="00D67D96" w:rsidP="003236BA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>Monetary Authorities (PMA)</w:t>
            </w:r>
          </w:p>
        </w:tc>
        <w:tc>
          <w:tcPr>
            <w:tcW w:w="1613" w:type="pct"/>
            <w:vMerge w:val="restart"/>
          </w:tcPr>
          <w:p w:rsidR="00D67D96" w:rsidRPr="00FC7CEB" w:rsidRDefault="004652B1" w:rsidP="003236BA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>
              <w:rPr>
                <w:rFonts w:asciiTheme="majorBidi" w:hAnsiTheme="majorBidi" w:cstheme="majorBidi"/>
                <w:i w:val="0"/>
                <w:iCs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margin-left:3.35pt;margin-top:2.05pt;width:166.9pt;height:86.25pt;z-index:251665408;mso-position-horizontal-relative:text;mso-position-vertical-relative:text" o:connectortype="straight">
                  <w10:wrap anchorx="page"/>
                </v:shape>
              </w:pict>
            </w:r>
            <w:r w:rsidR="00D67D96" w:rsidRPr="00FC7CEB">
              <w:rPr>
                <w:rFonts w:asciiTheme="majorBidi" w:hAnsiTheme="majorBidi" w:cstheme="majorBidi"/>
                <w:i w:val="0"/>
                <w:iCs/>
              </w:rPr>
              <w:t xml:space="preserve">      Economic Sector</w:t>
            </w:r>
            <w:r w:rsidR="00D67D96" w:rsidRPr="00FC7CEB">
              <w:rPr>
                <w:rFonts w:asciiTheme="majorBidi" w:hAnsiTheme="majorBidi" w:cstheme="majorBidi"/>
                <w:i w:val="0"/>
                <w:iCs/>
                <w:rtl/>
              </w:rPr>
              <w:t xml:space="preserve">   </w:t>
            </w:r>
          </w:p>
          <w:p w:rsidR="00D67D96" w:rsidRPr="00FC7CEB" w:rsidRDefault="00D67D96" w:rsidP="003236BA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67D96" w:rsidRPr="00FC7CEB" w:rsidRDefault="00D67D96" w:rsidP="003236BA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67D96" w:rsidRPr="00FC7CEB" w:rsidRDefault="00D67D96" w:rsidP="003236BA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67D96" w:rsidRPr="00FC7CEB" w:rsidRDefault="00D67D96" w:rsidP="003236BA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 xml:space="preserve">               </w:t>
            </w:r>
          </w:p>
          <w:p w:rsidR="00D67D96" w:rsidRPr="00FC7CEB" w:rsidRDefault="00D67D96" w:rsidP="003236BA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</w:rPr>
            </w:pPr>
          </w:p>
          <w:p w:rsidR="00D67D96" w:rsidRPr="00FC7CEB" w:rsidRDefault="00D67D96" w:rsidP="00194427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 xml:space="preserve">      Investments Stocks by </w:t>
            </w:r>
          </w:p>
          <w:p w:rsidR="00D67D96" w:rsidRPr="00FC7CEB" w:rsidRDefault="00D67D96" w:rsidP="00194427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 xml:space="preserve">      Type of Investment</w:t>
            </w:r>
          </w:p>
        </w:tc>
      </w:tr>
      <w:tr w:rsidR="00D67D96" w:rsidRPr="00FC7CEB" w:rsidTr="003236BA">
        <w:trPr>
          <w:trHeight w:val="1492"/>
          <w:jc w:val="center"/>
        </w:trPr>
        <w:tc>
          <w:tcPr>
            <w:tcW w:w="483" w:type="pct"/>
            <w:gridSpan w:val="2"/>
            <w:vMerge/>
            <w:vAlign w:val="center"/>
          </w:tcPr>
          <w:p w:rsidR="00D67D96" w:rsidRPr="00FC7CEB" w:rsidRDefault="00D67D96" w:rsidP="003236BA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</w:p>
        </w:tc>
        <w:tc>
          <w:tcPr>
            <w:tcW w:w="445" w:type="pct"/>
            <w:vAlign w:val="center"/>
          </w:tcPr>
          <w:p w:rsidR="00D67D96" w:rsidRPr="00FC7CEB" w:rsidRDefault="00D67D96" w:rsidP="003236BA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>House- Holds Sector</w:t>
            </w:r>
          </w:p>
        </w:tc>
        <w:tc>
          <w:tcPr>
            <w:tcW w:w="658" w:type="pct"/>
            <w:vAlign w:val="center"/>
          </w:tcPr>
          <w:p w:rsidR="00D67D96" w:rsidRPr="00FC7CEB" w:rsidRDefault="00E313A3" w:rsidP="00194427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>Nonbank Financial C</w:t>
            </w:r>
            <w:r w:rsidR="00D67D96" w:rsidRPr="00FC7CEB">
              <w:rPr>
                <w:rFonts w:asciiTheme="majorBidi" w:hAnsiTheme="majorBidi" w:cstheme="majorBidi"/>
                <w:i w:val="0"/>
                <w:iCs/>
              </w:rPr>
              <w:t>orporations,</w:t>
            </w:r>
            <w:r w:rsidRPr="00FC7CEB">
              <w:rPr>
                <w:rFonts w:asciiTheme="majorBidi" w:hAnsiTheme="majorBidi" w:cstheme="majorBidi"/>
                <w:i w:val="0"/>
                <w:iCs/>
              </w:rPr>
              <w:t xml:space="preserve"> Non-financial C</w:t>
            </w:r>
            <w:r w:rsidR="00FE0415" w:rsidRPr="00FC7CEB">
              <w:rPr>
                <w:rFonts w:asciiTheme="majorBidi" w:hAnsiTheme="majorBidi" w:cstheme="majorBidi"/>
                <w:i w:val="0"/>
                <w:iCs/>
              </w:rPr>
              <w:t>orporations, NGOs S</w:t>
            </w:r>
            <w:r w:rsidR="00D67D96" w:rsidRPr="00FC7CEB">
              <w:rPr>
                <w:rFonts w:asciiTheme="majorBidi" w:hAnsiTheme="majorBidi" w:cstheme="majorBidi"/>
                <w:i w:val="0"/>
                <w:iCs/>
              </w:rPr>
              <w:t>ector</w:t>
            </w:r>
          </w:p>
        </w:tc>
        <w:tc>
          <w:tcPr>
            <w:tcW w:w="494" w:type="pct"/>
            <w:vMerge/>
          </w:tcPr>
          <w:p w:rsidR="00D67D96" w:rsidRPr="00FC7CEB" w:rsidRDefault="00D67D96" w:rsidP="003236BA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692" w:type="pct"/>
            <w:gridSpan w:val="2"/>
            <w:vMerge/>
          </w:tcPr>
          <w:p w:rsidR="00D67D96" w:rsidRPr="00FC7CEB" w:rsidRDefault="00D67D96" w:rsidP="003236BA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615" w:type="pct"/>
            <w:gridSpan w:val="2"/>
            <w:vMerge/>
            <w:vAlign w:val="center"/>
          </w:tcPr>
          <w:p w:rsidR="00D67D96" w:rsidRPr="00FC7CEB" w:rsidRDefault="00D67D96" w:rsidP="003236BA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  <w:tc>
          <w:tcPr>
            <w:tcW w:w="1613" w:type="pct"/>
            <w:vMerge/>
          </w:tcPr>
          <w:p w:rsidR="00D67D96" w:rsidRPr="00FC7CEB" w:rsidRDefault="00D67D96" w:rsidP="003236B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rtl/>
              </w:rPr>
            </w:pPr>
          </w:p>
        </w:tc>
      </w:tr>
      <w:tr w:rsidR="00C010EC" w:rsidRPr="00FC7CEB" w:rsidTr="00CE2347">
        <w:trPr>
          <w:gridBefore w:val="1"/>
          <w:wBefore w:w="8" w:type="pct"/>
          <w:trHeight w:val="284"/>
          <w:jc w:val="center"/>
        </w:trPr>
        <w:tc>
          <w:tcPr>
            <w:tcW w:w="475" w:type="pct"/>
            <w:vAlign w:val="bottom"/>
          </w:tcPr>
          <w:p w:rsidR="00C010EC" w:rsidRPr="00FC7CEB" w:rsidRDefault="00C010EC" w:rsidP="00C010EC">
            <w:pPr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  <w:color w:val="000000"/>
              </w:rPr>
              <w:t>1,706</w:t>
            </w:r>
          </w:p>
        </w:tc>
        <w:tc>
          <w:tcPr>
            <w:tcW w:w="44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  <w:color w:val="000000"/>
              </w:rPr>
              <w:t>-939</w:t>
            </w:r>
          </w:p>
        </w:tc>
        <w:tc>
          <w:tcPr>
            <w:tcW w:w="658" w:type="pct"/>
            <w:vAlign w:val="bottom"/>
          </w:tcPr>
          <w:p w:rsidR="00C010EC" w:rsidRPr="00FC7CEB" w:rsidRDefault="00C010EC" w:rsidP="00C010EC">
            <w:pPr>
              <w:jc w:val="both"/>
              <w:rPr>
                <w:rFonts w:asciiTheme="majorBidi" w:hAnsiTheme="majorBidi" w:cstheme="majorBidi"/>
                <w:b w:val="0"/>
                <w:b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187-</w:t>
            </w:r>
          </w:p>
        </w:tc>
        <w:tc>
          <w:tcPr>
            <w:tcW w:w="499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  <w:color w:val="000000"/>
              </w:rPr>
              <w:t>2,902</w:t>
            </w:r>
          </w:p>
        </w:tc>
        <w:tc>
          <w:tcPr>
            <w:tcW w:w="692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  <w:color w:val="000000"/>
              </w:rPr>
              <w:t>-957</w:t>
            </w:r>
          </w:p>
        </w:tc>
        <w:tc>
          <w:tcPr>
            <w:tcW w:w="610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  <w:color w:val="000000"/>
              </w:rPr>
              <w:t>887</w:t>
            </w:r>
          </w:p>
        </w:tc>
        <w:tc>
          <w:tcPr>
            <w:tcW w:w="1613" w:type="pct"/>
            <w:vAlign w:val="center"/>
          </w:tcPr>
          <w:p w:rsidR="00C010EC" w:rsidRPr="00FC7CEB" w:rsidRDefault="00C010EC" w:rsidP="003236BA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>International Investment Position (net)*</w:t>
            </w:r>
          </w:p>
        </w:tc>
      </w:tr>
      <w:tr w:rsidR="00C010EC" w:rsidRPr="00FC7CEB" w:rsidTr="00CE2347">
        <w:trPr>
          <w:gridBefore w:val="1"/>
          <w:wBefore w:w="8" w:type="pct"/>
          <w:trHeight w:val="284"/>
          <w:jc w:val="center"/>
        </w:trPr>
        <w:tc>
          <w:tcPr>
            <w:tcW w:w="47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  <w:color w:val="000000"/>
              </w:rPr>
              <w:t>6,743</w:t>
            </w:r>
          </w:p>
        </w:tc>
        <w:tc>
          <w:tcPr>
            <w:tcW w:w="44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  <w:color w:val="000000"/>
              </w:rPr>
              <w:t>39</w:t>
            </w:r>
          </w:p>
        </w:tc>
        <w:tc>
          <w:tcPr>
            <w:tcW w:w="658" w:type="pct"/>
            <w:vAlign w:val="bottom"/>
          </w:tcPr>
          <w:p w:rsidR="00C010EC" w:rsidRPr="00FC7CEB" w:rsidRDefault="00C010EC" w:rsidP="00C010EC">
            <w:pPr>
              <w:jc w:val="both"/>
              <w:rPr>
                <w:rFonts w:asciiTheme="majorBidi" w:hAnsiTheme="majorBidi" w:cstheme="majorBidi"/>
                <w:b w:val="0"/>
                <w:b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980</w:t>
            </w:r>
          </w:p>
        </w:tc>
        <w:tc>
          <w:tcPr>
            <w:tcW w:w="499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  <w:color w:val="000000"/>
              </w:rPr>
              <w:t>4,752</w:t>
            </w:r>
          </w:p>
        </w:tc>
        <w:tc>
          <w:tcPr>
            <w:tcW w:w="692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  <w:color w:val="000000"/>
              </w:rPr>
              <w:t>85</w:t>
            </w:r>
          </w:p>
        </w:tc>
        <w:tc>
          <w:tcPr>
            <w:tcW w:w="610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  <w:color w:val="000000"/>
              </w:rPr>
              <w:t>887</w:t>
            </w:r>
          </w:p>
        </w:tc>
        <w:tc>
          <w:tcPr>
            <w:tcW w:w="1613" w:type="pct"/>
            <w:vAlign w:val="center"/>
          </w:tcPr>
          <w:p w:rsidR="00C010EC" w:rsidRPr="00FC7CEB" w:rsidRDefault="00C010EC" w:rsidP="003236BA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 xml:space="preserve">Total External Assets </w:t>
            </w:r>
          </w:p>
        </w:tc>
      </w:tr>
      <w:tr w:rsidR="00C010EC" w:rsidRPr="00FC7CEB" w:rsidTr="00CE2347">
        <w:trPr>
          <w:gridBefore w:val="1"/>
          <w:wBefore w:w="8" w:type="pct"/>
          <w:trHeight w:val="284"/>
          <w:jc w:val="center"/>
        </w:trPr>
        <w:tc>
          <w:tcPr>
            <w:tcW w:w="47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356</w:t>
            </w:r>
          </w:p>
        </w:tc>
        <w:tc>
          <w:tcPr>
            <w:tcW w:w="44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11</w:t>
            </w:r>
          </w:p>
        </w:tc>
        <w:tc>
          <w:tcPr>
            <w:tcW w:w="658" w:type="pct"/>
            <w:vAlign w:val="bottom"/>
          </w:tcPr>
          <w:p w:rsidR="00C010EC" w:rsidRPr="00FC7CEB" w:rsidRDefault="00C010EC" w:rsidP="00C010EC">
            <w:pPr>
              <w:jc w:val="both"/>
              <w:rPr>
                <w:rFonts w:asciiTheme="majorBidi" w:hAnsiTheme="majorBidi" w:cstheme="majorBidi"/>
                <w:b w:val="0"/>
                <w:b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345</w:t>
            </w:r>
          </w:p>
        </w:tc>
        <w:tc>
          <w:tcPr>
            <w:tcW w:w="499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92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10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613" w:type="pct"/>
            <w:vAlign w:val="center"/>
          </w:tcPr>
          <w:p w:rsidR="00C010EC" w:rsidRPr="00FC7CEB" w:rsidRDefault="00C010EC" w:rsidP="003236B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Direct Investment Abroad</w:t>
            </w:r>
          </w:p>
        </w:tc>
      </w:tr>
      <w:tr w:rsidR="00C010EC" w:rsidRPr="00FC7CEB" w:rsidTr="00CE2347">
        <w:trPr>
          <w:gridBefore w:val="1"/>
          <w:wBefore w:w="8" w:type="pct"/>
          <w:trHeight w:val="284"/>
          <w:jc w:val="center"/>
        </w:trPr>
        <w:tc>
          <w:tcPr>
            <w:tcW w:w="47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1,360</w:t>
            </w:r>
          </w:p>
        </w:tc>
        <w:tc>
          <w:tcPr>
            <w:tcW w:w="44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58" w:type="pct"/>
            <w:vAlign w:val="bottom"/>
          </w:tcPr>
          <w:p w:rsidR="00C010EC" w:rsidRPr="00FC7CEB" w:rsidRDefault="00C010EC" w:rsidP="00C010E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434</w:t>
            </w:r>
          </w:p>
        </w:tc>
        <w:tc>
          <w:tcPr>
            <w:tcW w:w="499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836</w:t>
            </w:r>
          </w:p>
        </w:tc>
        <w:tc>
          <w:tcPr>
            <w:tcW w:w="692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10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90</w:t>
            </w:r>
          </w:p>
        </w:tc>
        <w:tc>
          <w:tcPr>
            <w:tcW w:w="1613" w:type="pct"/>
            <w:vAlign w:val="center"/>
          </w:tcPr>
          <w:p w:rsidR="00C010EC" w:rsidRPr="00FC7CEB" w:rsidRDefault="00C010EC" w:rsidP="003236B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Portfolio Investments Abroad</w:t>
            </w:r>
          </w:p>
        </w:tc>
      </w:tr>
      <w:tr w:rsidR="00C010EC" w:rsidRPr="00FC7CEB" w:rsidTr="00CE2347">
        <w:trPr>
          <w:gridBefore w:val="1"/>
          <w:wBefore w:w="8" w:type="pct"/>
          <w:trHeight w:val="284"/>
          <w:jc w:val="center"/>
        </w:trPr>
        <w:tc>
          <w:tcPr>
            <w:tcW w:w="47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4,581</w:t>
            </w:r>
          </w:p>
        </w:tc>
        <w:tc>
          <w:tcPr>
            <w:tcW w:w="44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28</w:t>
            </w:r>
          </w:p>
        </w:tc>
        <w:tc>
          <w:tcPr>
            <w:tcW w:w="658" w:type="pct"/>
            <w:vAlign w:val="bottom"/>
          </w:tcPr>
          <w:p w:rsidR="00C010EC" w:rsidRPr="00FC7CEB" w:rsidRDefault="00C010EC" w:rsidP="00C010E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201</w:t>
            </w:r>
          </w:p>
        </w:tc>
        <w:tc>
          <w:tcPr>
            <w:tcW w:w="499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3,916</w:t>
            </w:r>
          </w:p>
        </w:tc>
        <w:tc>
          <w:tcPr>
            <w:tcW w:w="692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85</w:t>
            </w:r>
          </w:p>
        </w:tc>
        <w:tc>
          <w:tcPr>
            <w:tcW w:w="610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351</w:t>
            </w:r>
          </w:p>
        </w:tc>
        <w:tc>
          <w:tcPr>
            <w:tcW w:w="1613" w:type="pct"/>
            <w:vAlign w:val="center"/>
          </w:tcPr>
          <w:p w:rsidR="00C010EC" w:rsidRPr="00FC7CEB" w:rsidRDefault="00C010EC" w:rsidP="003236B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Other Investments Abroad</w:t>
            </w:r>
          </w:p>
        </w:tc>
      </w:tr>
      <w:tr w:rsidR="00C010EC" w:rsidRPr="00FC7CEB" w:rsidTr="00CE2347">
        <w:trPr>
          <w:gridBefore w:val="1"/>
          <w:wBefore w:w="8" w:type="pct"/>
          <w:trHeight w:val="284"/>
          <w:jc w:val="center"/>
        </w:trPr>
        <w:tc>
          <w:tcPr>
            <w:tcW w:w="47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4,252</w:t>
            </w:r>
          </w:p>
        </w:tc>
        <w:tc>
          <w:tcPr>
            <w:tcW w:w="44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28</w:t>
            </w:r>
          </w:p>
        </w:tc>
        <w:tc>
          <w:tcPr>
            <w:tcW w:w="658" w:type="pct"/>
            <w:vAlign w:val="bottom"/>
          </w:tcPr>
          <w:p w:rsidR="00C010EC" w:rsidRPr="00FC7CEB" w:rsidRDefault="00C010EC" w:rsidP="00C010E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37</w:t>
            </w:r>
          </w:p>
        </w:tc>
        <w:tc>
          <w:tcPr>
            <w:tcW w:w="499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3,836</w:t>
            </w:r>
          </w:p>
        </w:tc>
        <w:tc>
          <w:tcPr>
            <w:tcW w:w="692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10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351</w:t>
            </w:r>
          </w:p>
        </w:tc>
        <w:tc>
          <w:tcPr>
            <w:tcW w:w="1613" w:type="pct"/>
            <w:vAlign w:val="center"/>
          </w:tcPr>
          <w:p w:rsidR="00C010EC" w:rsidRPr="00FC7CEB" w:rsidRDefault="00C010EC" w:rsidP="003236B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Of which: currency and deposits**</w:t>
            </w:r>
          </w:p>
        </w:tc>
      </w:tr>
      <w:tr w:rsidR="00C010EC" w:rsidRPr="00FC7CEB" w:rsidTr="00CE2347">
        <w:trPr>
          <w:gridBefore w:val="1"/>
          <w:wBefore w:w="8" w:type="pct"/>
          <w:trHeight w:val="284"/>
          <w:jc w:val="center"/>
        </w:trPr>
        <w:tc>
          <w:tcPr>
            <w:tcW w:w="47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446</w:t>
            </w:r>
          </w:p>
        </w:tc>
        <w:tc>
          <w:tcPr>
            <w:tcW w:w="44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58" w:type="pct"/>
            <w:vAlign w:val="bottom"/>
          </w:tcPr>
          <w:p w:rsidR="00C010EC" w:rsidRPr="00FC7CEB" w:rsidRDefault="00C010EC" w:rsidP="00C010E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499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92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10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446</w:t>
            </w:r>
          </w:p>
        </w:tc>
        <w:tc>
          <w:tcPr>
            <w:tcW w:w="1613" w:type="pct"/>
            <w:vAlign w:val="center"/>
          </w:tcPr>
          <w:p w:rsidR="00C010EC" w:rsidRPr="00FC7CEB" w:rsidRDefault="00C010EC" w:rsidP="003236B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Reserve Assets</w:t>
            </w:r>
          </w:p>
        </w:tc>
      </w:tr>
      <w:tr w:rsidR="00C010EC" w:rsidRPr="00FC7CEB" w:rsidTr="00CE2347">
        <w:trPr>
          <w:gridBefore w:val="1"/>
          <w:wBefore w:w="8" w:type="pct"/>
          <w:trHeight w:val="284"/>
          <w:jc w:val="center"/>
        </w:trPr>
        <w:tc>
          <w:tcPr>
            <w:tcW w:w="475" w:type="pct"/>
            <w:vAlign w:val="bottom"/>
          </w:tcPr>
          <w:p w:rsidR="00C010EC" w:rsidRPr="00FC7CEB" w:rsidRDefault="00C010EC" w:rsidP="00C010EC">
            <w:pPr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  <w:color w:val="000000"/>
              </w:rPr>
              <w:t>5,037</w:t>
            </w:r>
          </w:p>
        </w:tc>
        <w:tc>
          <w:tcPr>
            <w:tcW w:w="44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  <w:color w:val="000000"/>
              </w:rPr>
              <w:t>978</w:t>
            </w:r>
          </w:p>
        </w:tc>
        <w:tc>
          <w:tcPr>
            <w:tcW w:w="658" w:type="pct"/>
            <w:vAlign w:val="bottom"/>
          </w:tcPr>
          <w:p w:rsidR="00C010EC" w:rsidRPr="00FC7CEB" w:rsidRDefault="00C010EC" w:rsidP="00C010EC">
            <w:pPr>
              <w:jc w:val="both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  <w:color w:val="000000"/>
              </w:rPr>
              <w:t>1,167</w:t>
            </w:r>
          </w:p>
        </w:tc>
        <w:tc>
          <w:tcPr>
            <w:tcW w:w="499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  <w:color w:val="000000"/>
              </w:rPr>
              <w:t>1,850</w:t>
            </w:r>
          </w:p>
        </w:tc>
        <w:tc>
          <w:tcPr>
            <w:tcW w:w="692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  <w:color w:val="000000"/>
              </w:rPr>
              <w:t>1,042</w:t>
            </w:r>
          </w:p>
        </w:tc>
        <w:tc>
          <w:tcPr>
            <w:tcW w:w="610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  <w:color w:val="000000"/>
              </w:rPr>
              <w:t>0</w:t>
            </w:r>
          </w:p>
        </w:tc>
        <w:tc>
          <w:tcPr>
            <w:tcW w:w="1613" w:type="pct"/>
            <w:vAlign w:val="center"/>
          </w:tcPr>
          <w:p w:rsidR="00C010EC" w:rsidRPr="00FC7CEB" w:rsidRDefault="00C010EC" w:rsidP="003236BA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 xml:space="preserve">Total Foreign Liabilities </w:t>
            </w:r>
          </w:p>
        </w:tc>
      </w:tr>
      <w:tr w:rsidR="00C010EC" w:rsidRPr="00FC7CEB" w:rsidTr="00CE2347">
        <w:trPr>
          <w:gridBefore w:val="1"/>
          <w:wBefore w:w="8" w:type="pct"/>
          <w:trHeight w:val="284"/>
          <w:jc w:val="center"/>
        </w:trPr>
        <w:tc>
          <w:tcPr>
            <w:tcW w:w="475" w:type="pct"/>
            <w:vAlign w:val="bottom"/>
          </w:tcPr>
          <w:p w:rsidR="00C010EC" w:rsidRPr="00FC7CEB" w:rsidRDefault="00C010EC" w:rsidP="00C010EC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2,647</w:t>
            </w:r>
          </w:p>
        </w:tc>
        <w:tc>
          <w:tcPr>
            <w:tcW w:w="44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978</w:t>
            </w:r>
          </w:p>
        </w:tc>
        <w:tc>
          <w:tcPr>
            <w:tcW w:w="658" w:type="pct"/>
            <w:vAlign w:val="bottom"/>
          </w:tcPr>
          <w:p w:rsidR="00C010EC" w:rsidRPr="00FC7CEB" w:rsidRDefault="00C010EC" w:rsidP="00C010E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732</w:t>
            </w:r>
          </w:p>
        </w:tc>
        <w:tc>
          <w:tcPr>
            <w:tcW w:w="499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937</w:t>
            </w:r>
          </w:p>
        </w:tc>
        <w:tc>
          <w:tcPr>
            <w:tcW w:w="692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10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613" w:type="pct"/>
            <w:vAlign w:val="center"/>
          </w:tcPr>
          <w:p w:rsidR="00C010EC" w:rsidRPr="00FC7CEB" w:rsidRDefault="00C010EC" w:rsidP="003236B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Direct Investment in Palestine</w:t>
            </w:r>
          </w:p>
        </w:tc>
      </w:tr>
      <w:tr w:rsidR="00C010EC" w:rsidRPr="00FC7CEB" w:rsidTr="00CE2347">
        <w:trPr>
          <w:gridBefore w:val="1"/>
          <w:wBefore w:w="8" w:type="pct"/>
          <w:trHeight w:val="284"/>
          <w:jc w:val="center"/>
        </w:trPr>
        <w:tc>
          <w:tcPr>
            <w:tcW w:w="47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703</w:t>
            </w:r>
          </w:p>
        </w:tc>
        <w:tc>
          <w:tcPr>
            <w:tcW w:w="44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58" w:type="pct"/>
            <w:vAlign w:val="bottom"/>
          </w:tcPr>
          <w:p w:rsidR="00C010EC" w:rsidRPr="00FC7CEB" w:rsidRDefault="00C010EC" w:rsidP="00C010E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393</w:t>
            </w:r>
          </w:p>
        </w:tc>
        <w:tc>
          <w:tcPr>
            <w:tcW w:w="499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310</w:t>
            </w:r>
          </w:p>
        </w:tc>
        <w:tc>
          <w:tcPr>
            <w:tcW w:w="692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10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613" w:type="pct"/>
            <w:vAlign w:val="center"/>
          </w:tcPr>
          <w:p w:rsidR="00C010EC" w:rsidRPr="00FC7CEB" w:rsidRDefault="00C010EC" w:rsidP="003236B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Portfolio Investments in Palestine</w:t>
            </w:r>
          </w:p>
        </w:tc>
      </w:tr>
      <w:tr w:rsidR="00C010EC" w:rsidRPr="00FC7CEB" w:rsidTr="00CE2347">
        <w:trPr>
          <w:gridBefore w:val="1"/>
          <w:wBefore w:w="8" w:type="pct"/>
          <w:trHeight w:val="284"/>
          <w:jc w:val="center"/>
        </w:trPr>
        <w:tc>
          <w:tcPr>
            <w:tcW w:w="47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1,687</w:t>
            </w:r>
          </w:p>
        </w:tc>
        <w:tc>
          <w:tcPr>
            <w:tcW w:w="44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58" w:type="pct"/>
            <w:vAlign w:val="bottom"/>
          </w:tcPr>
          <w:p w:rsidR="00C010EC" w:rsidRPr="00FC7CEB" w:rsidRDefault="00C010EC" w:rsidP="00C010EC">
            <w:pPr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42</w:t>
            </w:r>
          </w:p>
        </w:tc>
        <w:tc>
          <w:tcPr>
            <w:tcW w:w="499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603</w:t>
            </w:r>
          </w:p>
        </w:tc>
        <w:tc>
          <w:tcPr>
            <w:tcW w:w="692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1,042</w:t>
            </w:r>
          </w:p>
        </w:tc>
        <w:tc>
          <w:tcPr>
            <w:tcW w:w="610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613" w:type="pct"/>
            <w:vAlign w:val="center"/>
          </w:tcPr>
          <w:p w:rsidR="00C010EC" w:rsidRPr="00FC7CEB" w:rsidRDefault="00C010EC" w:rsidP="003236B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Other Investments in Palestine</w:t>
            </w:r>
          </w:p>
        </w:tc>
      </w:tr>
      <w:tr w:rsidR="00C010EC" w:rsidRPr="00FC7CEB" w:rsidTr="00CE2347">
        <w:trPr>
          <w:gridBefore w:val="1"/>
          <w:wBefore w:w="8" w:type="pct"/>
          <w:trHeight w:val="284"/>
          <w:jc w:val="center"/>
        </w:trPr>
        <w:tc>
          <w:tcPr>
            <w:tcW w:w="47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1,073</w:t>
            </w:r>
          </w:p>
        </w:tc>
        <w:tc>
          <w:tcPr>
            <w:tcW w:w="445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58" w:type="pct"/>
            <w:vAlign w:val="bottom"/>
          </w:tcPr>
          <w:p w:rsidR="00C010EC" w:rsidRPr="00FC7CEB" w:rsidRDefault="00C010EC" w:rsidP="00C010E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31</w:t>
            </w:r>
          </w:p>
        </w:tc>
        <w:tc>
          <w:tcPr>
            <w:tcW w:w="499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92" w:type="pct"/>
            <w:gridSpan w:val="2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1,042</w:t>
            </w:r>
          </w:p>
        </w:tc>
        <w:tc>
          <w:tcPr>
            <w:tcW w:w="610" w:type="pct"/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613" w:type="pct"/>
            <w:vAlign w:val="center"/>
          </w:tcPr>
          <w:p w:rsidR="00C010EC" w:rsidRPr="00FC7CEB" w:rsidRDefault="00C010EC" w:rsidP="003236B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Of which: Loans from abroad</w:t>
            </w:r>
          </w:p>
        </w:tc>
      </w:tr>
      <w:tr w:rsidR="00C010EC" w:rsidRPr="00FC7CEB" w:rsidTr="00CE2347">
        <w:trPr>
          <w:gridBefore w:val="1"/>
          <w:wBefore w:w="8" w:type="pct"/>
          <w:trHeight w:val="284"/>
          <w:jc w:val="center"/>
        </w:trPr>
        <w:tc>
          <w:tcPr>
            <w:tcW w:w="475" w:type="pct"/>
            <w:tcBorders>
              <w:bottom w:val="single" w:sz="4" w:space="0" w:color="auto"/>
            </w:tcBorders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603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vAlign w:val="bottom"/>
          </w:tcPr>
          <w:p w:rsidR="00C010EC" w:rsidRPr="00FC7CEB" w:rsidRDefault="00C010EC" w:rsidP="00C010E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603</w:t>
            </w:r>
          </w:p>
        </w:tc>
        <w:tc>
          <w:tcPr>
            <w:tcW w:w="692" w:type="pct"/>
            <w:gridSpan w:val="2"/>
            <w:tcBorders>
              <w:bottom w:val="single" w:sz="4" w:space="0" w:color="auto"/>
            </w:tcBorders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vAlign w:val="bottom"/>
          </w:tcPr>
          <w:p w:rsidR="00C010EC" w:rsidRPr="00FC7CEB" w:rsidRDefault="00C010EC" w:rsidP="00D67D96">
            <w:pPr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613" w:type="pct"/>
            <w:tcBorders>
              <w:bottom w:val="single" w:sz="4" w:space="0" w:color="auto"/>
            </w:tcBorders>
            <w:vAlign w:val="center"/>
          </w:tcPr>
          <w:p w:rsidR="00C010EC" w:rsidRPr="00FC7CEB" w:rsidRDefault="00C010EC" w:rsidP="003236BA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Of which: currency and deposits***</w:t>
            </w:r>
          </w:p>
        </w:tc>
      </w:tr>
    </w:tbl>
    <w:p w:rsidR="00F93771" w:rsidRPr="003F4147" w:rsidRDefault="00F93771" w:rsidP="00FC7CEB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F93771" w:rsidRPr="000D1317" w:rsidRDefault="00F93771" w:rsidP="00FC7CEB">
      <w:pPr>
        <w:spacing w:line="0" w:lineRule="atLeast"/>
        <w:ind w:right="142"/>
        <w:rPr>
          <w:rFonts w:ascii="Arial" w:hAnsi="Arial"/>
          <w:b w:val="0"/>
          <w:bCs/>
          <w:sz w:val="17"/>
          <w:szCs w:val="17"/>
        </w:rPr>
      </w:pPr>
      <w:r w:rsidRPr="0041774E">
        <w:rPr>
          <w:rFonts w:ascii="Arial" w:hAnsi="Arial"/>
          <w:sz w:val="17"/>
          <w:szCs w:val="17"/>
        </w:rPr>
        <w:t>Notes</w:t>
      </w:r>
      <w:r w:rsidRPr="000D1317">
        <w:rPr>
          <w:rFonts w:ascii="Arial" w:hAnsi="Arial"/>
          <w:b w:val="0"/>
          <w:bCs/>
          <w:sz w:val="17"/>
          <w:szCs w:val="17"/>
        </w:rPr>
        <w:t xml:space="preserve">: </w:t>
      </w:r>
    </w:p>
    <w:p w:rsidR="00F93771" w:rsidRPr="0041774E" w:rsidRDefault="00F93771" w:rsidP="00FC7CEB">
      <w:pPr>
        <w:pStyle w:val="ListParagraph"/>
        <w:spacing w:line="0" w:lineRule="atLeast"/>
        <w:ind w:left="0"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>
        <w:rPr>
          <w:rFonts w:ascii="Arial" w:hAnsi="Arial"/>
          <w:b w:val="0"/>
          <w:bCs/>
          <w:i w:val="0"/>
          <w:iCs/>
          <w:sz w:val="17"/>
          <w:szCs w:val="17"/>
        </w:rPr>
        <w:t xml:space="preserve">- </w:t>
      </w:r>
      <w:r w:rsidRPr="0041774E">
        <w:rPr>
          <w:rFonts w:ascii="Arial" w:hAnsi="Arial"/>
          <w:b w:val="0"/>
          <w:bCs/>
          <w:i w:val="0"/>
          <w:iCs/>
          <w:sz w:val="17"/>
          <w:szCs w:val="17"/>
        </w:rPr>
        <w:t>The data in the above table are close to the nearest integer.</w:t>
      </w:r>
    </w:p>
    <w:p w:rsidR="00F93771" w:rsidRPr="0041774E" w:rsidRDefault="00F93771" w:rsidP="00FC7CEB">
      <w:pPr>
        <w:pStyle w:val="ListParagraph"/>
        <w:spacing w:line="0" w:lineRule="atLeast"/>
        <w:ind w:left="0"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>
        <w:rPr>
          <w:rFonts w:ascii="Arial" w:hAnsi="Arial"/>
          <w:b w:val="0"/>
          <w:bCs/>
          <w:i w:val="0"/>
          <w:iCs/>
          <w:sz w:val="17"/>
          <w:szCs w:val="17"/>
        </w:rPr>
        <w:t xml:space="preserve">- </w:t>
      </w:r>
      <w:r w:rsidRPr="0041774E">
        <w:rPr>
          <w:rFonts w:ascii="Arial" w:hAnsi="Arial"/>
          <w:b w:val="0"/>
          <w:bCs/>
          <w:i w:val="0"/>
          <w:iCs/>
          <w:sz w:val="17"/>
          <w:szCs w:val="17"/>
        </w:rPr>
        <w:t>The data does not include the value of land owned by non-residents.</w:t>
      </w:r>
    </w:p>
    <w:p w:rsidR="00F93771" w:rsidRPr="00DD063E" w:rsidRDefault="00F93771" w:rsidP="00FC7CEB">
      <w:pPr>
        <w:spacing w:line="0" w:lineRule="atLeast"/>
        <w:ind w:right="142"/>
        <w:jc w:val="both"/>
        <w:rPr>
          <w:rFonts w:ascii="Arial" w:hAnsi="Arial"/>
          <w:b w:val="0"/>
          <w:bCs/>
          <w:i w:val="0"/>
          <w:iCs/>
          <w:sz w:val="17"/>
          <w:szCs w:val="17"/>
          <w:rtl/>
        </w:rPr>
      </w:pP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>* International investment position (net): equals total external assets minus total foreign liabilities.</w:t>
      </w:r>
    </w:p>
    <w:p w:rsidR="00F93771" w:rsidRPr="00DD063E" w:rsidRDefault="00F93771" w:rsidP="00FC7CEB">
      <w:pPr>
        <w:spacing w:line="0" w:lineRule="atLeast"/>
        <w:ind w:right="-45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>*</w:t>
      </w:r>
      <w:r w:rsidR="00A478BC">
        <w:rPr>
          <w:rFonts w:ascii="Arial" w:hAnsi="Arial"/>
          <w:b w:val="0"/>
          <w:bCs/>
          <w:i w:val="0"/>
          <w:iCs/>
          <w:sz w:val="17"/>
          <w:szCs w:val="17"/>
        </w:rPr>
        <w:t>* Currency and deposits: Include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 </w:t>
      </w:r>
      <w:r w:rsidR="00F43827">
        <w:rPr>
          <w:rFonts w:ascii="Arial" w:hAnsi="Arial"/>
          <w:b w:val="0"/>
          <w:bCs/>
          <w:i w:val="0"/>
          <w:iCs/>
          <w:sz w:val="17"/>
          <w:szCs w:val="17"/>
        </w:rPr>
        <w:t xml:space="preserve">the 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residents deposits in banks abroad, </w:t>
      </w:r>
      <w:r>
        <w:rPr>
          <w:rFonts w:ascii="Arial" w:hAnsi="Arial"/>
          <w:b w:val="0"/>
          <w:bCs/>
          <w:i w:val="0"/>
          <w:iCs/>
          <w:sz w:val="17"/>
          <w:szCs w:val="17"/>
        </w:rPr>
        <w:t>i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n addition to foreign </w:t>
      </w:r>
      <w:r w:rsidR="006C20BF">
        <w:rPr>
          <w:rFonts w:ascii="Arial" w:hAnsi="Arial"/>
          <w:b w:val="0"/>
          <w:bCs/>
          <w:i w:val="0"/>
          <w:iCs/>
          <w:sz w:val="17"/>
          <w:szCs w:val="17"/>
        </w:rPr>
        <w:t>exchange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 in Palestinian </w:t>
      </w:r>
      <w:r>
        <w:rPr>
          <w:rFonts w:ascii="Arial" w:hAnsi="Arial"/>
          <w:b w:val="0"/>
          <w:bCs/>
          <w:i w:val="0"/>
          <w:iCs/>
          <w:sz w:val="17"/>
          <w:szCs w:val="17"/>
        </w:rPr>
        <w:t xml:space="preserve"> 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>economy.</w:t>
      </w:r>
    </w:p>
    <w:p w:rsidR="00F93771" w:rsidRPr="00DD063E" w:rsidRDefault="00F93771" w:rsidP="00FC7CEB">
      <w:pPr>
        <w:spacing w:line="0" w:lineRule="atLeast"/>
        <w:ind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*** Currency and deposits: Include the deposits of non-residents deposited in </w:t>
      </w:r>
      <w:r w:rsidR="00194427">
        <w:rPr>
          <w:rFonts w:ascii="Arial" w:hAnsi="Arial"/>
          <w:b w:val="0"/>
          <w:bCs/>
          <w:i w:val="0"/>
          <w:iCs/>
          <w:sz w:val="17"/>
          <w:szCs w:val="17"/>
        </w:rPr>
        <w:t>resident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 banks.</w:t>
      </w:r>
    </w:p>
    <w:p w:rsidR="00F93771" w:rsidRDefault="00F93771" w:rsidP="00F93771">
      <w:pPr>
        <w:spacing w:before="120" w:after="120" w:line="276" w:lineRule="auto"/>
        <w:jc w:val="right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Cs/>
          <w:iCs/>
        </w:rPr>
        <w:br w:type="page"/>
      </w:r>
    </w:p>
    <w:p w:rsidR="00FC7CEB" w:rsidRDefault="00FC7CEB" w:rsidP="00FC7CEB">
      <w:pPr>
        <w:contextualSpacing/>
        <w:jc w:val="center"/>
        <w:rPr>
          <w:rFonts w:asciiTheme="majorBidi" w:hAnsiTheme="majorBidi" w:cstheme="majorBidi"/>
          <w:i w:val="0"/>
          <w:iCs/>
        </w:rPr>
      </w:pPr>
    </w:p>
    <w:p w:rsidR="00F93771" w:rsidRPr="00FC7CEB" w:rsidRDefault="00F93771" w:rsidP="00FC7CEB">
      <w:pPr>
        <w:contextualSpacing/>
        <w:jc w:val="center"/>
        <w:rPr>
          <w:rFonts w:asciiTheme="majorBidi" w:hAnsiTheme="majorBidi" w:cstheme="majorBidi"/>
          <w:i w:val="0"/>
          <w:iCs/>
        </w:rPr>
      </w:pPr>
      <w:r w:rsidRPr="00FC7CEB">
        <w:rPr>
          <w:rFonts w:asciiTheme="majorBidi" w:hAnsiTheme="majorBidi" w:cstheme="majorBidi"/>
          <w:i w:val="0"/>
          <w:iCs/>
        </w:rPr>
        <w:t>Table 2: Gross External Debt position on Palestine, at the end of years 201</w:t>
      </w:r>
      <w:r w:rsidR="00F87F86" w:rsidRPr="00FC7CEB">
        <w:rPr>
          <w:rFonts w:asciiTheme="majorBidi" w:hAnsiTheme="majorBidi" w:cstheme="majorBidi"/>
          <w:i w:val="0"/>
          <w:iCs/>
        </w:rPr>
        <w:t>6</w:t>
      </w:r>
      <w:r w:rsidRPr="00FC7CEB">
        <w:rPr>
          <w:rFonts w:asciiTheme="majorBidi" w:hAnsiTheme="majorBidi" w:cstheme="majorBidi"/>
          <w:i w:val="0"/>
          <w:iCs/>
        </w:rPr>
        <w:t>,</w:t>
      </w:r>
      <w:r w:rsidR="00FC7CEB">
        <w:rPr>
          <w:rFonts w:asciiTheme="majorBidi" w:hAnsiTheme="majorBidi" w:cstheme="majorBidi"/>
          <w:i w:val="0"/>
          <w:iCs/>
        </w:rPr>
        <w:t xml:space="preserve"> </w:t>
      </w:r>
      <w:r w:rsidRPr="00FC7CEB">
        <w:rPr>
          <w:rFonts w:asciiTheme="majorBidi" w:hAnsiTheme="majorBidi" w:cstheme="majorBidi"/>
          <w:i w:val="0"/>
          <w:iCs/>
        </w:rPr>
        <w:t>201</w:t>
      </w:r>
      <w:r w:rsidR="00F87F86" w:rsidRPr="00FC7CEB">
        <w:rPr>
          <w:rFonts w:asciiTheme="majorBidi" w:hAnsiTheme="majorBidi" w:cstheme="majorBidi"/>
          <w:i w:val="0"/>
          <w:iCs/>
        </w:rPr>
        <w:t>7</w:t>
      </w:r>
    </w:p>
    <w:p w:rsidR="00F93771" w:rsidRDefault="00F93771" w:rsidP="00F93771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F93771" w:rsidRPr="00FC7CEB" w:rsidRDefault="00F93771" w:rsidP="00F93771">
      <w:pPr>
        <w:ind w:left="-284" w:right="3967" w:firstLine="644"/>
        <w:contextualSpacing/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</w:pPr>
      <w:r w:rsidRPr="00FC7CEB">
        <w:rPr>
          <w:rFonts w:asciiTheme="majorBidi" w:hAnsiTheme="majorBidi" w:cstheme="majorBidi"/>
          <w:b w:val="0"/>
          <w:bCs/>
          <w:i w:val="0"/>
          <w:iCs/>
          <w:sz w:val="22"/>
          <w:szCs w:val="22"/>
        </w:rPr>
        <w:t xml:space="preserve">Value in million USD </w:t>
      </w:r>
    </w:p>
    <w:tbl>
      <w:tblPr>
        <w:tblpPr w:leftFromText="180" w:rightFromText="180" w:vertAnchor="text" w:tblpXSpec="center" w:tblpY="1"/>
        <w:tblOverlap w:val="never"/>
        <w:bidiVisual/>
        <w:tblW w:w="8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8"/>
        <w:gridCol w:w="1687"/>
        <w:gridCol w:w="5104"/>
      </w:tblGrid>
      <w:tr w:rsidR="00F93771" w:rsidRPr="00FC7CEB" w:rsidTr="003236BA">
        <w:trPr>
          <w:trHeight w:val="284"/>
        </w:trPr>
        <w:tc>
          <w:tcPr>
            <w:tcW w:w="995" w:type="pct"/>
            <w:vAlign w:val="center"/>
          </w:tcPr>
          <w:p w:rsidR="00F93771" w:rsidRPr="00FC7CEB" w:rsidRDefault="00F93771" w:rsidP="00F87F86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>Stock at the end of 201</w:t>
            </w:r>
            <w:r w:rsidR="00F87F86" w:rsidRPr="00FC7CEB">
              <w:rPr>
                <w:rFonts w:asciiTheme="majorBidi" w:hAnsiTheme="majorBidi" w:cstheme="majorBidi"/>
                <w:i w:val="0"/>
                <w:iCs/>
              </w:rPr>
              <w:t>7</w:t>
            </w:r>
          </w:p>
        </w:tc>
        <w:tc>
          <w:tcPr>
            <w:tcW w:w="995" w:type="pct"/>
            <w:vAlign w:val="center"/>
          </w:tcPr>
          <w:p w:rsidR="00F93771" w:rsidRPr="00FC7CEB" w:rsidRDefault="00F93771" w:rsidP="00F87F86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>Stock at the end of 201</w:t>
            </w:r>
            <w:r w:rsidR="00F87F86" w:rsidRPr="00FC7CEB">
              <w:rPr>
                <w:rFonts w:asciiTheme="majorBidi" w:hAnsiTheme="majorBidi" w:cstheme="majorBidi"/>
                <w:i w:val="0"/>
                <w:iCs/>
              </w:rPr>
              <w:t>6</w:t>
            </w:r>
          </w:p>
        </w:tc>
        <w:tc>
          <w:tcPr>
            <w:tcW w:w="3010" w:type="pct"/>
            <w:vAlign w:val="center"/>
          </w:tcPr>
          <w:p w:rsidR="00F93771" w:rsidRPr="00FC7CEB" w:rsidRDefault="00F93771" w:rsidP="003236BA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>Economic Sector</w:t>
            </w:r>
          </w:p>
        </w:tc>
      </w:tr>
      <w:tr w:rsidR="00525961" w:rsidRPr="00FC7CEB" w:rsidTr="003236BA">
        <w:trPr>
          <w:trHeight w:val="284"/>
        </w:trPr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1,042</w:t>
            </w:r>
          </w:p>
        </w:tc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1,044</w:t>
            </w:r>
          </w:p>
        </w:tc>
        <w:tc>
          <w:tcPr>
            <w:tcW w:w="3010" w:type="pct"/>
            <w:vAlign w:val="bottom"/>
          </w:tcPr>
          <w:p w:rsidR="00525961" w:rsidRPr="00FC7CEB" w:rsidRDefault="00525961" w:rsidP="00525961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>General Government</w:t>
            </w:r>
          </w:p>
        </w:tc>
      </w:tr>
      <w:tr w:rsidR="00525961" w:rsidRPr="00FC7CEB" w:rsidTr="003236BA">
        <w:trPr>
          <w:trHeight w:val="284"/>
        </w:trPr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77</w:t>
            </w:r>
          </w:p>
        </w:tc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79</w:t>
            </w:r>
          </w:p>
        </w:tc>
        <w:tc>
          <w:tcPr>
            <w:tcW w:w="3010" w:type="pct"/>
            <w:vAlign w:val="bottom"/>
          </w:tcPr>
          <w:p w:rsidR="00525961" w:rsidRPr="00FC7CEB" w:rsidRDefault="00525961" w:rsidP="0052596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525961" w:rsidRPr="00FC7CEB" w:rsidTr="003236BA">
        <w:trPr>
          <w:trHeight w:val="284"/>
        </w:trPr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965</w:t>
            </w:r>
          </w:p>
        </w:tc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965</w:t>
            </w:r>
          </w:p>
        </w:tc>
        <w:tc>
          <w:tcPr>
            <w:tcW w:w="3010" w:type="pct"/>
            <w:vAlign w:val="bottom"/>
          </w:tcPr>
          <w:p w:rsidR="00525961" w:rsidRPr="00FC7CEB" w:rsidRDefault="00525961" w:rsidP="0052596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525961" w:rsidRPr="00FC7CEB" w:rsidTr="003236BA">
        <w:trPr>
          <w:trHeight w:val="284"/>
        </w:trPr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0</w:t>
            </w:r>
          </w:p>
        </w:tc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0</w:t>
            </w:r>
          </w:p>
        </w:tc>
        <w:tc>
          <w:tcPr>
            <w:tcW w:w="3010" w:type="pct"/>
            <w:vAlign w:val="bottom"/>
          </w:tcPr>
          <w:p w:rsidR="00525961" w:rsidRPr="00FC7CEB" w:rsidRDefault="00525961" w:rsidP="00525961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>Monetary Authorities</w:t>
            </w:r>
          </w:p>
        </w:tc>
      </w:tr>
      <w:tr w:rsidR="00525961" w:rsidRPr="00FC7CEB" w:rsidTr="003236BA">
        <w:trPr>
          <w:trHeight w:val="284"/>
        </w:trPr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3010" w:type="pct"/>
            <w:vAlign w:val="bottom"/>
          </w:tcPr>
          <w:p w:rsidR="00525961" w:rsidRPr="00FC7CEB" w:rsidRDefault="00525961" w:rsidP="0052596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525961" w:rsidRPr="00FC7CEB" w:rsidTr="003236BA">
        <w:trPr>
          <w:trHeight w:val="284"/>
        </w:trPr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3010" w:type="pct"/>
            <w:vAlign w:val="bottom"/>
          </w:tcPr>
          <w:p w:rsidR="00525961" w:rsidRPr="00FC7CEB" w:rsidRDefault="00525961" w:rsidP="0052596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525961" w:rsidRPr="00FC7CEB" w:rsidTr="003236BA">
        <w:trPr>
          <w:trHeight w:val="284"/>
        </w:trPr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603</w:t>
            </w:r>
          </w:p>
        </w:tc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496</w:t>
            </w:r>
          </w:p>
        </w:tc>
        <w:tc>
          <w:tcPr>
            <w:tcW w:w="3010" w:type="pct"/>
            <w:vAlign w:val="bottom"/>
          </w:tcPr>
          <w:p w:rsidR="00525961" w:rsidRPr="00FC7CEB" w:rsidRDefault="00525961" w:rsidP="00525961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>Banks</w:t>
            </w:r>
          </w:p>
        </w:tc>
      </w:tr>
      <w:tr w:rsidR="00525961" w:rsidRPr="00FC7CEB" w:rsidTr="003236BA">
        <w:trPr>
          <w:trHeight w:val="284"/>
        </w:trPr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368</w:t>
            </w:r>
          </w:p>
        </w:tc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259</w:t>
            </w:r>
          </w:p>
        </w:tc>
        <w:tc>
          <w:tcPr>
            <w:tcW w:w="3010" w:type="pct"/>
            <w:vAlign w:val="bottom"/>
          </w:tcPr>
          <w:p w:rsidR="00525961" w:rsidRPr="00FC7CEB" w:rsidRDefault="00525961" w:rsidP="0052596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525961" w:rsidRPr="00FC7CEB" w:rsidTr="003236BA">
        <w:trPr>
          <w:trHeight w:val="284"/>
        </w:trPr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235</w:t>
            </w:r>
          </w:p>
        </w:tc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237</w:t>
            </w:r>
          </w:p>
        </w:tc>
        <w:tc>
          <w:tcPr>
            <w:tcW w:w="3010" w:type="pct"/>
            <w:vAlign w:val="bottom"/>
          </w:tcPr>
          <w:p w:rsidR="00525961" w:rsidRPr="00FC7CEB" w:rsidRDefault="00525961" w:rsidP="0052596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525961" w:rsidRPr="00FC7CEB" w:rsidTr="003236BA">
        <w:trPr>
          <w:trHeight w:val="284"/>
        </w:trPr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42</w:t>
            </w:r>
          </w:p>
        </w:tc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70</w:t>
            </w:r>
          </w:p>
        </w:tc>
        <w:tc>
          <w:tcPr>
            <w:tcW w:w="3010" w:type="pct"/>
            <w:vAlign w:val="bottom"/>
          </w:tcPr>
          <w:p w:rsidR="00525961" w:rsidRPr="00FC7CEB" w:rsidRDefault="00525961" w:rsidP="00525961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>Other Sectors</w:t>
            </w:r>
          </w:p>
        </w:tc>
      </w:tr>
      <w:tr w:rsidR="00525961" w:rsidRPr="00FC7CEB" w:rsidTr="003236BA">
        <w:trPr>
          <w:trHeight w:val="284"/>
        </w:trPr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4</w:t>
            </w:r>
          </w:p>
        </w:tc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</w:t>
            </w:r>
          </w:p>
        </w:tc>
        <w:tc>
          <w:tcPr>
            <w:tcW w:w="3010" w:type="pct"/>
            <w:vAlign w:val="bottom"/>
          </w:tcPr>
          <w:p w:rsidR="00525961" w:rsidRPr="00FC7CEB" w:rsidRDefault="00525961" w:rsidP="0052596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525961" w:rsidRPr="00FC7CEB" w:rsidTr="003236BA">
        <w:trPr>
          <w:trHeight w:val="284"/>
        </w:trPr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38</w:t>
            </w:r>
          </w:p>
        </w:tc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67</w:t>
            </w:r>
          </w:p>
        </w:tc>
        <w:tc>
          <w:tcPr>
            <w:tcW w:w="3010" w:type="pct"/>
            <w:vAlign w:val="bottom"/>
          </w:tcPr>
          <w:p w:rsidR="00525961" w:rsidRPr="00FC7CEB" w:rsidRDefault="00525961" w:rsidP="0052596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525961" w:rsidRPr="00FC7CEB" w:rsidTr="003236BA">
        <w:trPr>
          <w:trHeight w:val="284"/>
        </w:trPr>
        <w:tc>
          <w:tcPr>
            <w:tcW w:w="995" w:type="pct"/>
            <w:vAlign w:val="bottom"/>
          </w:tcPr>
          <w:p w:rsidR="00525961" w:rsidRPr="00FC7CEB" w:rsidRDefault="00243272" w:rsidP="0052596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44</w:t>
            </w:r>
          </w:p>
        </w:tc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  <w:color w:val="000000"/>
              </w:rPr>
              <w:t>5</w:t>
            </w:r>
          </w:p>
        </w:tc>
        <w:tc>
          <w:tcPr>
            <w:tcW w:w="3010" w:type="pct"/>
            <w:vAlign w:val="bottom"/>
          </w:tcPr>
          <w:p w:rsidR="00525961" w:rsidRPr="00FC7CEB" w:rsidRDefault="00525961" w:rsidP="00525961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>Direct Investment: lending between affiliated companies</w:t>
            </w:r>
          </w:p>
        </w:tc>
      </w:tr>
      <w:tr w:rsidR="00525961" w:rsidRPr="00FC7CEB" w:rsidTr="003236BA">
        <w:trPr>
          <w:trHeight w:val="284"/>
        </w:trPr>
        <w:tc>
          <w:tcPr>
            <w:tcW w:w="995" w:type="pct"/>
            <w:vAlign w:val="bottom"/>
          </w:tcPr>
          <w:p w:rsidR="00525961" w:rsidRPr="00FC7CEB" w:rsidRDefault="00243272" w:rsidP="0052596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41</w:t>
            </w:r>
          </w:p>
        </w:tc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3010" w:type="pct"/>
            <w:vAlign w:val="bottom"/>
          </w:tcPr>
          <w:p w:rsidR="00525961" w:rsidRPr="00FC7CEB" w:rsidRDefault="00525961" w:rsidP="0052596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Debt liabilities to affiliated enterprises</w:t>
            </w:r>
          </w:p>
        </w:tc>
      </w:tr>
      <w:tr w:rsidR="00525961" w:rsidRPr="00FC7CEB" w:rsidTr="003236BA">
        <w:trPr>
          <w:trHeight w:val="284"/>
        </w:trPr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FC7CEB">
              <w:rPr>
                <w:rFonts w:asciiTheme="majorBidi" w:hAnsiTheme="majorBidi" w:cstheme="majorBidi"/>
                <w:color w:val="000000"/>
                <w:rtl/>
              </w:rPr>
              <w:t>3</w:t>
            </w:r>
          </w:p>
        </w:tc>
        <w:tc>
          <w:tcPr>
            <w:tcW w:w="995" w:type="pct"/>
            <w:vAlign w:val="bottom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</w:t>
            </w:r>
          </w:p>
        </w:tc>
        <w:tc>
          <w:tcPr>
            <w:tcW w:w="3010" w:type="pct"/>
            <w:vAlign w:val="bottom"/>
          </w:tcPr>
          <w:p w:rsidR="00525961" w:rsidRPr="00FC7CEB" w:rsidRDefault="00525961" w:rsidP="0052596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Debt liabilities to direct investors</w:t>
            </w:r>
          </w:p>
        </w:tc>
      </w:tr>
      <w:tr w:rsidR="00525961" w:rsidRPr="00FC7CEB" w:rsidTr="00B563E4">
        <w:trPr>
          <w:trHeight w:val="284"/>
        </w:trPr>
        <w:tc>
          <w:tcPr>
            <w:tcW w:w="995" w:type="pct"/>
            <w:vAlign w:val="bottom"/>
          </w:tcPr>
          <w:p w:rsidR="00525961" w:rsidRPr="00FC7CEB" w:rsidRDefault="00525961" w:rsidP="00243272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</w:t>
            </w:r>
            <w:r w:rsidR="00243272" w:rsidRPr="00FC7CE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731</w:t>
            </w:r>
          </w:p>
        </w:tc>
        <w:tc>
          <w:tcPr>
            <w:tcW w:w="995" w:type="pct"/>
            <w:vAlign w:val="center"/>
          </w:tcPr>
          <w:p w:rsidR="00525961" w:rsidRPr="00FC7CEB" w:rsidRDefault="00525961" w:rsidP="00525961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FC7CEB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1,615</w:t>
            </w:r>
          </w:p>
        </w:tc>
        <w:tc>
          <w:tcPr>
            <w:tcW w:w="3010" w:type="pct"/>
            <w:vAlign w:val="bottom"/>
          </w:tcPr>
          <w:p w:rsidR="00525961" w:rsidRPr="00FC7CEB" w:rsidRDefault="00525961" w:rsidP="00525961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FC7CEB">
              <w:rPr>
                <w:rFonts w:asciiTheme="majorBidi" w:hAnsiTheme="majorBidi" w:cstheme="majorBidi"/>
                <w:i w:val="0"/>
                <w:iCs/>
              </w:rPr>
              <w:t>Gross External Debt Position</w:t>
            </w:r>
          </w:p>
        </w:tc>
      </w:tr>
    </w:tbl>
    <w:p w:rsidR="00F93771" w:rsidRPr="0053342F" w:rsidRDefault="00F93771" w:rsidP="00F93771">
      <w:pPr>
        <w:contextualSpacing/>
        <w:jc w:val="center"/>
        <w:rPr>
          <w:rFonts w:ascii="Arial" w:hAnsi="Arial"/>
          <w:i w:val="0"/>
          <w:iCs/>
          <w:sz w:val="22"/>
          <w:szCs w:val="22"/>
          <w:rtl/>
        </w:rPr>
      </w:pPr>
    </w:p>
    <w:p w:rsidR="00F93771" w:rsidRPr="00C305B9" w:rsidRDefault="00F93771" w:rsidP="00F93771">
      <w:pPr>
        <w:pStyle w:val="BodyText"/>
        <w:bidi w:val="0"/>
        <w:ind w:left="-851"/>
        <w:jc w:val="both"/>
        <w:rPr>
          <w:rFonts w:asciiTheme="majorBidi" w:hAnsiTheme="majorBidi" w:cstheme="majorBidi"/>
          <w:bCs/>
          <w:iCs/>
          <w:szCs w:val="24"/>
          <w:rtl/>
        </w:rPr>
      </w:pPr>
    </w:p>
    <w:p w:rsidR="00F93771" w:rsidRPr="00B94B95" w:rsidRDefault="00F93771" w:rsidP="00F93771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F93771" w:rsidRPr="00B94B95" w:rsidRDefault="00F93771" w:rsidP="00F93771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F2693C" w:rsidRPr="00F91DCF" w:rsidRDefault="00F2693C" w:rsidP="00760B80">
      <w:pPr>
        <w:bidi/>
        <w:spacing w:line="480" w:lineRule="exact"/>
        <w:jc w:val="center"/>
        <w:rPr>
          <w:rFonts w:asciiTheme="majorBidi" w:hAnsiTheme="majorBidi" w:cstheme="majorBidi"/>
          <w:rtl/>
        </w:rPr>
      </w:pPr>
    </w:p>
    <w:sectPr w:rsidR="00F2693C" w:rsidRPr="00F91DCF" w:rsidSect="00FC7CEB">
      <w:headerReference w:type="default" r:id="rId8"/>
      <w:footerReference w:type="default" r:id="rId9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820" w:rsidRDefault="00716820" w:rsidP="00885BEC">
      <w:r>
        <w:separator/>
      </w:r>
    </w:p>
  </w:endnote>
  <w:endnote w:type="continuationSeparator" w:id="0">
    <w:p w:rsidR="00716820" w:rsidRDefault="00716820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7172"/>
      <w:docPartObj>
        <w:docPartGallery w:val="Page Numbers (Bottom of Page)"/>
        <w:docPartUnique/>
      </w:docPartObj>
    </w:sdtPr>
    <w:sdtContent>
      <w:p w:rsidR="00516A6A" w:rsidRDefault="004652B1">
        <w:pPr>
          <w:pStyle w:val="Footer"/>
          <w:jc w:val="center"/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516A6A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524B92">
          <w:rPr>
            <w:b w:val="0"/>
            <w:bCs/>
            <w:i w:val="0"/>
            <w:iCs/>
            <w:noProof/>
            <w:sz w:val="20"/>
            <w:szCs w:val="20"/>
          </w:rPr>
          <w:t>3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:rsidR="00516A6A" w:rsidRDefault="00516A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820" w:rsidRDefault="00716820" w:rsidP="00885BEC">
      <w:r>
        <w:separator/>
      </w:r>
    </w:p>
  </w:footnote>
  <w:footnote w:type="continuationSeparator" w:id="0">
    <w:p w:rsidR="00716820" w:rsidRDefault="00716820" w:rsidP="00885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CEB" w:rsidRDefault="00FC7CEB" w:rsidP="00FC7CEB">
    <w:pPr>
      <w:pStyle w:val="Header"/>
      <w:tabs>
        <w:tab w:val="clear" w:pos="4680"/>
        <w:tab w:val="clear" w:pos="9360"/>
        <w:tab w:val="left" w:pos="3405"/>
      </w:tabs>
    </w:pPr>
    <w:r>
      <w:t xml:space="preserve">             </w:t>
    </w:r>
  </w:p>
  <w:p w:rsidR="00FC7CEB" w:rsidRDefault="00FC7CEB" w:rsidP="00FC7CEB">
    <w:pPr>
      <w:pStyle w:val="Header"/>
      <w:tabs>
        <w:tab w:val="clear" w:pos="4680"/>
        <w:tab w:val="clear" w:pos="9360"/>
        <w:tab w:val="left" w:pos="340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241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328C"/>
    <w:rsid w:val="000042EC"/>
    <w:rsid w:val="000072F1"/>
    <w:rsid w:val="000115CC"/>
    <w:rsid w:val="0001231A"/>
    <w:rsid w:val="000124A7"/>
    <w:rsid w:val="00013A84"/>
    <w:rsid w:val="00022F55"/>
    <w:rsid w:val="00023916"/>
    <w:rsid w:val="00023F63"/>
    <w:rsid w:val="0002627D"/>
    <w:rsid w:val="000271AF"/>
    <w:rsid w:val="00030C2F"/>
    <w:rsid w:val="00032DB0"/>
    <w:rsid w:val="00037C5E"/>
    <w:rsid w:val="00040BCA"/>
    <w:rsid w:val="00047BC1"/>
    <w:rsid w:val="00050DB2"/>
    <w:rsid w:val="000541C3"/>
    <w:rsid w:val="00056CE8"/>
    <w:rsid w:val="00056EBF"/>
    <w:rsid w:val="000621F0"/>
    <w:rsid w:val="00066153"/>
    <w:rsid w:val="00067DB7"/>
    <w:rsid w:val="00072644"/>
    <w:rsid w:val="00077AA7"/>
    <w:rsid w:val="00080709"/>
    <w:rsid w:val="00080765"/>
    <w:rsid w:val="000810D5"/>
    <w:rsid w:val="00081BE1"/>
    <w:rsid w:val="00085209"/>
    <w:rsid w:val="00090534"/>
    <w:rsid w:val="00090697"/>
    <w:rsid w:val="00090A98"/>
    <w:rsid w:val="00091661"/>
    <w:rsid w:val="00093B55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19A1"/>
    <w:rsid w:val="000B4B6A"/>
    <w:rsid w:val="000B638F"/>
    <w:rsid w:val="000B66F2"/>
    <w:rsid w:val="000C156F"/>
    <w:rsid w:val="000C2CD8"/>
    <w:rsid w:val="000C30EC"/>
    <w:rsid w:val="000D0B86"/>
    <w:rsid w:val="000D134F"/>
    <w:rsid w:val="000D36E9"/>
    <w:rsid w:val="000D4C84"/>
    <w:rsid w:val="000E57DB"/>
    <w:rsid w:val="000E6DC2"/>
    <w:rsid w:val="000E76D1"/>
    <w:rsid w:val="000E77D9"/>
    <w:rsid w:val="000F2F95"/>
    <w:rsid w:val="000F449F"/>
    <w:rsid w:val="000F4C18"/>
    <w:rsid w:val="000F7730"/>
    <w:rsid w:val="00100B52"/>
    <w:rsid w:val="0011225F"/>
    <w:rsid w:val="0011238A"/>
    <w:rsid w:val="00122B0F"/>
    <w:rsid w:val="001243F4"/>
    <w:rsid w:val="00126E34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632"/>
    <w:rsid w:val="0014777A"/>
    <w:rsid w:val="00151B5B"/>
    <w:rsid w:val="00152CC2"/>
    <w:rsid w:val="00156FFE"/>
    <w:rsid w:val="001573C2"/>
    <w:rsid w:val="00157479"/>
    <w:rsid w:val="001609E2"/>
    <w:rsid w:val="00161954"/>
    <w:rsid w:val="00162E38"/>
    <w:rsid w:val="00170276"/>
    <w:rsid w:val="00181A2B"/>
    <w:rsid w:val="001823A8"/>
    <w:rsid w:val="001844CA"/>
    <w:rsid w:val="001861B2"/>
    <w:rsid w:val="001862D7"/>
    <w:rsid w:val="00190B3C"/>
    <w:rsid w:val="001933C3"/>
    <w:rsid w:val="00194427"/>
    <w:rsid w:val="0019579D"/>
    <w:rsid w:val="00196708"/>
    <w:rsid w:val="001A10F5"/>
    <w:rsid w:val="001A3990"/>
    <w:rsid w:val="001B1110"/>
    <w:rsid w:val="001B2151"/>
    <w:rsid w:val="001B2404"/>
    <w:rsid w:val="001B35EB"/>
    <w:rsid w:val="001B4D6A"/>
    <w:rsid w:val="001B7265"/>
    <w:rsid w:val="001C1307"/>
    <w:rsid w:val="001C2180"/>
    <w:rsid w:val="001C6697"/>
    <w:rsid w:val="001C7022"/>
    <w:rsid w:val="001D3642"/>
    <w:rsid w:val="001D43EA"/>
    <w:rsid w:val="001D5ADB"/>
    <w:rsid w:val="001D5D12"/>
    <w:rsid w:val="001D7ADF"/>
    <w:rsid w:val="001D7C9B"/>
    <w:rsid w:val="001E2FD6"/>
    <w:rsid w:val="001E4E8A"/>
    <w:rsid w:val="001F14B4"/>
    <w:rsid w:val="001F37D2"/>
    <w:rsid w:val="001F4820"/>
    <w:rsid w:val="001F5051"/>
    <w:rsid w:val="001F67A4"/>
    <w:rsid w:val="002058E4"/>
    <w:rsid w:val="00205A26"/>
    <w:rsid w:val="002078E3"/>
    <w:rsid w:val="00211E0E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3272"/>
    <w:rsid w:val="00244E71"/>
    <w:rsid w:val="00246BC1"/>
    <w:rsid w:val="00247298"/>
    <w:rsid w:val="00251A59"/>
    <w:rsid w:val="0025216F"/>
    <w:rsid w:val="002523D4"/>
    <w:rsid w:val="00254E95"/>
    <w:rsid w:val="00254FB5"/>
    <w:rsid w:val="0026165F"/>
    <w:rsid w:val="00262AC2"/>
    <w:rsid w:val="00264A2F"/>
    <w:rsid w:val="00267601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6860"/>
    <w:rsid w:val="00287955"/>
    <w:rsid w:val="002930BA"/>
    <w:rsid w:val="002945F6"/>
    <w:rsid w:val="002A0947"/>
    <w:rsid w:val="002B0376"/>
    <w:rsid w:val="002B2CA8"/>
    <w:rsid w:val="002B36F3"/>
    <w:rsid w:val="002B519B"/>
    <w:rsid w:val="002C032A"/>
    <w:rsid w:val="002C1546"/>
    <w:rsid w:val="002C5EF1"/>
    <w:rsid w:val="002C6DD7"/>
    <w:rsid w:val="002D1337"/>
    <w:rsid w:val="002D5FC8"/>
    <w:rsid w:val="002D7608"/>
    <w:rsid w:val="002E20F7"/>
    <w:rsid w:val="002E241A"/>
    <w:rsid w:val="002E5E97"/>
    <w:rsid w:val="002E6591"/>
    <w:rsid w:val="002E710B"/>
    <w:rsid w:val="002F51DB"/>
    <w:rsid w:val="00301F14"/>
    <w:rsid w:val="00306FC9"/>
    <w:rsid w:val="0031286D"/>
    <w:rsid w:val="00312946"/>
    <w:rsid w:val="00313C39"/>
    <w:rsid w:val="003143EE"/>
    <w:rsid w:val="00314F90"/>
    <w:rsid w:val="00315123"/>
    <w:rsid w:val="00317CDE"/>
    <w:rsid w:val="00317E26"/>
    <w:rsid w:val="00320D52"/>
    <w:rsid w:val="00322FF5"/>
    <w:rsid w:val="003236BA"/>
    <w:rsid w:val="00325B26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0BDC"/>
    <w:rsid w:val="0035115C"/>
    <w:rsid w:val="00352486"/>
    <w:rsid w:val="00353553"/>
    <w:rsid w:val="00354215"/>
    <w:rsid w:val="00354CC2"/>
    <w:rsid w:val="00360975"/>
    <w:rsid w:val="003623FA"/>
    <w:rsid w:val="00364DE2"/>
    <w:rsid w:val="003650EA"/>
    <w:rsid w:val="003713EE"/>
    <w:rsid w:val="00371BAA"/>
    <w:rsid w:val="00376039"/>
    <w:rsid w:val="00376DA0"/>
    <w:rsid w:val="00377817"/>
    <w:rsid w:val="0038255A"/>
    <w:rsid w:val="00382E41"/>
    <w:rsid w:val="003838AD"/>
    <w:rsid w:val="0038458B"/>
    <w:rsid w:val="00385033"/>
    <w:rsid w:val="00387A29"/>
    <w:rsid w:val="00391B60"/>
    <w:rsid w:val="00394B30"/>
    <w:rsid w:val="00395F01"/>
    <w:rsid w:val="00397CC6"/>
    <w:rsid w:val="003A1748"/>
    <w:rsid w:val="003A3E2C"/>
    <w:rsid w:val="003A7091"/>
    <w:rsid w:val="003B0C69"/>
    <w:rsid w:val="003B2285"/>
    <w:rsid w:val="003B4EFD"/>
    <w:rsid w:val="003B56C9"/>
    <w:rsid w:val="003C00B9"/>
    <w:rsid w:val="003C22E0"/>
    <w:rsid w:val="003C64EA"/>
    <w:rsid w:val="003D1AD0"/>
    <w:rsid w:val="003D64EB"/>
    <w:rsid w:val="003D6FF3"/>
    <w:rsid w:val="003D7154"/>
    <w:rsid w:val="003E0504"/>
    <w:rsid w:val="003E0EBC"/>
    <w:rsid w:val="003E289D"/>
    <w:rsid w:val="003E5A4E"/>
    <w:rsid w:val="003E65F8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6F83"/>
    <w:rsid w:val="0040747F"/>
    <w:rsid w:val="00410274"/>
    <w:rsid w:val="00411C10"/>
    <w:rsid w:val="00412B95"/>
    <w:rsid w:val="00420768"/>
    <w:rsid w:val="004246CA"/>
    <w:rsid w:val="004259AA"/>
    <w:rsid w:val="004272CE"/>
    <w:rsid w:val="004310E3"/>
    <w:rsid w:val="004315B8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62347"/>
    <w:rsid w:val="004624A9"/>
    <w:rsid w:val="0046412B"/>
    <w:rsid w:val="004652B1"/>
    <w:rsid w:val="0046623B"/>
    <w:rsid w:val="00466329"/>
    <w:rsid w:val="00466417"/>
    <w:rsid w:val="004706FF"/>
    <w:rsid w:val="00470EB2"/>
    <w:rsid w:val="0047210C"/>
    <w:rsid w:val="004722F3"/>
    <w:rsid w:val="00473BE3"/>
    <w:rsid w:val="004770F1"/>
    <w:rsid w:val="00482097"/>
    <w:rsid w:val="00483A1A"/>
    <w:rsid w:val="00485E88"/>
    <w:rsid w:val="004908D8"/>
    <w:rsid w:val="004920F5"/>
    <w:rsid w:val="00494846"/>
    <w:rsid w:val="00494AD4"/>
    <w:rsid w:val="004954C4"/>
    <w:rsid w:val="004A6FCF"/>
    <w:rsid w:val="004A7D7A"/>
    <w:rsid w:val="004B6088"/>
    <w:rsid w:val="004B65A3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1663"/>
    <w:rsid w:val="004F3B71"/>
    <w:rsid w:val="004F4E08"/>
    <w:rsid w:val="004F701E"/>
    <w:rsid w:val="00501ACB"/>
    <w:rsid w:val="0050324C"/>
    <w:rsid w:val="00512E0F"/>
    <w:rsid w:val="00513BB5"/>
    <w:rsid w:val="00514827"/>
    <w:rsid w:val="00516A6A"/>
    <w:rsid w:val="0051707F"/>
    <w:rsid w:val="00517AB7"/>
    <w:rsid w:val="00524B92"/>
    <w:rsid w:val="00525961"/>
    <w:rsid w:val="005322B0"/>
    <w:rsid w:val="0053266C"/>
    <w:rsid w:val="00532EFB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22E7"/>
    <w:rsid w:val="00564454"/>
    <w:rsid w:val="00570B11"/>
    <w:rsid w:val="005715DA"/>
    <w:rsid w:val="005721DA"/>
    <w:rsid w:val="00572967"/>
    <w:rsid w:val="0057330E"/>
    <w:rsid w:val="005738ED"/>
    <w:rsid w:val="00575A80"/>
    <w:rsid w:val="00576FFC"/>
    <w:rsid w:val="005775B3"/>
    <w:rsid w:val="00583A54"/>
    <w:rsid w:val="00584208"/>
    <w:rsid w:val="0058499C"/>
    <w:rsid w:val="00587861"/>
    <w:rsid w:val="0059372F"/>
    <w:rsid w:val="00594133"/>
    <w:rsid w:val="00595820"/>
    <w:rsid w:val="005A05C8"/>
    <w:rsid w:val="005A622B"/>
    <w:rsid w:val="005B47E8"/>
    <w:rsid w:val="005B6A18"/>
    <w:rsid w:val="005C3F38"/>
    <w:rsid w:val="005C63F0"/>
    <w:rsid w:val="005C6ACB"/>
    <w:rsid w:val="005C7213"/>
    <w:rsid w:val="005D1897"/>
    <w:rsid w:val="005D76C7"/>
    <w:rsid w:val="005E1B65"/>
    <w:rsid w:val="005E2897"/>
    <w:rsid w:val="005E3128"/>
    <w:rsid w:val="005E34DD"/>
    <w:rsid w:val="005E4B50"/>
    <w:rsid w:val="005E4F15"/>
    <w:rsid w:val="005E5F14"/>
    <w:rsid w:val="005E6C00"/>
    <w:rsid w:val="005F0F2C"/>
    <w:rsid w:val="005F1079"/>
    <w:rsid w:val="005F4EC2"/>
    <w:rsid w:val="005F7E95"/>
    <w:rsid w:val="006101E4"/>
    <w:rsid w:val="00612242"/>
    <w:rsid w:val="00613DED"/>
    <w:rsid w:val="00616296"/>
    <w:rsid w:val="006162C8"/>
    <w:rsid w:val="00617945"/>
    <w:rsid w:val="006211A1"/>
    <w:rsid w:val="006239FE"/>
    <w:rsid w:val="00623A01"/>
    <w:rsid w:val="0062406A"/>
    <w:rsid w:val="00627303"/>
    <w:rsid w:val="00631A9E"/>
    <w:rsid w:val="006352F1"/>
    <w:rsid w:val="00635CFE"/>
    <w:rsid w:val="00640286"/>
    <w:rsid w:val="00640FE6"/>
    <w:rsid w:val="0064727B"/>
    <w:rsid w:val="0065065D"/>
    <w:rsid w:val="00653532"/>
    <w:rsid w:val="00656A6C"/>
    <w:rsid w:val="00657984"/>
    <w:rsid w:val="00660E67"/>
    <w:rsid w:val="00663875"/>
    <w:rsid w:val="006649CA"/>
    <w:rsid w:val="0066643E"/>
    <w:rsid w:val="0067102F"/>
    <w:rsid w:val="00672923"/>
    <w:rsid w:val="00673220"/>
    <w:rsid w:val="006738B1"/>
    <w:rsid w:val="00681C63"/>
    <w:rsid w:val="00681EC2"/>
    <w:rsid w:val="006825EB"/>
    <w:rsid w:val="006860A4"/>
    <w:rsid w:val="006864AF"/>
    <w:rsid w:val="00692615"/>
    <w:rsid w:val="006945FA"/>
    <w:rsid w:val="006949AB"/>
    <w:rsid w:val="00695960"/>
    <w:rsid w:val="006A4970"/>
    <w:rsid w:val="006A6595"/>
    <w:rsid w:val="006B36BF"/>
    <w:rsid w:val="006B5EE1"/>
    <w:rsid w:val="006C0330"/>
    <w:rsid w:val="006C20BF"/>
    <w:rsid w:val="006C46B3"/>
    <w:rsid w:val="006C5842"/>
    <w:rsid w:val="006C5ED3"/>
    <w:rsid w:val="006D24EE"/>
    <w:rsid w:val="006D6EEF"/>
    <w:rsid w:val="006E4D2F"/>
    <w:rsid w:val="006E775A"/>
    <w:rsid w:val="006F21B2"/>
    <w:rsid w:val="006F2D58"/>
    <w:rsid w:val="006F5843"/>
    <w:rsid w:val="006F5851"/>
    <w:rsid w:val="0070333F"/>
    <w:rsid w:val="007041BE"/>
    <w:rsid w:val="007115CF"/>
    <w:rsid w:val="007117F4"/>
    <w:rsid w:val="00713756"/>
    <w:rsid w:val="00716820"/>
    <w:rsid w:val="00725408"/>
    <w:rsid w:val="00737401"/>
    <w:rsid w:val="007440AA"/>
    <w:rsid w:val="0074518D"/>
    <w:rsid w:val="00745DFE"/>
    <w:rsid w:val="00753738"/>
    <w:rsid w:val="0075703F"/>
    <w:rsid w:val="00757248"/>
    <w:rsid w:val="00760B80"/>
    <w:rsid w:val="0076206A"/>
    <w:rsid w:val="007634C9"/>
    <w:rsid w:val="007673B4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E33"/>
    <w:rsid w:val="00793C72"/>
    <w:rsid w:val="00795FD1"/>
    <w:rsid w:val="00796D97"/>
    <w:rsid w:val="00796DF9"/>
    <w:rsid w:val="007971E6"/>
    <w:rsid w:val="007A0A4E"/>
    <w:rsid w:val="007A0E58"/>
    <w:rsid w:val="007A67ED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FA4"/>
    <w:rsid w:val="007E6926"/>
    <w:rsid w:val="007F34C4"/>
    <w:rsid w:val="007F5D87"/>
    <w:rsid w:val="007F6CC5"/>
    <w:rsid w:val="007F6CF0"/>
    <w:rsid w:val="008013FD"/>
    <w:rsid w:val="00802223"/>
    <w:rsid w:val="008029E6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20280"/>
    <w:rsid w:val="00822930"/>
    <w:rsid w:val="008244F8"/>
    <w:rsid w:val="00824C66"/>
    <w:rsid w:val="00831A99"/>
    <w:rsid w:val="00836286"/>
    <w:rsid w:val="00836AE1"/>
    <w:rsid w:val="00837C26"/>
    <w:rsid w:val="008442FD"/>
    <w:rsid w:val="008443CF"/>
    <w:rsid w:val="00851D2D"/>
    <w:rsid w:val="00852594"/>
    <w:rsid w:val="00854491"/>
    <w:rsid w:val="0085689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B7E"/>
    <w:rsid w:val="00881124"/>
    <w:rsid w:val="00881181"/>
    <w:rsid w:val="00881593"/>
    <w:rsid w:val="00883934"/>
    <w:rsid w:val="00883CEF"/>
    <w:rsid w:val="008840BB"/>
    <w:rsid w:val="00885BEC"/>
    <w:rsid w:val="00886E20"/>
    <w:rsid w:val="00887793"/>
    <w:rsid w:val="00887DDA"/>
    <w:rsid w:val="0089649C"/>
    <w:rsid w:val="008975DB"/>
    <w:rsid w:val="008A1310"/>
    <w:rsid w:val="008A4688"/>
    <w:rsid w:val="008A4EE4"/>
    <w:rsid w:val="008A50C1"/>
    <w:rsid w:val="008A61F5"/>
    <w:rsid w:val="008A6433"/>
    <w:rsid w:val="008B054B"/>
    <w:rsid w:val="008B2BC1"/>
    <w:rsid w:val="008B57E2"/>
    <w:rsid w:val="008B5F89"/>
    <w:rsid w:val="008C25F1"/>
    <w:rsid w:val="008C6098"/>
    <w:rsid w:val="008D3918"/>
    <w:rsid w:val="008D3B4F"/>
    <w:rsid w:val="008D6DAC"/>
    <w:rsid w:val="008E5E96"/>
    <w:rsid w:val="008F1AEC"/>
    <w:rsid w:val="008F21DC"/>
    <w:rsid w:val="008F4CEC"/>
    <w:rsid w:val="008F5D45"/>
    <w:rsid w:val="00901CF7"/>
    <w:rsid w:val="00902456"/>
    <w:rsid w:val="009026ED"/>
    <w:rsid w:val="00902A6A"/>
    <w:rsid w:val="00904219"/>
    <w:rsid w:val="00906711"/>
    <w:rsid w:val="00910D26"/>
    <w:rsid w:val="00915AC3"/>
    <w:rsid w:val="00924D55"/>
    <w:rsid w:val="009255C6"/>
    <w:rsid w:val="00925BF6"/>
    <w:rsid w:val="00926CCD"/>
    <w:rsid w:val="00932592"/>
    <w:rsid w:val="00932724"/>
    <w:rsid w:val="00937DAD"/>
    <w:rsid w:val="00942009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716E9"/>
    <w:rsid w:val="00972174"/>
    <w:rsid w:val="00972DC3"/>
    <w:rsid w:val="009759A6"/>
    <w:rsid w:val="009774E2"/>
    <w:rsid w:val="00977D07"/>
    <w:rsid w:val="00981029"/>
    <w:rsid w:val="00986174"/>
    <w:rsid w:val="009871F4"/>
    <w:rsid w:val="009876DC"/>
    <w:rsid w:val="00993067"/>
    <w:rsid w:val="00995DBB"/>
    <w:rsid w:val="009973FF"/>
    <w:rsid w:val="009A04C2"/>
    <w:rsid w:val="009A1A09"/>
    <w:rsid w:val="009A283F"/>
    <w:rsid w:val="009A3453"/>
    <w:rsid w:val="009A4C10"/>
    <w:rsid w:val="009A5052"/>
    <w:rsid w:val="009A7592"/>
    <w:rsid w:val="009A7BFB"/>
    <w:rsid w:val="009B2698"/>
    <w:rsid w:val="009B2A2B"/>
    <w:rsid w:val="009B4EDA"/>
    <w:rsid w:val="009D0085"/>
    <w:rsid w:val="009D1130"/>
    <w:rsid w:val="009D3211"/>
    <w:rsid w:val="009D3B48"/>
    <w:rsid w:val="009D486A"/>
    <w:rsid w:val="009D4935"/>
    <w:rsid w:val="009D56B2"/>
    <w:rsid w:val="009D5850"/>
    <w:rsid w:val="009E183D"/>
    <w:rsid w:val="009E359D"/>
    <w:rsid w:val="009E365A"/>
    <w:rsid w:val="009E4139"/>
    <w:rsid w:val="009E531E"/>
    <w:rsid w:val="009E5D63"/>
    <w:rsid w:val="009E5EFA"/>
    <w:rsid w:val="009E617A"/>
    <w:rsid w:val="009E6F8A"/>
    <w:rsid w:val="009F0BD8"/>
    <w:rsid w:val="009F2EF7"/>
    <w:rsid w:val="00A0261D"/>
    <w:rsid w:val="00A05211"/>
    <w:rsid w:val="00A071CF"/>
    <w:rsid w:val="00A11EF4"/>
    <w:rsid w:val="00A13EA4"/>
    <w:rsid w:val="00A14C59"/>
    <w:rsid w:val="00A17436"/>
    <w:rsid w:val="00A22356"/>
    <w:rsid w:val="00A23C3A"/>
    <w:rsid w:val="00A24A69"/>
    <w:rsid w:val="00A259C6"/>
    <w:rsid w:val="00A30E49"/>
    <w:rsid w:val="00A32B2A"/>
    <w:rsid w:val="00A34663"/>
    <w:rsid w:val="00A3567B"/>
    <w:rsid w:val="00A37552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78BC"/>
    <w:rsid w:val="00A53CAB"/>
    <w:rsid w:val="00A55F81"/>
    <w:rsid w:val="00A62E78"/>
    <w:rsid w:val="00A63CA6"/>
    <w:rsid w:val="00A64BCE"/>
    <w:rsid w:val="00A70B84"/>
    <w:rsid w:val="00A71D30"/>
    <w:rsid w:val="00A71DF1"/>
    <w:rsid w:val="00A727AE"/>
    <w:rsid w:val="00A763DB"/>
    <w:rsid w:val="00A80B3D"/>
    <w:rsid w:val="00A80CF4"/>
    <w:rsid w:val="00A84C9F"/>
    <w:rsid w:val="00A85A9D"/>
    <w:rsid w:val="00A86274"/>
    <w:rsid w:val="00A87406"/>
    <w:rsid w:val="00A92509"/>
    <w:rsid w:val="00A92720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3ADE"/>
    <w:rsid w:val="00AC67A9"/>
    <w:rsid w:val="00AC7662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F109B"/>
    <w:rsid w:val="00AF120E"/>
    <w:rsid w:val="00AF2816"/>
    <w:rsid w:val="00AF371C"/>
    <w:rsid w:val="00AF4B33"/>
    <w:rsid w:val="00AF63AE"/>
    <w:rsid w:val="00AF7572"/>
    <w:rsid w:val="00B044FA"/>
    <w:rsid w:val="00B04FC6"/>
    <w:rsid w:val="00B05E68"/>
    <w:rsid w:val="00B06256"/>
    <w:rsid w:val="00B13D84"/>
    <w:rsid w:val="00B15440"/>
    <w:rsid w:val="00B16375"/>
    <w:rsid w:val="00B21DD1"/>
    <w:rsid w:val="00B21F22"/>
    <w:rsid w:val="00B22450"/>
    <w:rsid w:val="00B30E91"/>
    <w:rsid w:val="00B3112C"/>
    <w:rsid w:val="00B32190"/>
    <w:rsid w:val="00B33396"/>
    <w:rsid w:val="00B3693F"/>
    <w:rsid w:val="00B37296"/>
    <w:rsid w:val="00B372CD"/>
    <w:rsid w:val="00B40E13"/>
    <w:rsid w:val="00B43628"/>
    <w:rsid w:val="00B442CF"/>
    <w:rsid w:val="00B5657B"/>
    <w:rsid w:val="00B63C24"/>
    <w:rsid w:val="00B64638"/>
    <w:rsid w:val="00B64C52"/>
    <w:rsid w:val="00B65CDD"/>
    <w:rsid w:val="00B75768"/>
    <w:rsid w:val="00B812CB"/>
    <w:rsid w:val="00B8277D"/>
    <w:rsid w:val="00B831CF"/>
    <w:rsid w:val="00B84951"/>
    <w:rsid w:val="00B855C1"/>
    <w:rsid w:val="00B874B5"/>
    <w:rsid w:val="00B900EF"/>
    <w:rsid w:val="00B929FE"/>
    <w:rsid w:val="00B92FCC"/>
    <w:rsid w:val="00B9461F"/>
    <w:rsid w:val="00B94A97"/>
    <w:rsid w:val="00BA08B4"/>
    <w:rsid w:val="00BA2D09"/>
    <w:rsid w:val="00BA3CF3"/>
    <w:rsid w:val="00BA47E0"/>
    <w:rsid w:val="00BA5F50"/>
    <w:rsid w:val="00BB2DD0"/>
    <w:rsid w:val="00BB6ED0"/>
    <w:rsid w:val="00BC048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C010EC"/>
    <w:rsid w:val="00C05742"/>
    <w:rsid w:val="00C07F9D"/>
    <w:rsid w:val="00C11D08"/>
    <w:rsid w:val="00C12980"/>
    <w:rsid w:val="00C1465D"/>
    <w:rsid w:val="00C164A1"/>
    <w:rsid w:val="00C178DF"/>
    <w:rsid w:val="00C20472"/>
    <w:rsid w:val="00C21B2E"/>
    <w:rsid w:val="00C21CA5"/>
    <w:rsid w:val="00C24535"/>
    <w:rsid w:val="00C32235"/>
    <w:rsid w:val="00C33D58"/>
    <w:rsid w:val="00C36857"/>
    <w:rsid w:val="00C36978"/>
    <w:rsid w:val="00C443A9"/>
    <w:rsid w:val="00C46578"/>
    <w:rsid w:val="00C46679"/>
    <w:rsid w:val="00C46856"/>
    <w:rsid w:val="00C51098"/>
    <w:rsid w:val="00C51EE7"/>
    <w:rsid w:val="00C52220"/>
    <w:rsid w:val="00C5265D"/>
    <w:rsid w:val="00C5482B"/>
    <w:rsid w:val="00C61B73"/>
    <w:rsid w:val="00C642A4"/>
    <w:rsid w:val="00C6499D"/>
    <w:rsid w:val="00C651BD"/>
    <w:rsid w:val="00C653B0"/>
    <w:rsid w:val="00C65A6F"/>
    <w:rsid w:val="00C66B64"/>
    <w:rsid w:val="00C67761"/>
    <w:rsid w:val="00C72AF2"/>
    <w:rsid w:val="00C74F4A"/>
    <w:rsid w:val="00C80AC1"/>
    <w:rsid w:val="00C81A8D"/>
    <w:rsid w:val="00C81FA4"/>
    <w:rsid w:val="00C8323C"/>
    <w:rsid w:val="00C83DD0"/>
    <w:rsid w:val="00C85D0B"/>
    <w:rsid w:val="00C869DC"/>
    <w:rsid w:val="00C87CE8"/>
    <w:rsid w:val="00C92770"/>
    <w:rsid w:val="00C927A0"/>
    <w:rsid w:val="00C9485F"/>
    <w:rsid w:val="00C95F13"/>
    <w:rsid w:val="00CA323C"/>
    <w:rsid w:val="00CA332B"/>
    <w:rsid w:val="00CA3918"/>
    <w:rsid w:val="00CA3989"/>
    <w:rsid w:val="00CA3AEC"/>
    <w:rsid w:val="00CA6946"/>
    <w:rsid w:val="00CB1059"/>
    <w:rsid w:val="00CB377E"/>
    <w:rsid w:val="00CB4298"/>
    <w:rsid w:val="00CB51E9"/>
    <w:rsid w:val="00CB69DF"/>
    <w:rsid w:val="00CB7601"/>
    <w:rsid w:val="00CC2528"/>
    <w:rsid w:val="00CC3DA4"/>
    <w:rsid w:val="00CD7A84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74A0"/>
    <w:rsid w:val="00D035A2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30263"/>
    <w:rsid w:val="00D30AC7"/>
    <w:rsid w:val="00D40171"/>
    <w:rsid w:val="00D41E3E"/>
    <w:rsid w:val="00D425F7"/>
    <w:rsid w:val="00D43320"/>
    <w:rsid w:val="00D45D23"/>
    <w:rsid w:val="00D47343"/>
    <w:rsid w:val="00D50007"/>
    <w:rsid w:val="00D5055C"/>
    <w:rsid w:val="00D52D32"/>
    <w:rsid w:val="00D52E0A"/>
    <w:rsid w:val="00D54652"/>
    <w:rsid w:val="00D54927"/>
    <w:rsid w:val="00D55E68"/>
    <w:rsid w:val="00D56E3B"/>
    <w:rsid w:val="00D57892"/>
    <w:rsid w:val="00D67D96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66A0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350F"/>
    <w:rsid w:val="00DB5004"/>
    <w:rsid w:val="00DB6568"/>
    <w:rsid w:val="00DB6A67"/>
    <w:rsid w:val="00DC196A"/>
    <w:rsid w:val="00DC2E42"/>
    <w:rsid w:val="00DC7F13"/>
    <w:rsid w:val="00DD2580"/>
    <w:rsid w:val="00DD2D7D"/>
    <w:rsid w:val="00DD521A"/>
    <w:rsid w:val="00DD586F"/>
    <w:rsid w:val="00DD5A72"/>
    <w:rsid w:val="00DD6502"/>
    <w:rsid w:val="00DD6BB5"/>
    <w:rsid w:val="00DD7BEB"/>
    <w:rsid w:val="00DE008F"/>
    <w:rsid w:val="00DE3616"/>
    <w:rsid w:val="00DE38A9"/>
    <w:rsid w:val="00DE4A82"/>
    <w:rsid w:val="00DE5648"/>
    <w:rsid w:val="00DE5D79"/>
    <w:rsid w:val="00DE6252"/>
    <w:rsid w:val="00DF39A7"/>
    <w:rsid w:val="00DF62B2"/>
    <w:rsid w:val="00E007BE"/>
    <w:rsid w:val="00E01FA1"/>
    <w:rsid w:val="00E02162"/>
    <w:rsid w:val="00E021E0"/>
    <w:rsid w:val="00E02DCB"/>
    <w:rsid w:val="00E06BAE"/>
    <w:rsid w:val="00E077C7"/>
    <w:rsid w:val="00E117D4"/>
    <w:rsid w:val="00E12C55"/>
    <w:rsid w:val="00E1594B"/>
    <w:rsid w:val="00E16D3D"/>
    <w:rsid w:val="00E16D50"/>
    <w:rsid w:val="00E17FE9"/>
    <w:rsid w:val="00E30EFE"/>
    <w:rsid w:val="00E313A3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96F"/>
    <w:rsid w:val="00E658C4"/>
    <w:rsid w:val="00E74CB6"/>
    <w:rsid w:val="00E752B6"/>
    <w:rsid w:val="00E767FA"/>
    <w:rsid w:val="00E80E73"/>
    <w:rsid w:val="00E90B90"/>
    <w:rsid w:val="00E9181C"/>
    <w:rsid w:val="00E91C5C"/>
    <w:rsid w:val="00E92125"/>
    <w:rsid w:val="00E948E2"/>
    <w:rsid w:val="00E976CD"/>
    <w:rsid w:val="00E97A98"/>
    <w:rsid w:val="00EA0141"/>
    <w:rsid w:val="00EA2E38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3FCC"/>
    <w:rsid w:val="00ED7C5C"/>
    <w:rsid w:val="00EE02A9"/>
    <w:rsid w:val="00EE227E"/>
    <w:rsid w:val="00EE2376"/>
    <w:rsid w:val="00EE3932"/>
    <w:rsid w:val="00EE5E0F"/>
    <w:rsid w:val="00EF0235"/>
    <w:rsid w:val="00EF0669"/>
    <w:rsid w:val="00EF7518"/>
    <w:rsid w:val="00F03889"/>
    <w:rsid w:val="00F04D52"/>
    <w:rsid w:val="00F05F1C"/>
    <w:rsid w:val="00F108D7"/>
    <w:rsid w:val="00F12823"/>
    <w:rsid w:val="00F16F88"/>
    <w:rsid w:val="00F21843"/>
    <w:rsid w:val="00F227B5"/>
    <w:rsid w:val="00F234B0"/>
    <w:rsid w:val="00F2693C"/>
    <w:rsid w:val="00F31885"/>
    <w:rsid w:val="00F32F97"/>
    <w:rsid w:val="00F34B56"/>
    <w:rsid w:val="00F35B8F"/>
    <w:rsid w:val="00F35DFA"/>
    <w:rsid w:val="00F36F52"/>
    <w:rsid w:val="00F43827"/>
    <w:rsid w:val="00F440C8"/>
    <w:rsid w:val="00F44ABD"/>
    <w:rsid w:val="00F44E5B"/>
    <w:rsid w:val="00F45CF4"/>
    <w:rsid w:val="00F45E41"/>
    <w:rsid w:val="00F503FB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5284"/>
    <w:rsid w:val="00F766AE"/>
    <w:rsid w:val="00F76EE8"/>
    <w:rsid w:val="00F80EC6"/>
    <w:rsid w:val="00F81583"/>
    <w:rsid w:val="00F82939"/>
    <w:rsid w:val="00F86A73"/>
    <w:rsid w:val="00F87F86"/>
    <w:rsid w:val="00F90043"/>
    <w:rsid w:val="00F91DB4"/>
    <w:rsid w:val="00F91DCF"/>
    <w:rsid w:val="00F932AC"/>
    <w:rsid w:val="00F93771"/>
    <w:rsid w:val="00FA24A7"/>
    <w:rsid w:val="00FA65B7"/>
    <w:rsid w:val="00FA773D"/>
    <w:rsid w:val="00FA7773"/>
    <w:rsid w:val="00FB5470"/>
    <w:rsid w:val="00FB5E5C"/>
    <w:rsid w:val="00FB7DEF"/>
    <w:rsid w:val="00FC2F0B"/>
    <w:rsid w:val="00FC7CEB"/>
    <w:rsid w:val="00FD4E2D"/>
    <w:rsid w:val="00FD50F5"/>
    <w:rsid w:val="00FD5154"/>
    <w:rsid w:val="00FD574D"/>
    <w:rsid w:val="00FE0415"/>
    <w:rsid w:val="00FE268E"/>
    <w:rsid w:val="00FE437C"/>
    <w:rsid w:val="00FE5702"/>
    <w:rsid w:val="00FE5EE0"/>
    <w:rsid w:val="00FE6EDE"/>
    <w:rsid w:val="00FE733F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BodyText3">
    <w:name w:val="Body Text 3"/>
    <w:basedOn w:val="Normal"/>
    <w:link w:val="BodyText3Char"/>
    <w:uiPriority w:val="99"/>
    <w:semiHidden/>
    <w:unhideWhenUsed/>
    <w:rsid w:val="00760B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0B80"/>
    <w:rPr>
      <w:rFonts w:ascii="Simplified Arabic" w:hAnsi="Simplified Arabic" w:cs="Times New Roman"/>
      <w:b/>
      <w:i/>
      <w:sz w:val="16"/>
      <w:szCs w:val="16"/>
    </w:rPr>
  </w:style>
  <w:style w:type="character" w:customStyle="1" w:styleId="longtext">
    <w:name w:val="long_text"/>
    <w:basedOn w:val="DefaultParagraphFont"/>
    <w:rsid w:val="00760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E2CAD-CE53-434A-B6A1-63F0C296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loays</cp:lastModifiedBy>
  <cp:revision>5</cp:revision>
  <cp:lastPrinted>2018-09-20T09:17:00Z</cp:lastPrinted>
  <dcterms:created xsi:type="dcterms:W3CDTF">2018-09-20T09:17:00Z</dcterms:created>
  <dcterms:modified xsi:type="dcterms:W3CDTF">2018-09-23T06:10:00Z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