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B9" w:rsidRDefault="00AF1CE6" w:rsidP="003A1748">
      <w:pPr>
        <w:bidi/>
        <w:rPr>
          <w:b w:val="0"/>
          <w:bCs/>
          <w:i w:val="0"/>
          <w:iCs/>
          <w:rtl/>
        </w:rPr>
      </w:pPr>
      <w:r>
        <w:rPr>
          <w:b w:val="0"/>
          <w:bCs/>
          <w:i w:val="0"/>
          <w:iCs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5108575</wp:posOffset>
            </wp:positionH>
            <wp:positionV relativeFrom="margin">
              <wp:posOffset>-302260</wp:posOffset>
            </wp:positionV>
            <wp:extent cx="1430020" cy="1035050"/>
            <wp:effectExtent l="1905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bCs/>
          <w:i w:val="0"/>
          <w:iCs/>
          <w:noProof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-549910</wp:posOffset>
            </wp:positionH>
            <wp:positionV relativeFrom="paragraph">
              <wp:posOffset>-689610</wp:posOffset>
            </wp:positionV>
            <wp:extent cx="7571740" cy="180276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BS + Ministries Headed Paper 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86D">
        <w:rPr>
          <w:rFonts w:hint="cs"/>
          <w:b w:val="0"/>
          <w:bCs/>
          <w:i w:val="0"/>
          <w:iCs/>
          <w:rtl/>
        </w:rPr>
        <w:t xml:space="preserve">                          </w:t>
      </w:r>
    </w:p>
    <w:p w:rsidR="0031286D" w:rsidRDefault="00C81FA4" w:rsidP="003A1748">
      <w:pPr>
        <w:bidi/>
        <w:rPr>
          <w:rFonts w:asciiTheme="majorBidi" w:hAnsiTheme="majorBidi" w:cstheme="majorBidi"/>
          <w:b w:val="0"/>
          <w:bCs/>
          <w:i w:val="0"/>
          <w:iCs/>
          <w:sz w:val="22"/>
          <w:szCs w:val="22"/>
          <w:rtl/>
        </w:rPr>
      </w:pPr>
      <w:r>
        <w:rPr>
          <w:rFonts w:hint="cs"/>
          <w:b w:val="0"/>
          <w:bCs/>
          <w:sz w:val="22"/>
          <w:szCs w:val="22"/>
          <w:rtl/>
        </w:rPr>
        <w:t xml:space="preserve">       </w:t>
      </w:r>
    </w:p>
    <w:p w:rsidR="003A1748" w:rsidRDefault="003A1748" w:rsidP="003A1748">
      <w:pPr>
        <w:bidi/>
        <w:rPr>
          <w:rFonts w:asciiTheme="majorBidi" w:hAnsiTheme="majorBidi" w:cstheme="majorBidi"/>
          <w:b w:val="0"/>
          <w:bCs/>
          <w:i w:val="0"/>
          <w:iCs/>
          <w:sz w:val="22"/>
          <w:szCs w:val="22"/>
          <w:rtl/>
        </w:rPr>
      </w:pPr>
    </w:p>
    <w:p w:rsidR="003A1748" w:rsidRDefault="003A1748" w:rsidP="003A1748">
      <w:pPr>
        <w:bidi/>
        <w:rPr>
          <w:rFonts w:asciiTheme="majorBidi" w:hAnsiTheme="majorBidi" w:cstheme="majorBidi"/>
          <w:b w:val="0"/>
          <w:bCs/>
          <w:i w:val="0"/>
          <w:iCs/>
          <w:sz w:val="22"/>
          <w:szCs w:val="22"/>
          <w:rtl/>
        </w:rPr>
      </w:pPr>
    </w:p>
    <w:p w:rsidR="003A1748" w:rsidRDefault="003A1748" w:rsidP="003A1748">
      <w:pPr>
        <w:bidi/>
        <w:rPr>
          <w:rFonts w:asciiTheme="majorBidi" w:hAnsiTheme="majorBidi" w:cstheme="majorBidi"/>
          <w:b w:val="0"/>
          <w:bCs/>
          <w:i w:val="0"/>
          <w:iCs/>
          <w:sz w:val="22"/>
          <w:szCs w:val="22"/>
          <w:rtl/>
        </w:rPr>
      </w:pPr>
    </w:p>
    <w:p w:rsidR="003A1748" w:rsidRPr="00FD50F5" w:rsidRDefault="003A1748" w:rsidP="003A1748">
      <w:pPr>
        <w:bidi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</w:p>
    <w:p w:rsidR="001F4820" w:rsidRPr="00D9038B" w:rsidRDefault="001F4820" w:rsidP="00440AB9">
      <w:pPr>
        <w:bidi/>
        <w:spacing w:line="480" w:lineRule="exact"/>
        <w:jc w:val="center"/>
        <w:rPr>
          <w:rFonts w:cs="Simplified Arabic"/>
          <w:sz w:val="28"/>
          <w:szCs w:val="28"/>
        </w:rPr>
      </w:pPr>
    </w:p>
    <w:p w:rsidR="00AF1CE6" w:rsidRPr="00AF1CE6" w:rsidRDefault="00AF1CE6" w:rsidP="00AF1CE6">
      <w:pPr>
        <w:bidi/>
        <w:spacing w:line="480" w:lineRule="exact"/>
        <w:jc w:val="center"/>
        <w:rPr>
          <w:rFonts w:cs="Simplified Arabic"/>
          <w:i w:val="0"/>
          <w:iCs/>
          <w:sz w:val="28"/>
          <w:szCs w:val="28"/>
        </w:rPr>
      </w:pPr>
      <w:r w:rsidRPr="00AF1CE6">
        <w:rPr>
          <w:rFonts w:ascii="Times New Roman" w:hAnsi="Times New Roman"/>
          <w:i w:val="0"/>
          <w:iCs/>
          <w:sz w:val="28"/>
          <w:szCs w:val="28"/>
        </w:rPr>
        <w:t>Central Bureau of Statistics (PCBS) and the Palestine Monetary Authority (PMA)</w:t>
      </w:r>
    </w:p>
    <w:p w:rsidR="00AF1CE6" w:rsidRPr="00AF1CE6" w:rsidRDefault="00AF1CE6" w:rsidP="00AF1CE6">
      <w:pPr>
        <w:autoSpaceDE w:val="0"/>
        <w:autoSpaceDN w:val="0"/>
        <w:rPr>
          <w:rFonts w:ascii="Arial" w:hAnsi="Arial" w:cs="Arial"/>
          <w:i w:val="0"/>
          <w:iCs/>
          <w:sz w:val="28"/>
          <w:szCs w:val="28"/>
          <w:rtl/>
        </w:rPr>
      </w:pPr>
    </w:p>
    <w:p w:rsidR="00AF1CE6" w:rsidRPr="00AF1CE6" w:rsidRDefault="00AF1CE6" w:rsidP="00AF1CE6">
      <w:pPr>
        <w:autoSpaceDE w:val="0"/>
        <w:autoSpaceDN w:val="0"/>
        <w:jc w:val="center"/>
        <w:rPr>
          <w:rFonts w:ascii="Arial" w:hAnsi="Arial" w:cs="Arial"/>
          <w:i w:val="0"/>
          <w:iCs/>
          <w:sz w:val="28"/>
          <w:szCs w:val="28"/>
        </w:rPr>
      </w:pPr>
      <w:r w:rsidRPr="00AF1CE6">
        <w:rPr>
          <w:rFonts w:ascii="Times New Roman" w:hAnsi="Times New Roman"/>
          <w:i w:val="0"/>
          <w:iCs/>
          <w:sz w:val="28"/>
          <w:szCs w:val="28"/>
        </w:rPr>
        <w:t>Results Announcement</w:t>
      </w:r>
    </w:p>
    <w:p w:rsidR="00AF1CE6" w:rsidRPr="00AF1CE6" w:rsidRDefault="00AF1CE6" w:rsidP="00AF1CE6">
      <w:pPr>
        <w:spacing w:line="480" w:lineRule="exact"/>
        <w:jc w:val="center"/>
        <w:rPr>
          <w:rFonts w:ascii="Times New Roman" w:hAnsi="Times New Roman"/>
          <w:i w:val="0"/>
          <w:iCs/>
          <w:sz w:val="28"/>
          <w:szCs w:val="28"/>
          <w:rtl/>
        </w:rPr>
      </w:pPr>
      <w:r w:rsidRPr="00AF1CE6">
        <w:rPr>
          <w:rFonts w:ascii="Times New Roman" w:hAnsi="Times New Roman"/>
          <w:i w:val="0"/>
          <w:iCs/>
          <w:sz w:val="28"/>
          <w:szCs w:val="28"/>
        </w:rPr>
        <w:t>International Investment Position &amp; External Debt Second Quarter 2017</w:t>
      </w:r>
    </w:p>
    <w:p w:rsidR="00DB5004" w:rsidRDefault="00AF1CE6" w:rsidP="00DB5004">
      <w:pPr>
        <w:autoSpaceDE w:val="0"/>
        <w:autoSpaceDN w:val="0"/>
        <w:adjustRightInd w:val="0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</w:p>
    <w:p w:rsidR="00DB5004" w:rsidRPr="00E23D7F" w:rsidRDefault="00DB5004" w:rsidP="00DB5004">
      <w:pPr>
        <w:pStyle w:val="BodyText3"/>
        <w:ind w:right="70"/>
        <w:rPr>
          <w:rFonts w:asciiTheme="majorBidi" w:hAnsiTheme="majorBidi" w:cstheme="majorBidi"/>
          <w:i w:val="0"/>
          <w:iCs/>
          <w:sz w:val="24"/>
          <w:szCs w:val="24"/>
        </w:rPr>
      </w:pPr>
    </w:p>
    <w:p w:rsidR="00DB5004" w:rsidRPr="00E23D7F" w:rsidRDefault="00DB5004" w:rsidP="00DB5004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Palestinian Central Bureau of Statistics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(PCBS)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the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Monetary Authority (PMA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announced the preliminary results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0E58D6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International Investment Position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(IIP), and External Debt statistics for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end of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second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quarter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2017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DB5004" w:rsidRPr="00AF1CE6" w:rsidRDefault="00DB5004" w:rsidP="00DB5004">
      <w:pPr>
        <w:pStyle w:val="BodyText3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E04202" w:rsidRDefault="00DB5004" w:rsidP="004B7C0D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primary results of the IIP (external assets – foreign liabilities) for Palestine at the end of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second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quarter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2017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revealed that the net IIP amounted to about USD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1,102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which means that the Palestinian economy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’s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investment</w:t>
      </w:r>
      <w:r w:rsidR="00E909E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outside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outweighs investmen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="00E909E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 Palestine from abroad.  The </w:t>
      </w:r>
      <w:r w:rsidR="004B7C0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esident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cash deposits in foreign banks and foreign exchange in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Palestinian economy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accounted for the bulk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 external assets, 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constituting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63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Pr="00E0420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of the total value of external assets.</w:t>
      </w:r>
    </w:p>
    <w:p w:rsidR="00DB5004" w:rsidRPr="00AF1CE6" w:rsidRDefault="00DB5004" w:rsidP="00DB5004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34603E" w:rsidRDefault="00DB5004" w:rsidP="006251C6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total stocks of External Assets for Palestine amounted to USD 6,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204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</w:t>
      </w:r>
      <w:r w:rsidR="004B7C0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Foreign Direct Investment abroad contributed to 6.3%, Portfolio Investments abroad reached 19%, while Other Foreign Investments abroad (mainly currency and deposits) reached 67.3% and Reserve Assets amounted to 7.4%. At </w:t>
      </w:r>
      <w:proofErr w:type="spellStart"/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sectoral</w:t>
      </w:r>
      <w:proofErr w:type="spellEnd"/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lev</w:t>
      </w:r>
      <w:r w:rsidR="006251C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el, the external investments of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banks sector represented a large share of the external assets, standing at 75.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of the total value of external assets.</w:t>
      </w:r>
    </w:p>
    <w:p w:rsidR="00DB5004" w:rsidRPr="00AF1CE6" w:rsidRDefault="00DB5004" w:rsidP="00DB5004">
      <w:pPr>
        <w:pStyle w:val="BodyText3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E23D7F" w:rsidRDefault="00DB5004" w:rsidP="006251C6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total stocks of Foreign Liabilities in Palestine (Stocks of non-residents invested in Palestine) amounted to USD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Pr="003B332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102 million, 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Foreign Direct Investment in Palestine contributed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50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Portfolio Investments in Palestine reached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13.8%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and Other Investments in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(mainly loans and deposits from abroad)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amounted to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36.2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%.  According to </w:t>
      </w:r>
      <w:proofErr w:type="spellStart"/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sectoral</w:t>
      </w:r>
      <w:proofErr w:type="spellEnd"/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level, the foreign investments in bank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 contributed a major value in the foreign liabilities, represented by </w:t>
      </w:r>
      <w:r w:rsidRPr="00C1264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8</w:t>
      </w:r>
      <w:r w:rsidRPr="00C1264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4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of the total value of foreign liabilities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on Palestinian economy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DB5004" w:rsidRPr="00AF1CE6" w:rsidRDefault="00DB5004" w:rsidP="00DB5004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F12038" w:rsidRDefault="00DB5004" w:rsidP="006251C6">
      <w:pPr>
        <w:pStyle w:val="BodyText3"/>
        <w:jc w:val="both"/>
        <w:rPr>
          <w:rFonts w:ascii="Times New Roman" w:hAnsi="Times New Roman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Gross External Debt on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different sectors of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Palestinian economy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reached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USD 1,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85</w:t>
      </w:r>
      <w:r w:rsidR="00090697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4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6251C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debt on government sector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represented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55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 while debt on bank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 reached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40.9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 and debt on other sectors (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Nonbank financial corporations, non-financial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corporations,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NGOs and household sector) amounted to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3.8%,</w:t>
      </w:r>
      <w:r w:rsidRPr="00F1203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8C393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the lending between affiliated companies 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>reached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0.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>%.</w:t>
      </w:r>
    </w:p>
    <w:p w:rsidR="00DB5004" w:rsidRPr="00AF1CE6" w:rsidRDefault="00DB5004" w:rsidP="00DB5004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rtl/>
        </w:rPr>
      </w:pPr>
    </w:p>
    <w:p w:rsidR="00DB5004" w:rsidRDefault="00DB5004" w:rsidP="00FD7ED6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International Investment Position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(IIP) is a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n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accounting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sheet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that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record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 the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investments stocks for the residents in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(individuals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institutions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rest of the world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(abroad)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 the name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(assets)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compares them to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 investments stocks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owned by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residents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outside Palestine (individuals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institutions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Palestine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name of (liabilities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DB5004" w:rsidRPr="00AF1CE6" w:rsidRDefault="00DB5004" w:rsidP="00DB5004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AF1CE6" w:rsidRDefault="00AF1CE6" w:rsidP="00DC1F91">
      <w:pPr>
        <w:pStyle w:val="BodyText3"/>
        <w:jc w:val="both"/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</w:pPr>
    </w:p>
    <w:p w:rsidR="00AF1CE6" w:rsidRDefault="00AF1CE6" w:rsidP="00DC1F91">
      <w:pPr>
        <w:pStyle w:val="BodyText3"/>
        <w:jc w:val="both"/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</w:pPr>
    </w:p>
    <w:p w:rsidR="00DB5004" w:rsidRDefault="00DB5004" w:rsidP="00DC1F91">
      <w:pPr>
        <w:pStyle w:val="BodyText3"/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 xml:space="preserve">The Balance of Payments Manual - fifth edition, issued by the International Monetary Fund in 1993, divides the assets and liabilities </w:t>
      </w:r>
      <w:r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in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to direct investment (investment by 10% and more in the non-resident capital), and portfolio investment (investment less than 10% in the non-resident capital as well as investment in bonds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other investments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DC1F9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 divides these other investments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into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 trade credit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loans, currency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deposits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any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other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assets or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liabilities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in addition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the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Reserve Assets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i.e.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held by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Central </w:t>
      </w:r>
      <w:r w:rsidR="00DC1F9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B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anks/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Monetary Authorit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address the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imbalances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balance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payments,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it is worth mentioning that the reserve assets are only included in the asset side. </w:t>
      </w:r>
    </w:p>
    <w:p w:rsidR="00DB5004" w:rsidRPr="00AF1CE6" w:rsidRDefault="00DB5004" w:rsidP="00DB5004">
      <w:pPr>
        <w:pStyle w:val="BodyText3"/>
        <w:jc w:val="both"/>
        <w:rPr>
          <w:rStyle w:val="hps"/>
          <w:rFonts w:asciiTheme="majorBidi" w:hAnsiTheme="majorBidi" w:cstheme="majorBidi"/>
          <w:b w:val="0"/>
          <w:bCs/>
          <w:i w:val="0"/>
          <w:iCs/>
        </w:rPr>
      </w:pPr>
    </w:p>
    <w:p w:rsidR="00DB5004" w:rsidRDefault="00DB5004" w:rsidP="00DC1F91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  <w:r w:rsidRPr="00E23D7F">
        <w:rPr>
          <w:rStyle w:val="hps"/>
          <w:rFonts w:asciiTheme="majorBidi" w:hAnsiTheme="majorBidi" w:cstheme="majorBidi"/>
          <w:bCs/>
          <w:iCs/>
          <w:szCs w:val="24"/>
        </w:rPr>
        <w:t>The External Debt is a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n accounting sheet </w:t>
      </w:r>
      <w:r>
        <w:rPr>
          <w:rFonts w:asciiTheme="majorBidi" w:hAnsiTheme="majorBidi" w:cstheme="majorBidi"/>
          <w:bCs/>
          <w:iCs/>
          <w:szCs w:val="24"/>
        </w:rPr>
        <w:t xml:space="preserve">that </w:t>
      </w:r>
      <w:r w:rsidRPr="00E23D7F">
        <w:rPr>
          <w:rFonts w:asciiTheme="majorBidi" w:hAnsiTheme="majorBidi" w:cstheme="majorBidi"/>
          <w:bCs/>
          <w:iCs/>
          <w:szCs w:val="24"/>
        </w:rPr>
        <w:t>records the debt stocks on Palestinian econom</w:t>
      </w:r>
      <w:r>
        <w:rPr>
          <w:rFonts w:asciiTheme="majorBidi" w:hAnsiTheme="majorBidi" w:cstheme="majorBidi"/>
          <w:bCs/>
          <w:iCs/>
          <w:szCs w:val="24"/>
        </w:rPr>
        <w:t>ic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sectors due to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residents</w:t>
      </w:r>
      <w:r>
        <w:rPr>
          <w:rFonts w:asciiTheme="majorBidi" w:hAnsiTheme="majorBidi" w:cstheme="majorBidi"/>
          <w:bCs/>
          <w:iCs/>
          <w:szCs w:val="24"/>
        </w:rPr>
        <w:t>.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</w:t>
      </w:r>
      <w:r>
        <w:rPr>
          <w:rFonts w:asciiTheme="majorBidi" w:hAnsiTheme="majorBidi" w:cstheme="majorBidi"/>
          <w:bCs/>
          <w:iCs/>
          <w:szCs w:val="24"/>
        </w:rPr>
        <w:t>These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include (loans from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</w:t>
      </w:r>
      <w:r>
        <w:rPr>
          <w:rFonts w:asciiTheme="majorBidi" w:hAnsiTheme="majorBidi" w:cstheme="majorBidi"/>
          <w:bCs/>
          <w:iCs/>
          <w:szCs w:val="24"/>
        </w:rPr>
        <w:t xml:space="preserve">s, </w:t>
      </w:r>
      <w:r w:rsidRPr="00E23D7F">
        <w:rPr>
          <w:rFonts w:asciiTheme="majorBidi" w:hAnsiTheme="majorBidi" w:cstheme="majorBidi"/>
          <w:bCs/>
          <w:iCs/>
          <w:szCs w:val="24"/>
        </w:rPr>
        <w:t>the</w:t>
      </w:r>
      <w:r w:rsidR="00DC1F91">
        <w:rPr>
          <w:rFonts w:asciiTheme="majorBidi" w:hAnsiTheme="majorBidi" w:cstheme="majorBidi"/>
          <w:bCs/>
          <w:iCs/>
          <w:szCs w:val="24"/>
        </w:rPr>
        <w:t xml:space="preserve"> deposit</w:t>
      </w:r>
      <w:r w:rsidR="00260883">
        <w:rPr>
          <w:rFonts w:asciiTheme="majorBidi" w:hAnsiTheme="majorBidi" w:cstheme="majorBidi"/>
          <w:bCs/>
          <w:iCs/>
          <w:szCs w:val="24"/>
        </w:rPr>
        <w:t>s</w:t>
      </w:r>
      <w:r w:rsidR="00DC1F91">
        <w:rPr>
          <w:rFonts w:asciiTheme="majorBidi" w:hAnsiTheme="majorBidi" w:cstheme="majorBidi"/>
          <w:bCs/>
          <w:iCs/>
          <w:szCs w:val="24"/>
        </w:rPr>
        <w:t xml:space="preserve"> of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</w:t>
      </w:r>
      <w:r w:rsidR="000C0673">
        <w:rPr>
          <w:rFonts w:asciiTheme="majorBidi" w:hAnsiTheme="majorBidi" w:cstheme="majorBidi"/>
          <w:bCs/>
          <w:iCs/>
          <w:szCs w:val="24"/>
        </w:rPr>
        <w:t xml:space="preserve">the </w:t>
      </w:r>
      <w:r w:rsidRPr="00E23D7F">
        <w:rPr>
          <w:rFonts w:asciiTheme="majorBidi" w:hAnsiTheme="majorBidi" w:cstheme="majorBidi"/>
          <w:bCs/>
          <w:iCs/>
          <w:szCs w:val="24"/>
        </w:rPr>
        <w:t>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residents deposited in the banks sector in Palestine, the Palestinian bonds purchased by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residents, debt transactions between the non-resident enterprises and fellow enterprises in </w:t>
      </w:r>
      <w:r>
        <w:rPr>
          <w:rFonts w:asciiTheme="majorBidi" w:hAnsiTheme="majorBidi" w:cstheme="majorBidi"/>
          <w:bCs/>
          <w:iCs/>
          <w:szCs w:val="24"/>
        </w:rPr>
        <w:t>Palestine. They encompass as well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any other liabilities on Palestinian economy) the data of external debt have been extracted from the liabilities side in the international investment </w:t>
      </w:r>
      <w:r>
        <w:rPr>
          <w:rFonts w:asciiTheme="majorBidi" w:hAnsiTheme="majorBidi" w:cstheme="majorBidi"/>
          <w:bCs/>
          <w:iCs/>
          <w:szCs w:val="24"/>
        </w:rPr>
        <w:t xml:space="preserve">position matrix (debt items). </w:t>
      </w:r>
      <w:r w:rsidRPr="00E23D7F">
        <w:rPr>
          <w:rFonts w:asciiTheme="majorBidi" w:hAnsiTheme="majorBidi" w:cstheme="majorBidi"/>
          <w:bCs/>
          <w:iCs/>
          <w:szCs w:val="24"/>
        </w:rPr>
        <w:t>Preparing, classifying and publishing of the data based on (External Debt Statistics Manual) issued by IMF in 2003, this manual is harmonized with 5</w:t>
      </w:r>
      <w:r w:rsidRPr="00E23D7F">
        <w:rPr>
          <w:rFonts w:asciiTheme="majorBidi" w:hAnsiTheme="majorBidi" w:cstheme="majorBidi"/>
          <w:bCs/>
          <w:iCs/>
          <w:szCs w:val="24"/>
          <w:vertAlign w:val="superscript"/>
        </w:rPr>
        <w:t>th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edition of Balance of Payments and International Investment Position Man</w:t>
      </w:r>
      <w:bookmarkStart w:id="0" w:name="_GoBack"/>
      <w:bookmarkEnd w:id="0"/>
      <w:r w:rsidRPr="00E23D7F">
        <w:rPr>
          <w:rFonts w:asciiTheme="majorBidi" w:hAnsiTheme="majorBidi" w:cstheme="majorBidi"/>
          <w:bCs/>
          <w:iCs/>
          <w:szCs w:val="24"/>
        </w:rPr>
        <w:t xml:space="preserve">ual  </w:t>
      </w:r>
    </w:p>
    <w:p w:rsidR="00DB5004" w:rsidRPr="00AF1CE6" w:rsidRDefault="00DB5004" w:rsidP="00DB5004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16"/>
          <w:szCs w:val="16"/>
        </w:rPr>
      </w:pPr>
    </w:p>
    <w:p w:rsidR="00DB5004" w:rsidRPr="00706382" w:rsidRDefault="00DB5004" w:rsidP="00DB5004">
      <w:pPr>
        <w:pStyle w:val="BodyText"/>
        <w:bidi w:val="0"/>
        <w:jc w:val="both"/>
        <w:rPr>
          <w:rFonts w:asciiTheme="majorBidi" w:hAnsiTheme="majorBidi" w:cstheme="majorBidi"/>
          <w:b/>
          <w:iCs/>
          <w:szCs w:val="24"/>
        </w:rPr>
      </w:pPr>
      <w:r w:rsidRPr="00706382">
        <w:rPr>
          <w:rFonts w:asciiTheme="majorBidi" w:hAnsiTheme="majorBidi" w:cstheme="majorBidi"/>
          <w:b/>
          <w:iCs/>
          <w:szCs w:val="24"/>
        </w:rPr>
        <w:t>For further details please contact:</w:t>
      </w:r>
    </w:p>
    <w:p w:rsidR="00DB5004" w:rsidRPr="00706382" w:rsidRDefault="00DB5004" w:rsidP="00DB5004">
      <w:pPr>
        <w:pStyle w:val="BodyText"/>
        <w:bidi w:val="0"/>
        <w:jc w:val="both"/>
        <w:rPr>
          <w:rFonts w:asciiTheme="majorBidi" w:hAnsiTheme="majorBidi" w:cstheme="majorBidi"/>
          <w:b/>
          <w:iCs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4219"/>
        <w:gridCol w:w="992"/>
        <w:gridCol w:w="4032"/>
      </w:tblGrid>
      <w:tr w:rsidR="00DB5004" w:rsidRPr="00706382" w:rsidTr="00AF1CE6">
        <w:trPr>
          <w:jc w:val="center"/>
        </w:trPr>
        <w:tc>
          <w:tcPr>
            <w:tcW w:w="4219" w:type="dxa"/>
            <w:vAlign w:val="center"/>
          </w:tcPr>
          <w:p w:rsidR="00DB5004" w:rsidRPr="0090567F" w:rsidRDefault="00DB5004" w:rsidP="00AF1CE6">
            <w:pPr>
              <w:pStyle w:val="BodyText"/>
              <w:bidi w:val="0"/>
              <w:ind w:right="-108"/>
              <w:jc w:val="center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Palestinian Central Bureau of Statistics</w:t>
            </w:r>
          </w:p>
        </w:tc>
        <w:tc>
          <w:tcPr>
            <w:tcW w:w="992" w:type="dxa"/>
            <w:vAlign w:val="center"/>
          </w:tcPr>
          <w:p w:rsidR="00DB5004" w:rsidRPr="0090567F" w:rsidRDefault="00DB5004" w:rsidP="00AF1CE6">
            <w:pPr>
              <w:pStyle w:val="BodyText"/>
              <w:bidi w:val="0"/>
              <w:jc w:val="center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Or</w:t>
            </w:r>
          </w:p>
        </w:tc>
        <w:tc>
          <w:tcPr>
            <w:tcW w:w="4032" w:type="dxa"/>
            <w:vAlign w:val="center"/>
          </w:tcPr>
          <w:p w:rsidR="00DB5004" w:rsidRPr="0090567F" w:rsidRDefault="00DB5004" w:rsidP="00AF1CE6">
            <w:pPr>
              <w:pStyle w:val="BodyText"/>
              <w:bidi w:val="0"/>
              <w:jc w:val="center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Palestine Monetary Authority</w:t>
            </w:r>
          </w:p>
        </w:tc>
      </w:tr>
      <w:tr w:rsidR="00DB5004" w:rsidRPr="00706382" w:rsidTr="00AF1CE6">
        <w:trPr>
          <w:jc w:val="center"/>
        </w:trPr>
        <w:tc>
          <w:tcPr>
            <w:tcW w:w="4219" w:type="dxa"/>
            <w:vAlign w:val="center"/>
          </w:tcPr>
          <w:p w:rsidR="00DB5004" w:rsidRPr="0090567F" w:rsidRDefault="00DB5004" w:rsidP="00AF1CE6">
            <w:pPr>
              <w:pStyle w:val="BodyText"/>
              <w:bidi w:val="0"/>
              <w:jc w:val="center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P.O.</w:t>
            </w:r>
            <w:r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 </w:t>
            </w: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Box 1647, Ramallah- Palestine.</w:t>
            </w:r>
          </w:p>
        </w:tc>
        <w:tc>
          <w:tcPr>
            <w:tcW w:w="992" w:type="dxa"/>
            <w:vAlign w:val="center"/>
          </w:tcPr>
          <w:p w:rsidR="00DB5004" w:rsidRPr="0090567F" w:rsidRDefault="00DB5004" w:rsidP="00AF1CE6">
            <w:pPr>
              <w:pStyle w:val="BodyText"/>
              <w:bidi w:val="0"/>
              <w:jc w:val="center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DB5004" w:rsidRPr="0090567F" w:rsidRDefault="00DB5004" w:rsidP="00AF1CE6">
            <w:pPr>
              <w:pStyle w:val="BodyText"/>
              <w:bidi w:val="0"/>
              <w:jc w:val="center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P.O.</w:t>
            </w:r>
            <w:r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 </w:t>
            </w: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Box 452, Ramallah- Palestine.</w:t>
            </w:r>
          </w:p>
        </w:tc>
      </w:tr>
      <w:tr w:rsidR="00DB5004" w:rsidRPr="00E23D7F" w:rsidTr="00AF1CE6">
        <w:trPr>
          <w:jc w:val="center"/>
        </w:trPr>
        <w:tc>
          <w:tcPr>
            <w:tcW w:w="4219" w:type="dxa"/>
            <w:vAlign w:val="center"/>
          </w:tcPr>
          <w:p w:rsidR="00DB5004" w:rsidRPr="0090567F" w:rsidRDefault="00DB5004" w:rsidP="00AF1CE6">
            <w:pPr>
              <w:pStyle w:val="BodyText"/>
              <w:bidi w:val="0"/>
              <w:jc w:val="center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5004" w:rsidRPr="0090567F" w:rsidRDefault="00DB5004" w:rsidP="00AF1CE6">
            <w:pPr>
              <w:pStyle w:val="BodyText"/>
              <w:bidi w:val="0"/>
              <w:jc w:val="center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DB5004" w:rsidRPr="0090567F" w:rsidRDefault="00DB5004" w:rsidP="00AF1CE6">
            <w:pPr>
              <w:pStyle w:val="BodyText"/>
              <w:bidi w:val="0"/>
              <w:jc w:val="center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</w:tr>
      <w:tr w:rsidR="00DB5004" w:rsidRPr="00E23D7F" w:rsidTr="00AF1CE6">
        <w:trPr>
          <w:jc w:val="center"/>
        </w:trPr>
        <w:tc>
          <w:tcPr>
            <w:tcW w:w="4219" w:type="dxa"/>
            <w:vAlign w:val="center"/>
          </w:tcPr>
          <w:p w:rsidR="00DB5004" w:rsidRPr="0090567F" w:rsidRDefault="00DB5004" w:rsidP="00AF1CE6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  <w:sz w:val="20"/>
                <w:szCs w:val="20"/>
              </w:rPr>
              <w:t xml:space="preserve">Tel:   </w:t>
            </w:r>
            <w:r w:rsidRPr="0090567F">
              <w:rPr>
                <w:rFonts w:asciiTheme="majorBidi" w:hAnsiTheme="majorBidi" w:cstheme="majorBidi"/>
                <w:b w:val="0"/>
                <w:bCs/>
                <w:i w:val="0"/>
                <w:iCs/>
                <w:sz w:val="20"/>
                <w:szCs w:val="20"/>
              </w:rPr>
              <w:t>(972/970) 2 2982700</w:t>
            </w:r>
          </w:p>
        </w:tc>
        <w:tc>
          <w:tcPr>
            <w:tcW w:w="992" w:type="dxa"/>
            <w:vAlign w:val="center"/>
          </w:tcPr>
          <w:p w:rsidR="00DB5004" w:rsidRPr="0090567F" w:rsidRDefault="00DB5004" w:rsidP="00AF1CE6">
            <w:pPr>
              <w:pStyle w:val="BodyText"/>
              <w:bidi w:val="0"/>
              <w:jc w:val="center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DB5004" w:rsidRPr="0090567F" w:rsidRDefault="00DB5004" w:rsidP="00AF1CE6">
            <w:pPr>
              <w:pStyle w:val="BodyText"/>
              <w:bidi w:val="0"/>
              <w:jc w:val="center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Tel:   (972/970) 2 2415250</w:t>
            </w:r>
          </w:p>
        </w:tc>
      </w:tr>
      <w:tr w:rsidR="00DB5004" w:rsidRPr="00E23D7F" w:rsidTr="00AF1CE6">
        <w:trPr>
          <w:jc w:val="center"/>
        </w:trPr>
        <w:tc>
          <w:tcPr>
            <w:tcW w:w="4219" w:type="dxa"/>
            <w:vAlign w:val="center"/>
          </w:tcPr>
          <w:p w:rsidR="00DB5004" w:rsidRPr="0090567F" w:rsidRDefault="00DB5004" w:rsidP="00AF1CE6">
            <w:pPr>
              <w:pStyle w:val="BodyText"/>
              <w:bidi w:val="0"/>
              <w:jc w:val="center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Fax:  (972/970) 2 2982710</w:t>
            </w:r>
          </w:p>
        </w:tc>
        <w:tc>
          <w:tcPr>
            <w:tcW w:w="992" w:type="dxa"/>
            <w:vAlign w:val="center"/>
          </w:tcPr>
          <w:p w:rsidR="00DB5004" w:rsidRPr="0090567F" w:rsidRDefault="00DB5004" w:rsidP="00AF1CE6">
            <w:pPr>
              <w:pStyle w:val="BodyText"/>
              <w:bidi w:val="0"/>
              <w:jc w:val="center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DB5004" w:rsidRPr="0090567F" w:rsidRDefault="00DB5004" w:rsidP="00AF1CE6">
            <w:pPr>
              <w:pStyle w:val="BodyText"/>
              <w:bidi w:val="0"/>
              <w:jc w:val="center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FR" w:eastAsia="fr-FR"/>
              </w:rPr>
              <w:t>Fax:  (972/970) 2 2409922</w:t>
            </w:r>
          </w:p>
        </w:tc>
      </w:tr>
      <w:tr w:rsidR="00DB5004" w:rsidRPr="00E23D7F" w:rsidTr="00AF1CE6">
        <w:trPr>
          <w:jc w:val="center"/>
        </w:trPr>
        <w:tc>
          <w:tcPr>
            <w:tcW w:w="4219" w:type="dxa"/>
            <w:vAlign w:val="center"/>
          </w:tcPr>
          <w:p w:rsidR="00DB5004" w:rsidRPr="0090567F" w:rsidRDefault="00DB5004" w:rsidP="00AF1CE6">
            <w:pPr>
              <w:pStyle w:val="BodyText"/>
              <w:bidi w:val="0"/>
              <w:jc w:val="center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 xml:space="preserve">Toll free: </w:t>
            </w:r>
            <w:r w:rsidRPr="004F2550">
              <w:rPr>
                <w:rFonts w:asciiTheme="majorBidi" w:hAnsiTheme="majorBidi" w:cstheme="majorBidi"/>
                <w:b/>
                <w:i/>
                <w:sz w:val="20"/>
                <w:szCs w:val="20"/>
                <w:rtl/>
                <w:lang w:val="en-GB"/>
              </w:rPr>
              <w:t>1800300300</w:t>
            </w:r>
          </w:p>
        </w:tc>
        <w:tc>
          <w:tcPr>
            <w:tcW w:w="992" w:type="dxa"/>
            <w:vAlign w:val="center"/>
          </w:tcPr>
          <w:p w:rsidR="00DB5004" w:rsidRPr="0090567F" w:rsidRDefault="00DB5004" w:rsidP="00AF1CE6">
            <w:pPr>
              <w:pStyle w:val="BodyText"/>
              <w:bidi w:val="0"/>
              <w:jc w:val="center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DB5004" w:rsidRPr="0090567F" w:rsidRDefault="00DB5004" w:rsidP="00AF1CE6">
            <w:pPr>
              <w:pStyle w:val="BodyText"/>
              <w:bidi w:val="0"/>
              <w:jc w:val="center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</w:tr>
      <w:tr w:rsidR="00DB5004" w:rsidRPr="005A78C3" w:rsidTr="00AF1CE6">
        <w:trPr>
          <w:jc w:val="center"/>
        </w:trPr>
        <w:tc>
          <w:tcPr>
            <w:tcW w:w="4219" w:type="dxa"/>
            <w:vAlign w:val="center"/>
          </w:tcPr>
          <w:p w:rsidR="00DB5004" w:rsidRPr="0090567F" w:rsidRDefault="00DB5004" w:rsidP="00AF1CE6">
            <w:pPr>
              <w:pStyle w:val="BodyText"/>
              <w:bidi w:val="0"/>
              <w:jc w:val="center"/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CA"/>
              </w:rPr>
            </w:pPr>
            <w:proofErr w:type="spellStart"/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FR" w:eastAsia="fr-FR"/>
              </w:rPr>
              <w:t>E-Mail</w:t>
            </w:r>
            <w:proofErr w:type="spellEnd"/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FR" w:eastAsia="fr-FR"/>
              </w:rPr>
              <w:t xml:space="preserve">:     </w:t>
            </w:r>
            <w:hyperlink r:id="rId10" w:history="1">
              <w:r w:rsidRPr="0090567F">
                <w:rPr>
                  <w:rStyle w:val="Hyperlink"/>
                  <w:rFonts w:asciiTheme="majorBidi" w:hAnsiTheme="majorBidi" w:cstheme="majorBidi"/>
                  <w:bCs/>
                  <w:iCs/>
                  <w:sz w:val="20"/>
                  <w:szCs w:val="20"/>
                  <w:lang w:val="fr-FR" w:eastAsia="fr-FR"/>
                </w:rPr>
                <w:t>diwan@pcbs.gov.ps</w:t>
              </w:r>
            </w:hyperlink>
          </w:p>
        </w:tc>
        <w:tc>
          <w:tcPr>
            <w:tcW w:w="992" w:type="dxa"/>
            <w:vAlign w:val="center"/>
          </w:tcPr>
          <w:p w:rsidR="00DB5004" w:rsidRPr="0090567F" w:rsidRDefault="00DB5004" w:rsidP="00AF1CE6">
            <w:pPr>
              <w:pStyle w:val="BodyText"/>
              <w:bidi w:val="0"/>
              <w:jc w:val="center"/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CA"/>
              </w:rPr>
            </w:pPr>
          </w:p>
        </w:tc>
        <w:tc>
          <w:tcPr>
            <w:tcW w:w="4032" w:type="dxa"/>
            <w:vAlign w:val="center"/>
          </w:tcPr>
          <w:p w:rsidR="00DB5004" w:rsidRPr="0090567F" w:rsidRDefault="00DB5004" w:rsidP="00AF1CE6">
            <w:pPr>
              <w:pStyle w:val="BodyText"/>
              <w:bidi w:val="0"/>
              <w:jc w:val="center"/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CA"/>
              </w:rPr>
            </w:pPr>
            <w:proofErr w:type="spellStart"/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FR" w:eastAsia="fr-FR"/>
              </w:rPr>
              <w:t>E-Mail</w:t>
            </w:r>
            <w:proofErr w:type="spellEnd"/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FR" w:eastAsia="fr-FR"/>
              </w:rPr>
              <w:t xml:space="preserve">:     </w:t>
            </w:r>
            <w:hyperlink r:id="rId11" w:history="1">
              <w:r w:rsidRPr="0090567F">
                <w:rPr>
                  <w:rStyle w:val="Hyperlink"/>
                  <w:rFonts w:asciiTheme="majorBidi" w:hAnsiTheme="majorBidi" w:cstheme="majorBidi"/>
                  <w:bCs/>
                  <w:iCs/>
                  <w:sz w:val="20"/>
                  <w:szCs w:val="20"/>
                  <w:lang w:val="fr-FR" w:eastAsia="fr-FR"/>
                </w:rPr>
                <w:t>Info@pma.ps</w:t>
              </w:r>
            </w:hyperlink>
          </w:p>
        </w:tc>
      </w:tr>
      <w:tr w:rsidR="00DB5004" w:rsidRPr="00E23D7F" w:rsidTr="00AF1CE6">
        <w:trPr>
          <w:jc w:val="center"/>
        </w:trPr>
        <w:tc>
          <w:tcPr>
            <w:tcW w:w="4219" w:type="dxa"/>
            <w:vAlign w:val="center"/>
          </w:tcPr>
          <w:p w:rsidR="00DB5004" w:rsidRPr="0090567F" w:rsidRDefault="00DB5004" w:rsidP="00AF1CE6">
            <w:pPr>
              <w:pStyle w:val="BodyText"/>
              <w:bidi w:val="0"/>
              <w:jc w:val="center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 xml:space="preserve">Website:  </w:t>
            </w:r>
            <w:hyperlink r:id="rId12" w:history="1">
              <w:r w:rsidRPr="0090567F">
                <w:rPr>
                  <w:rStyle w:val="Hyperlink"/>
                  <w:rFonts w:asciiTheme="majorBidi" w:hAnsiTheme="majorBidi" w:cstheme="majorBidi"/>
                  <w:bCs/>
                  <w:iCs/>
                  <w:sz w:val="20"/>
                  <w:szCs w:val="20"/>
                </w:rPr>
                <w:t>http://www.pcbs.gov.ps</w:t>
              </w:r>
            </w:hyperlink>
          </w:p>
        </w:tc>
        <w:tc>
          <w:tcPr>
            <w:tcW w:w="992" w:type="dxa"/>
            <w:vAlign w:val="center"/>
          </w:tcPr>
          <w:p w:rsidR="00DB5004" w:rsidRPr="0090567F" w:rsidRDefault="00DB5004" w:rsidP="00AF1CE6">
            <w:pPr>
              <w:pStyle w:val="BodyText"/>
              <w:bidi w:val="0"/>
              <w:jc w:val="center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DB5004" w:rsidRPr="0090567F" w:rsidRDefault="00DB5004" w:rsidP="00AF1CE6">
            <w:pPr>
              <w:pStyle w:val="BodyText"/>
              <w:bidi w:val="0"/>
              <w:jc w:val="center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Website:  http://www.</w:t>
            </w: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  <w:lang w:eastAsia="fr-FR"/>
              </w:rPr>
              <w:t xml:space="preserve"> pma.ps</w:t>
            </w:r>
          </w:p>
        </w:tc>
      </w:tr>
      <w:tr w:rsidR="00DB5004" w:rsidRPr="00E23D7F" w:rsidTr="00AF1CE6">
        <w:trPr>
          <w:jc w:val="center"/>
        </w:trPr>
        <w:tc>
          <w:tcPr>
            <w:tcW w:w="4219" w:type="dxa"/>
          </w:tcPr>
          <w:p w:rsidR="00DB5004" w:rsidRPr="0090567F" w:rsidRDefault="00DB5004" w:rsidP="00AF1CE6">
            <w:pPr>
              <w:pStyle w:val="BodyText"/>
              <w:bidi w:val="0"/>
              <w:jc w:val="center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DB5004" w:rsidRPr="0090567F" w:rsidRDefault="00DB5004" w:rsidP="00AF1CE6">
            <w:pPr>
              <w:pStyle w:val="BodyText"/>
              <w:bidi w:val="0"/>
              <w:jc w:val="center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4032" w:type="dxa"/>
          </w:tcPr>
          <w:p w:rsidR="00DB5004" w:rsidRPr="0090567F" w:rsidRDefault="00DB5004" w:rsidP="00AF1CE6">
            <w:pPr>
              <w:pStyle w:val="BodyText"/>
              <w:bidi w:val="0"/>
              <w:ind w:left="-81" w:right="489"/>
              <w:jc w:val="center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 xml:space="preserve">Issued on : </w:t>
            </w:r>
            <w:r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26</w:t>
            </w: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09</w:t>
            </w: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2017</w:t>
            </w:r>
          </w:p>
        </w:tc>
      </w:tr>
    </w:tbl>
    <w:p w:rsidR="00DB5004" w:rsidRDefault="00DB5004" w:rsidP="00DB5004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</w:p>
    <w:p w:rsidR="00DB5004" w:rsidRDefault="00DB5004" w:rsidP="00DB5004">
      <w:pPr>
        <w:spacing w:before="120" w:after="120" w:line="276" w:lineRule="auto"/>
        <w:jc w:val="right"/>
        <w:rPr>
          <w:rFonts w:asciiTheme="majorBidi" w:hAnsiTheme="majorBidi" w:cstheme="majorBidi"/>
          <w:b w:val="0"/>
          <w:bCs/>
          <w:i w:val="0"/>
          <w:iCs/>
        </w:rPr>
      </w:pPr>
      <w:r>
        <w:rPr>
          <w:rFonts w:asciiTheme="majorBidi" w:hAnsiTheme="majorBidi" w:cstheme="majorBidi"/>
          <w:b w:val="0"/>
          <w:bCs/>
          <w:i w:val="0"/>
          <w:iCs/>
        </w:rPr>
        <w:br w:type="page"/>
      </w:r>
    </w:p>
    <w:p w:rsidR="00AF1CE6" w:rsidRDefault="00AF1CE6" w:rsidP="00DB5004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AF1CE6" w:rsidRDefault="00AF1CE6" w:rsidP="00DB5004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DB5004" w:rsidRPr="00AF1CE6" w:rsidRDefault="00DB5004" w:rsidP="00DB5004">
      <w:pPr>
        <w:contextualSpacing/>
        <w:jc w:val="center"/>
        <w:rPr>
          <w:rFonts w:asciiTheme="majorBidi" w:hAnsiTheme="majorBidi" w:cstheme="majorBidi"/>
          <w:i w:val="0"/>
          <w:iCs/>
          <w:sz w:val="25"/>
          <w:szCs w:val="25"/>
        </w:rPr>
      </w:pPr>
      <w:r w:rsidRPr="00AF1CE6">
        <w:rPr>
          <w:rFonts w:asciiTheme="majorBidi" w:hAnsiTheme="majorBidi" w:cstheme="majorBidi"/>
          <w:i w:val="0"/>
          <w:iCs/>
          <w:sz w:val="25"/>
          <w:szCs w:val="25"/>
        </w:rPr>
        <w:t>Table 1: International Investment Position (IIP) stock by Economic Sectors For Palestine, at the end of the Second Quarter 2017</w:t>
      </w:r>
    </w:p>
    <w:p w:rsidR="00AF1CE6" w:rsidRDefault="00AF1CE6" w:rsidP="00AF1CE6">
      <w:pPr>
        <w:bidi/>
        <w:ind w:left="-851" w:right="3631" w:hanging="142"/>
        <w:contextualSpacing/>
        <w:rPr>
          <w:rFonts w:ascii="Arial" w:hAnsi="Arial" w:hint="cs"/>
          <w:b w:val="0"/>
          <w:bCs/>
          <w:i w:val="0"/>
          <w:iCs/>
          <w:sz w:val="18"/>
          <w:szCs w:val="18"/>
        </w:rPr>
      </w:pPr>
    </w:p>
    <w:p w:rsidR="00AF1CE6" w:rsidRDefault="00AF1CE6" w:rsidP="00AF1CE6">
      <w:pPr>
        <w:bidi/>
        <w:ind w:left="-851" w:right="3631" w:hanging="142"/>
        <w:contextualSpacing/>
        <w:rPr>
          <w:rFonts w:ascii="Arial" w:hAnsi="Arial" w:hint="cs"/>
          <w:b w:val="0"/>
          <w:bCs/>
          <w:i w:val="0"/>
          <w:iCs/>
          <w:sz w:val="18"/>
          <w:szCs w:val="18"/>
        </w:rPr>
      </w:pPr>
    </w:p>
    <w:p w:rsidR="00AF1CE6" w:rsidRPr="00AF1CE6" w:rsidRDefault="00AF1CE6" w:rsidP="00AF1CE6">
      <w:pPr>
        <w:ind w:left="-284" w:right="3631"/>
        <w:contextualSpacing/>
        <w:rPr>
          <w:rFonts w:asciiTheme="majorBidi" w:hAnsiTheme="majorBidi" w:cstheme="majorBidi"/>
          <w:i w:val="0"/>
          <w:iCs/>
          <w:sz w:val="22"/>
          <w:szCs w:val="22"/>
        </w:rPr>
      </w:pPr>
      <w:r w:rsidRPr="00AF1CE6">
        <w:rPr>
          <w:rFonts w:asciiTheme="majorBidi" w:hAnsiTheme="majorBidi" w:cstheme="majorBidi"/>
          <w:i w:val="0"/>
          <w:iCs/>
          <w:sz w:val="22"/>
          <w:szCs w:val="22"/>
        </w:rPr>
        <w:t>Value in million USD</w:t>
      </w:r>
    </w:p>
    <w:p w:rsidR="00AF1CE6" w:rsidRPr="00F26832" w:rsidRDefault="00AF1CE6" w:rsidP="00AF1CE6">
      <w:pPr>
        <w:ind w:right="3631"/>
        <w:contextualSpacing/>
        <w:rPr>
          <w:rFonts w:ascii="Arial" w:hAnsi="Arial"/>
          <w:b w:val="0"/>
          <w:bCs/>
          <w:i w:val="0"/>
          <w:iCs/>
          <w:sz w:val="18"/>
          <w:szCs w:val="18"/>
        </w:rPr>
      </w:pPr>
    </w:p>
    <w:tbl>
      <w:tblPr>
        <w:bidiVisual/>
        <w:tblW w:w="11071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1081"/>
        <w:gridCol w:w="1532"/>
        <w:gridCol w:w="1171"/>
        <w:gridCol w:w="1262"/>
        <w:gridCol w:w="1176"/>
        <w:gridCol w:w="3769"/>
      </w:tblGrid>
      <w:tr w:rsidR="00DB5004" w:rsidRPr="00AF1CE6" w:rsidTr="00AF1CE6">
        <w:trPr>
          <w:trHeight w:val="284"/>
          <w:jc w:val="center"/>
        </w:trPr>
        <w:tc>
          <w:tcPr>
            <w:tcW w:w="488" w:type="pct"/>
            <w:vMerge w:val="restart"/>
            <w:vAlign w:val="center"/>
          </w:tcPr>
          <w:p w:rsidR="00DB5004" w:rsidRPr="00AF1CE6" w:rsidRDefault="00DB5004" w:rsidP="00B23E6A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</w:rPr>
              <w:t>TOTAL</w:t>
            </w:r>
          </w:p>
        </w:tc>
        <w:tc>
          <w:tcPr>
            <w:tcW w:w="1180" w:type="pct"/>
            <w:gridSpan w:val="2"/>
            <w:vAlign w:val="center"/>
          </w:tcPr>
          <w:p w:rsidR="00DB5004" w:rsidRPr="00AF1CE6" w:rsidRDefault="00DB5004" w:rsidP="00B23E6A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</w:rPr>
              <w:t>Other Sectors</w:t>
            </w:r>
          </w:p>
        </w:tc>
        <w:tc>
          <w:tcPr>
            <w:tcW w:w="529" w:type="pct"/>
            <w:vMerge w:val="restart"/>
            <w:vAlign w:val="center"/>
          </w:tcPr>
          <w:p w:rsidR="00DB5004" w:rsidRPr="00AF1CE6" w:rsidRDefault="00DB5004" w:rsidP="00B23E6A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</w:rPr>
              <w:t>Banks Sector</w:t>
            </w:r>
          </w:p>
        </w:tc>
        <w:tc>
          <w:tcPr>
            <w:tcW w:w="570" w:type="pct"/>
            <w:vMerge w:val="restart"/>
            <w:vAlign w:val="center"/>
          </w:tcPr>
          <w:p w:rsidR="00DB5004" w:rsidRPr="00AF1CE6" w:rsidRDefault="00DB5004" w:rsidP="00B23E6A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</w:rPr>
              <w:t>Government Sector</w:t>
            </w:r>
          </w:p>
        </w:tc>
        <w:tc>
          <w:tcPr>
            <w:tcW w:w="531" w:type="pct"/>
            <w:vMerge w:val="restart"/>
            <w:vAlign w:val="center"/>
          </w:tcPr>
          <w:p w:rsidR="00DB5004" w:rsidRPr="00AF1CE6" w:rsidRDefault="00DB5004" w:rsidP="00B23E6A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</w:rPr>
              <w:t>Monetary Authorities (PMA)</w:t>
            </w:r>
          </w:p>
        </w:tc>
        <w:tc>
          <w:tcPr>
            <w:tcW w:w="1703" w:type="pct"/>
            <w:vMerge w:val="restart"/>
          </w:tcPr>
          <w:p w:rsidR="00DB5004" w:rsidRPr="00AF1CE6" w:rsidRDefault="00540720" w:rsidP="00B23E6A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.4pt;margin-top:2.05pt;width:166.9pt;height:86.25pt;z-index:251663360;mso-position-horizontal-relative:text;mso-position-vertical-relative:text" o:connectortype="straight">
                  <w10:wrap anchorx="page"/>
                </v:shape>
              </w:pict>
            </w:r>
            <w:r w:rsidR="00DB5004" w:rsidRPr="00AF1CE6">
              <w:rPr>
                <w:rFonts w:asciiTheme="majorBidi" w:hAnsiTheme="majorBidi" w:cstheme="majorBidi"/>
                <w:i w:val="0"/>
                <w:iCs/>
              </w:rPr>
              <w:t xml:space="preserve">            Economic Sector</w:t>
            </w:r>
            <w:r w:rsidR="00DB5004" w:rsidRPr="00AF1CE6">
              <w:rPr>
                <w:rFonts w:asciiTheme="majorBidi" w:hAnsiTheme="majorBidi" w:cstheme="majorBidi"/>
                <w:i w:val="0"/>
                <w:iCs/>
                <w:rtl/>
              </w:rPr>
              <w:t xml:space="preserve">   </w:t>
            </w:r>
          </w:p>
          <w:p w:rsidR="00DB5004" w:rsidRPr="00AF1CE6" w:rsidRDefault="00DB5004" w:rsidP="00B23E6A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B5004" w:rsidRPr="00AF1CE6" w:rsidRDefault="00DB5004" w:rsidP="00B23E6A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B5004" w:rsidRPr="00AF1CE6" w:rsidRDefault="00DB5004" w:rsidP="00B23E6A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B5004" w:rsidRPr="00AF1CE6" w:rsidRDefault="00DB5004" w:rsidP="00B23E6A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</w:rPr>
              <w:t xml:space="preserve">               </w:t>
            </w:r>
          </w:p>
          <w:p w:rsidR="00DB5004" w:rsidRPr="00AF1CE6" w:rsidRDefault="00DB5004" w:rsidP="00B23E6A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</w:rPr>
            </w:pPr>
          </w:p>
          <w:p w:rsidR="00DB5004" w:rsidRPr="00AF1CE6" w:rsidRDefault="00DB5004" w:rsidP="00B23E6A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</w:rPr>
              <w:t xml:space="preserve">Investments Stocks by </w:t>
            </w:r>
          </w:p>
          <w:p w:rsidR="00DB5004" w:rsidRPr="00AF1CE6" w:rsidRDefault="00DB5004" w:rsidP="00B23E6A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</w:rPr>
              <w:t>Type of Investment</w:t>
            </w:r>
          </w:p>
        </w:tc>
      </w:tr>
      <w:tr w:rsidR="00DB5004" w:rsidRPr="00AF1CE6" w:rsidTr="00AF1CE6">
        <w:trPr>
          <w:trHeight w:val="1492"/>
          <w:jc w:val="center"/>
        </w:trPr>
        <w:tc>
          <w:tcPr>
            <w:tcW w:w="488" w:type="pct"/>
            <w:vMerge/>
            <w:vAlign w:val="center"/>
          </w:tcPr>
          <w:p w:rsidR="00DB5004" w:rsidRPr="00AF1CE6" w:rsidRDefault="00DB5004" w:rsidP="00B23E6A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</w:p>
        </w:tc>
        <w:tc>
          <w:tcPr>
            <w:tcW w:w="488" w:type="pct"/>
            <w:vAlign w:val="center"/>
          </w:tcPr>
          <w:p w:rsidR="00DB5004" w:rsidRPr="00AF1CE6" w:rsidRDefault="00DB5004" w:rsidP="00B23E6A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</w:rPr>
              <w:t>House- Holds Sector</w:t>
            </w:r>
          </w:p>
        </w:tc>
        <w:tc>
          <w:tcPr>
            <w:tcW w:w="692" w:type="pct"/>
            <w:vAlign w:val="center"/>
          </w:tcPr>
          <w:p w:rsidR="00DB5004" w:rsidRPr="00AF1CE6" w:rsidRDefault="00DB5004" w:rsidP="00B23E6A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</w:rPr>
              <w:t>Nonbank Financial Corporations, Non-Financial Corporations, and NGOs Sector</w:t>
            </w:r>
          </w:p>
        </w:tc>
        <w:tc>
          <w:tcPr>
            <w:tcW w:w="529" w:type="pct"/>
            <w:vMerge/>
          </w:tcPr>
          <w:p w:rsidR="00DB5004" w:rsidRPr="00AF1CE6" w:rsidRDefault="00DB5004" w:rsidP="00B23E6A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</w:p>
        </w:tc>
        <w:tc>
          <w:tcPr>
            <w:tcW w:w="570" w:type="pct"/>
            <w:vMerge/>
          </w:tcPr>
          <w:p w:rsidR="00DB5004" w:rsidRPr="00AF1CE6" w:rsidRDefault="00DB5004" w:rsidP="00B23E6A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</w:p>
        </w:tc>
        <w:tc>
          <w:tcPr>
            <w:tcW w:w="531" w:type="pct"/>
            <w:vMerge/>
            <w:vAlign w:val="center"/>
          </w:tcPr>
          <w:p w:rsidR="00DB5004" w:rsidRPr="00AF1CE6" w:rsidRDefault="00DB5004" w:rsidP="00B23E6A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</w:p>
        </w:tc>
        <w:tc>
          <w:tcPr>
            <w:tcW w:w="1703" w:type="pct"/>
            <w:vMerge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</w:p>
        </w:tc>
      </w:tr>
      <w:tr w:rsidR="00DB5004" w:rsidRPr="00AF1CE6" w:rsidTr="00AF1CE6">
        <w:trPr>
          <w:trHeight w:val="284"/>
          <w:jc w:val="center"/>
        </w:trPr>
        <w:tc>
          <w:tcPr>
            <w:tcW w:w="488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  <w:color w:val="000000"/>
              </w:rPr>
              <w:t>1,102</w:t>
            </w:r>
          </w:p>
        </w:tc>
        <w:tc>
          <w:tcPr>
            <w:tcW w:w="488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  <w:color w:val="000000"/>
              </w:rPr>
              <w:t>-883</w:t>
            </w:r>
          </w:p>
        </w:tc>
        <w:tc>
          <w:tcPr>
            <w:tcW w:w="692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  <w:color w:val="000000"/>
              </w:rPr>
              <w:t>-526</w:t>
            </w:r>
          </w:p>
        </w:tc>
        <w:tc>
          <w:tcPr>
            <w:tcW w:w="529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  <w:color w:val="000000"/>
              </w:rPr>
              <w:t>2,704</w:t>
            </w:r>
          </w:p>
        </w:tc>
        <w:tc>
          <w:tcPr>
            <w:tcW w:w="570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  <w:color w:val="000000"/>
              </w:rPr>
              <w:t>-991</w:t>
            </w:r>
          </w:p>
        </w:tc>
        <w:tc>
          <w:tcPr>
            <w:tcW w:w="531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  <w:color w:val="000000"/>
              </w:rPr>
              <w:t>798</w:t>
            </w:r>
          </w:p>
        </w:tc>
        <w:tc>
          <w:tcPr>
            <w:tcW w:w="1703" w:type="pct"/>
            <w:vAlign w:val="center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</w:rPr>
              <w:t>International Investment Position (net)*</w:t>
            </w:r>
          </w:p>
        </w:tc>
      </w:tr>
      <w:tr w:rsidR="00DB5004" w:rsidRPr="00AF1CE6" w:rsidTr="00AF1CE6">
        <w:trPr>
          <w:trHeight w:val="284"/>
          <w:jc w:val="center"/>
        </w:trPr>
        <w:tc>
          <w:tcPr>
            <w:tcW w:w="488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  <w:color w:val="000000"/>
              </w:rPr>
              <w:t>6,204</w:t>
            </w:r>
          </w:p>
        </w:tc>
        <w:tc>
          <w:tcPr>
            <w:tcW w:w="488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  <w:color w:val="000000"/>
              </w:rPr>
              <w:t>64</w:t>
            </w:r>
          </w:p>
        </w:tc>
        <w:tc>
          <w:tcPr>
            <w:tcW w:w="692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  <w:color w:val="000000"/>
              </w:rPr>
              <w:t>649</w:t>
            </w:r>
          </w:p>
        </w:tc>
        <w:tc>
          <w:tcPr>
            <w:tcW w:w="529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  <w:color w:val="000000"/>
              </w:rPr>
              <w:t>4,663</w:t>
            </w:r>
          </w:p>
        </w:tc>
        <w:tc>
          <w:tcPr>
            <w:tcW w:w="570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  <w:color w:val="000000"/>
              </w:rPr>
              <w:t>30</w:t>
            </w:r>
          </w:p>
        </w:tc>
        <w:tc>
          <w:tcPr>
            <w:tcW w:w="531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  <w:color w:val="000000"/>
              </w:rPr>
              <w:t>798</w:t>
            </w:r>
          </w:p>
        </w:tc>
        <w:tc>
          <w:tcPr>
            <w:tcW w:w="1703" w:type="pct"/>
            <w:vAlign w:val="center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</w:rPr>
              <w:t xml:space="preserve">Total External Assets </w:t>
            </w:r>
          </w:p>
        </w:tc>
      </w:tr>
      <w:tr w:rsidR="00DB5004" w:rsidRPr="00AF1CE6" w:rsidTr="00AF1CE6">
        <w:trPr>
          <w:trHeight w:val="284"/>
          <w:jc w:val="center"/>
        </w:trPr>
        <w:tc>
          <w:tcPr>
            <w:tcW w:w="488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389</w:t>
            </w:r>
          </w:p>
        </w:tc>
        <w:tc>
          <w:tcPr>
            <w:tcW w:w="488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43</w:t>
            </w:r>
          </w:p>
        </w:tc>
        <w:tc>
          <w:tcPr>
            <w:tcW w:w="692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346</w:t>
            </w:r>
          </w:p>
        </w:tc>
        <w:tc>
          <w:tcPr>
            <w:tcW w:w="529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70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31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703" w:type="pct"/>
            <w:vAlign w:val="center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Foreign Direct Investment Abroad</w:t>
            </w:r>
          </w:p>
        </w:tc>
      </w:tr>
      <w:tr w:rsidR="00DB5004" w:rsidRPr="00AF1CE6" w:rsidTr="00AF1CE6">
        <w:trPr>
          <w:trHeight w:val="284"/>
          <w:jc w:val="center"/>
        </w:trPr>
        <w:tc>
          <w:tcPr>
            <w:tcW w:w="488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1,178</w:t>
            </w:r>
          </w:p>
        </w:tc>
        <w:tc>
          <w:tcPr>
            <w:tcW w:w="488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92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146</w:t>
            </w:r>
          </w:p>
        </w:tc>
        <w:tc>
          <w:tcPr>
            <w:tcW w:w="529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928</w:t>
            </w:r>
          </w:p>
        </w:tc>
        <w:tc>
          <w:tcPr>
            <w:tcW w:w="570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31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104</w:t>
            </w:r>
          </w:p>
        </w:tc>
        <w:tc>
          <w:tcPr>
            <w:tcW w:w="1703" w:type="pct"/>
            <w:vAlign w:val="center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Portfolio Investments Abroad</w:t>
            </w:r>
          </w:p>
        </w:tc>
      </w:tr>
      <w:tr w:rsidR="00DB5004" w:rsidRPr="00AF1CE6" w:rsidTr="00AF1CE6">
        <w:trPr>
          <w:trHeight w:val="284"/>
          <w:jc w:val="center"/>
        </w:trPr>
        <w:tc>
          <w:tcPr>
            <w:tcW w:w="488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4,178</w:t>
            </w:r>
          </w:p>
        </w:tc>
        <w:tc>
          <w:tcPr>
            <w:tcW w:w="488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21</w:t>
            </w:r>
          </w:p>
        </w:tc>
        <w:tc>
          <w:tcPr>
            <w:tcW w:w="692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157</w:t>
            </w:r>
          </w:p>
        </w:tc>
        <w:tc>
          <w:tcPr>
            <w:tcW w:w="529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3,735</w:t>
            </w:r>
          </w:p>
        </w:tc>
        <w:tc>
          <w:tcPr>
            <w:tcW w:w="570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30</w:t>
            </w:r>
          </w:p>
        </w:tc>
        <w:tc>
          <w:tcPr>
            <w:tcW w:w="531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235</w:t>
            </w:r>
          </w:p>
        </w:tc>
        <w:tc>
          <w:tcPr>
            <w:tcW w:w="1703" w:type="pct"/>
            <w:vAlign w:val="center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Other Investments Abroad</w:t>
            </w:r>
          </w:p>
        </w:tc>
      </w:tr>
      <w:tr w:rsidR="00DB5004" w:rsidRPr="00AF1CE6" w:rsidTr="00AF1CE6">
        <w:trPr>
          <w:trHeight w:val="284"/>
          <w:jc w:val="center"/>
        </w:trPr>
        <w:tc>
          <w:tcPr>
            <w:tcW w:w="488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3,911</w:t>
            </w:r>
          </w:p>
        </w:tc>
        <w:tc>
          <w:tcPr>
            <w:tcW w:w="488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21</w:t>
            </w:r>
          </w:p>
        </w:tc>
        <w:tc>
          <w:tcPr>
            <w:tcW w:w="692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29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3,655</w:t>
            </w:r>
          </w:p>
        </w:tc>
        <w:tc>
          <w:tcPr>
            <w:tcW w:w="570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31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235</w:t>
            </w:r>
          </w:p>
        </w:tc>
        <w:tc>
          <w:tcPr>
            <w:tcW w:w="1703" w:type="pct"/>
            <w:vAlign w:val="center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Of which: currency and deposits**</w:t>
            </w:r>
          </w:p>
        </w:tc>
      </w:tr>
      <w:tr w:rsidR="00DB5004" w:rsidRPr="00AF1CE6" w:rsidTr="00AF1CE6">
        <w:trPr>
          <w:trHeight w:val="284"/>
          <w:jc w:val="center"/>
        </w:trPr>
        <w:tc>
          <w:tcPr>
            <w:tcW w:w="488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459</w:t>
            </w:r>
          </w:p>
        </w:tc>
        <w:tc>
          <w:tcPr>
            <w:tcW w:w="488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92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29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70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31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459</w:t>
            </w:r>
          </w:p>
        </w:tc>
        <w:tc>
          <w:tcPr>
            <w:tcW w:w="1703" w:type="pct"/>
            <w:vAlign w:val="center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Reserve Assets</w:t>
            </w:r>
          </w:p>
        </w:tc>
      </w:tr>
      <w:tr w:rsidR="00DB5004" w:rsidRPr="00AF1CE6" w:rsidTr="00AF1CE6">
        <w:trPr>
          <w:trHeight w:val="284"/>
          <w:jc w:val="center"/>
        </w:trPr>
        <w:tc>
          <w:tcPr>
            <w:tcW w:w="488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  <w:color w:val="000000"/>
              </w:rPr>
              <w:t>5,102</w:t>
            </w:r>
          </w:p>
        </w:tc>
        <w:tc>
          <w:tcPr>
            <w:tcW w:w="488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  <w:color w:val="000000"/>
              </w:rPr>
              <w:t>947</w:t>
            </w:r>
          </w:p>
        </w:tc>
        <w:tc>
          <w:tcPr>
            <w:tcW w:w="692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  <w:color w:val="000000"/>
              </w:rPr>
              <w:t>1,175</w:t>
            </w:r>
          </w:p>
        </w:tc>
        <w:tc>
          <w:tcPr>
            <w:tcW w:w="529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  <w:color w:val="000000"/>
              </w:rPr>
              <w:t>1,959</w:t>
            </w:r>
          </w:p>
        </w:tc>
        <w:tc>
          <w:tcPr>
            <w:tcW w:w="570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  <w:color w:val="000000"/>
              </w:rPr>
              <w:t>1,021</w:t>
            </w:r>
          </w:p>
        </w:tc>
        <w:tc>
          <w:tcPr>
            <w:tcW w:w="531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  <w:color w:val="000000"/>
              </w:rPr>
              <w:t>0</w:t>
            </w:r>
          </w:p>
        </w:tc>
        <w:tc>
          <w:tcPr>
            <w:tcW w:w="1703" w:type="pct"/>
            <w:vAlign w:val="center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</w:rPr>
              <w:t xml:space="preserve">Total Foreign Liabilities </w:t>
            </w:r>
          </w:p>
        </w:tc>
      </w:tr>
      <w:tr w:rsidR="00DB5004" w:rsidRPr="00AF1CE6" w:rsidTr="00AF1CE6">
        <w:trPr>
          <w:trHeight w:val="284"/>
          <w:jc w:val="center"/>
        </w:trPr>
        <w:tc>
          <w:tcPr>
            <w:tcW w:w="488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2,551</w:t>
            </w:r>
          </w:p>
        </w:tc>
        <w:tc>
          <w:tcPr>
            <w:tcW w:w="488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947</w:t>
            </w:r>
          </w:p>
        </w:tc>
        <w:tc>
          <w:tcPr>
            <w:tcW w:w="692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737</w:t>
            </w:r>
          </w:p>
        </w:tc>
        <w:tc>
          <w:tcPr>
            <w:tcW w:w="529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867</w:t>
            </w:r>
          </w:p>
        </w:tc>
        <w:tc>
          <w:tcPr>
            <w:tcW w:w="570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31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703" w:type="pct"/>
            <w:vAlign w:val="center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Foreign Direct Investment in Palestine</w:t>
            </w:r>
          </w:p>
        </w:tc>
      </w:tr>
      <w:tr w:rsidR="00DB5004" w:rsidRPr="00AF1CE6" w:rsidTr="00AF1CE6">
        <w:trPr>
          <w:trHeight w:val="284"/>
          <w:jc w:val="center"/>
        </w:trPr>
        <w:tc>
          <w:tcPr>
            <w:tcW w:w="488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702</w:t>
            </w:r>
          </w:p>
        </w:tc>
        <w:tc>
          <w:tcPr>
            <w:tcW w:w="488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92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368</w:t>
            </w:r>
          </w:p>
        </w:tc>
        <w:tc>
          <w:tcPr>
            <w:tcW w:w="529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334</w:t>
            </w:r>
          </w:p>
        </w:tc>
        <w:tc>
          <w:tcPr>
            <w:tcW w:w="570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31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703" w:type="pct"/>
            <w:vAlign w:val="center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Foreign Portfolio Investments in Palestine</w:t>
            </w:r>
          </w:p>
        </w:tc>
      </w:tr>
      <w:tr w:rsidR="00DB5004" w:rsidRPr="00AF1CE6" w:rsidTr="00AF1CE6">
        <w:trPr>
          <w:trHeight w:val="284"/>
          <w:jc w:val="center"/>
        </w:trPr>
        <w:tc>
          <w:tcPr>
            <w:tcW w:w="488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1,849</w:t>
            </w:r>
          </w:p>
        </w:tc>
        <w:tc>
          <w:tcPr>
            <w:tcW w:w="488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92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70</w:t>
            </w:r>
          </w:p>
        </w:tc>
        <w:tc>
          <w:tcPr>
            <w:tcW w:w="529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758</w:t>
            </w:r>
          </w:p>
        </w:tc>
        <w:tc>
          <w:tcPr>
            <w:tcW w:w="570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1,021</w:t>
            </w:r>
          </w:p>
        </w:tc>
        <w:tc>
          <w:tcPr>
            <w:tcW w:w="531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703" w:type="pct"/>
            <w:vAlign w:val="center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Foreign Other Investments in Palestine</w:t>
            </w:r>
          </w:p>
        </w:tc>
      </w:tr>
      <w:tr w:rsidR="00DB5004" w:rsidRPr="00AF1CE6" w:rsidTr="00AF1CE6">
        <w:trPr>
          <w:trHeight w:val="284"/>
          <w:jc w:val="center"/>
        </w:trPr>
        <w:tc>
          <w:tcPr>
            <w:tcW w:w="488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1,064</w:t>
            </w:r>
          </w:p>
        </w:tc>
        <w:tc>
          <w:tcPr>
            <w:tcW w:w="488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92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43</w:t>
            </w:r>
          </w:p>
        </w:tc>
        <w:tc>
          <w:tcPr>
            <w:tcW w:w="529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70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1,021</w:t>
            </w:r>
          </w:p>
        </w:tc>
        <w:tc>
          <w:tcPr>
            <w:tcW w:w="531" w:type="pct"/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703" w:type="pct"/>
            <w:vAlign w:val="center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Of which: Loans from abroad</w:t>
            </w:r>
          </w:p>
        </w:tc>
      </w:tr>
      <w:tr w:rsidR="00DB5004" w:rsidRPr="00AF1CE6" w:rsidTr="00AF1CE6">
        <w:trPr>
          <w:trHeight w:val="284"/>
          <w:jc w:val="center"/>
        </w:trPr>
        <w:tc>
          <w:tcPr>
            <w:tcW w:w="488" w:type="pct"/>
            <w:tcBorders>
              <w:bottom w:val="single" w:sz="4" w:space="0" w:color="auto"/>
            </w:tcBorders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758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758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vAlign w:val="bottom"/>
          </w:tcPr>
          <w:p w:rsidR="00DB5004" w:rsidRPr="00AF1CE6" w:rsidRDefault="00DB5004" w:rsidP="00AF1CE6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vAlign w:val="center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Of which: currency and deposits***</w:t>
            </w:r>
          </w:p>
        </w:tc>
      </w:tr>
    </w:tbl>
    <w:p w:rsidR="00DB5004" w:rsidRPr="00AF1CE6" w:rsidRDefault="00DB5004" w:rsidP="00AF1CE6">
      <w:pPr>
        <w:contextualSpacing/>
        <w:jc w:val="both"/>
        <w:rPr>
          <w:rFonts w:ascii="Arial" w:hAnsi="Arial"/>
          <w:i w:val="0"/>
          <w:iCs/>
          <w:sz w:val="22"/>
          <w:szCs w:val="22"/>
        </w:rPr>
      </w:pPr>
    </w:p>
    <w:p w:rsidR="00DB5004" w:rsidRPr="00AF1CE6" w:rsidRDefault="00DB5004" w:rsidP="00AF1CE6">
      <w:pPr>
        <w:spacing w:line="0" w:lineRule="atLeast"/>
        <w:ind w:right="142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AF1CE6">
        <w:rPr>
          <w:rFonts w:asciiTheme="majorBidi" w:hAnsiTheme="majorBidi" w:cstheme="majorBidi"/>
          <w:i w:val="0"/>
          <w:iCs/>
          <w:sz w:val="20"/>
          <w:szCs w:val="20"/>
        </w:rPr>
        <w:t>Notes</w:t>
      </w:r>
      <w:r w:rsidRPr="00AF1CE6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:</w:t>
      </w:r>
    </w:p>
    <w:p w:rsidR="00DB5004" w:rsidRPr="00AF1CE6" w:rsidRDefault="00DB5004" w:rsidP="00AF1CE6">
      <w:pPr>
        <w:pStyle w:val="ListParagraph"/>
        <w:spacing w:line="0" w:lineRule="atLeast"/>
        <w:ind w:left="0" w:right="142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AF1CE6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- The data in the above table are close to the nearest integer.</w:t>
      </w:r>
    </w:p>
    <w:p w:rsidR="00DB5004" w:rsidRPr="00AF1CE6" w:rsidRDefault="00DB5004" w:rsidP="00AF1CE6">
      <w:pPr>
        <w:pStyle w:val="ListParagraph"/>
        <w:spacing w:line="0" w:lineRule="atLeast"/>
        <w:ind w:left="0" w:right="142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AF1CE6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- The data does not include the value of land owned by non-residents.</w:t>
      </w:r>
    </w:p>
    <w:p w:rsidR="00DB5004" w:rsidRPr="00AF1CE6" w:rsidRDefault="00DB5004" w:rsidP="00AF1CE6">
      <w:pPr>
        <w:spacing w:line="0" w:lineRule="atLeast"/>
        <w:ind w:right="142"/>
        <w:rPr>
          <w:rFonts w:asciiTheme="majorBidi" w:hAnsiTheme="majorBidi" w:cstheme="majorBidi"/>
          <w:b w:val="0"/>
          <w:bCs/>
          <w:i w:val="0"/>
          <w:iCs/>
          <w:sz w:val="20"/>
          <w:szCs w:val="20"/>
          <w:rtl/>
        </w:rPr>
      </w:pPr>
      <w:r w:rsidRPr="00AF1CE6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* International investment position (net): equals total external assets minus total foreign liabilities.</w:t>
      </w:r>
    </w:p>
    <w:p w:rsidR="00DB5004" w:rsidRPr="00AF1CE6" w:rsidRDefault="00DB5004" w:rsidP="00AF1CE6">
      <w:pPr>
        <w:spacing w:line="0" w:lineRule="atLeast"/>
        <w:ind w:right="142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AF1CE6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** Currency and deposits: Including residents deposits in banks abroad, in addition to foreign currency cash in Palestinian  economy.</w:t>
      </w:r>
    </w:p>
    <w:p w:rsidR="00DB5004" w:rsidRPr="00AF1CE6" w:rsidRDefault="00DB5004" w:rsidP="00AF1CE6">
      <w:pPr>
        <w:spacing w:line="0" w:lineRule="atLeast"/>
        <w:ind w:right="142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AF1CE6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*** Currency and deposits: Include the deposits of non-residents deposited in resident banks.</w:t>
      </w:r>
    </w:p>
    <w:p w:rsidR="00DB5004" w:rsidRDefault="00DB5004" w:rsidP="00DB5004">
      <w:pPr>
        <w:spacing w:before="120" w:after="120" w:line="276" w:lineRule="auto"/>
        <w:jc w:val="right"/>
        <w:rPr>
          <w:rFonts w:asciiTheme="majorBidi" w:hAnsiTheme="majorBidi" w:cstheme="majorBidi"/>
          <w:b w:val="0"/>
          <w:bCs/>
          <w:i w:val="0"/>
          <w:iCs/>
        </w:rPr>
      </w:pPr>
      <w:r>
        <w:rPr>
          <w:rFonts w:asciiTheme="majorBidi" w:hAnsiTheme="majorBidi" w:cstheme="majorBidi"/>
          <w:bCs/>
          <w:iCs/>
        </w:rPr>
        <w:br w:type="page"/>
      </w:r>
    </w:p>
    <w:p w:rsidR="00AF1CE6" w:rsidRDefault="00AF1CE6" w:rsidP="00DB5004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AF1CE6" w:rsidRDefault="00AF1CE6" w:rsidP="00DB5004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AF1CE6" w:rsidRDefault="00AF1CE6" w:rsidP="00DB5004">
      <w:pPr>
        <w:contextualSpacing/>
        <w:jc w:val="center"/>
        <w:rPr>
          <w:rFonts w:asciiTheme="majorBidi" w:hAnsiTheme="majorBidi" w:cstheme="majorBidi"/>
          <w:i w:val="0"/>
          <w:iCs/>
          <w:sz w:val="25"/>
          <w:szCs w:val="25"/>
        </w:rPr>
      </w:pPr>
    </w:p>
    <w:p w:rsidR="00DB5004" w:rsidRPr="00AF1CE6" w:rsidRDefault="00DB5004" w:rsidP="00DB5004">
      <w:pPr>
        <w:contextualSpacing/>
        <w:jc w:val="center"/>
        <w:rPr>
          <w:rFonts w:asciiTheme="majorBidi" w:hAnsiTheme="majorBidi" w:cstheme="majorBidi"/>
          <w:i w:val="0"/>
          <w:iCs/>
          <w:sz w:val="25"/>
          <w:szCs w:val="25"/>
        </w:rPr>
      </w:pPr>
      <w:r w:rsidRPr="00AF1CE6">
        <w:rPr>
          <w:rFonts w:asciiTheme="majorBidi" w:hAnsiTheme="majorBidi" w:cstheme="majorBidi"/>
          <w:i w:val="0"/>
          <w:iCs/>
          <w:sz w:val="25"/>
          <w:szCs w:val="25"/>
        </w:rPr>
        <w:t xml:space="preserve">Table 2: Gross External Debt position on Palestine, at the end of the </w:t>
      </w:r>
    </w:p>
    <w:p w:rsidR="00DB5004" w:rsidRPr="00AF1CE6" w:rsidRDefault="00DB5004" w:rsidP="00DB5004">
      <w:pPr>
        <w:contextualSpacing/>
        <w:jc w:val="center"/>
        <w:rPr>
          <w:rFonts w:asciiTheme="majorBidi" w:hAnsiTheme="majorBidi" w:cstheme="majorBidi"/>
          <w:i w:val="0"/>
          <w:iCs/>
          <w:sz w:val="25"/>
          <w:szCs w:val="25"/>
        </w:rPr>
      </w:pPr>
      <w:r w:rsidRPr="00AF1CE6">
        <w:rPr>
          <w:rFonts w:asciiTheme="majorBidi" w:hAnsiTheme="majorBidi" w:cstheme="majorBidi"/>
          <w:i w:val="0"/>
          <w:iCs/>
          <w:sz w:val="25"/>
          <w:szCs w:val="25"/>
        </w:rPr>
        <w:t>First and Second Quarters 2017</w:t>
      </w:r>
    </w:p>
    <w:p w:rsidR="00DB5004" w:rsidRPr="00AF1CE6" w:rsidRDefault="00DB5004" w:rsidP="00DB5004">
      <w:pPr>
        <w:contextualSpacing/>
        <w:rPr>
          <w:rFonts w:asciiTheme="majorBidi" w:hAnsiTheme="majorBidi" w:cstheme="majorBidi"/>
          <w:i w:val="0"/>
          <w:iCs/>
          <w:sz w:val="25"/>
          <w:szCs w:val="25"/>
        </w:rPr>
      </w:pPr>
    </w:p>
    <w:p w:rsidR="00AF1CE6" w:rsidRDefault="00DB5004" w:rsidP="00DB5004">
      <w:pPr>
        <w:ind w:left="-284" w:right="3967" w:firstLine="284"/>
        <w:contextualSpacing/>
        <w:rPr>
          <w:rFonts w:asciiTheme="majorBidi" w:hAnsiTheme="majorBidi" w:cstheme="majorBidi"/>
          <w:i w:val="0"/>
          <w:iCs/>
          <w:sz w:val="22"/>
          <w:szCs w:val="22"/>
        </w:rPr>
      </w:pPr>
      <w:r w:rsidRPr="00AF1CE6">
        <w:rPr>
          <w:rFonts w:asciiTheme="majorBidi" w:hAnsiTheme="majorBidi" w:cstheme="majorBidi"/>
          <w:i w:val="0"/>
          <w:iCs/>
          <w:sz w:val="22"/>
          <w:szCs w:val="22"/>
        </w:rPr>
        <w:t>Value in million USD</w:t>
      </w:r>
    </w:p>
    <w:p w:rsidR="00DB5004" w:rsidRPr="00AF1CE6" w:rsidRDefault="00DB5004" w:rsidP="00DB5004">
      <w:pPr>
        <w:ind w:left="-284" w:right="3967" w:firstLine="284"/>
        <w:contextualSpacing/>
        <w:rPr>
          <w:rFonts w:asciiTheme="majorBidi" w:hAnsiTheme="majorBidi" w:cstheme="majorBidi"/>
          <w:i w:val="0"/>
          <w:iCs/>
          <w:sz w:val="22"/>
          <w:szCs w:val="22"/>
        </w:rPr>
      </w:pPr>
      <w:r w:rsidRPr="00AF1CE6">
        <w:rPr>
          <w:rFonts w:asciiTheme="majorBidi" w:hAnsiTheme="majorBidi" w:cstheme="majorBidi"/>
          <w:i w:val="0"/>
          <w:iCs/>
          <w:sz w:val="22"/>
          <w:szCs w:val="22"/>
        </w:rPr>
        <w:t xml:space="preserve">   </w:t>
      </w:r>
    </w:p>
    <w:tbl>
      <w:tblPr>
        <w:tblpPr w:leftFromText="180" w:rightFromText="180" w:vertAnchor="text" w:tblpXSpec="center" w:tblpY="1"/>
        <w:tblOverlap w:val="never"/>
        <w:bidiVisual/>
        <w:tblW w:w="10632" w:type="dxa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3262"/>
        <w:gridCol w:w="4393"/>
      </w:tblGrid>
      <w:tr w:rsidR="00DB5004" w:rsidRPr="00AF1CE6" w:rsidTr="00AF1CE6">
        <w:trPr>
          <w:trHeight w:val="284"/>
        </w:trPr>
        <w:tc>
          <w:tcPr>
            <w:tcW w:w="1400" w:type="pct"/>
            <w:vAlign w:val="center"/>
          </w:tcPr>
          <w:p w:rsidR="00DB5004" w:rsidRPr="00AF1CE6" w:rsidRDefault="00DB5004" w:rsidP="00B23E6A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</w:rPr>
              <w:t>Stock at the end of the Second Quarter 2017</w:t>
            </w:r>
          </w:p>
        </w:tc>
        <w:tc>
          <w:tcPr>
            <w:tcW w:w="1534" w:type="pct"/>
            <w:vAlign w:val="center"/>
          </w:tcPr>
          <w:p w:rsidR="00DB5004" w:rsidRPr="00AF1CE6" w:rsidRDefault="00DB5004" w:rsidP="00090697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</w:rPr>
              <w:t>Stock at the end of the First Quarter 201</w:t>
            </w:r>
            <w:r w:rsidR="00090697" w:rsidRPr="00AF1CE6">
              <w:rPr>
                <w:rFonts w:asciiTheme="majorBidi" w:hAnsiTheme="majorBidi" w:cstheme="majorBidi"/>
                <w:i w:val="0"/>
                <w:iCs/>
              </w:rPr>
              <w:t>7</w:t>
            </w:r>
          </w:p>
        </w:tc>
        <w:tc>
          <w:tcPr>
            <w:tcW w:w="2066" w:type="pct"/>
            <w:vAlign w:val="center"/>
          </w:tcPr>
          <w:p w:rsidR="00DB5004" w:rsidRPr="00AF1CE6" w:rsidRDefault="00DB5004" w:rsidP="00B23E6A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</w:rPr>
              <w:t>Economic Sector</w:t>
            </w:r>
          </w:p>
        </w:tc>
      </w:tr>
      <w:tr w:rsidR="00DB5004" w:rsidRPr="00AF1CE6" w:rsidTr="00AF1CE6">
        <w:trPr>
          <w:trHeight w:val="284"/>
        </w:trPr>
        <w:tc>
          <w:tcPr>
            <w:tcW w:w="1400" w:type="pct"/>
            <w:vAlign w:val="bottom"/>
          </w:tcPr>
          <w:p w:rsidR="00DB5004" w:rsidRPr="00AF1CE6" w:rsidRDefault="00DB5004" w:rsidP="00B23E6A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1,021</w:t>
            </w:r>
          </w:p>
        </w:tc>
        <w:tc>
          <w:tcPr>
            <w:tcW w:w="1534" w:type="pct"/>
            <w:vAlign w:val="bottom"/>
          </w:tcPr>
          <w:p w:rsidR="00DB5004" w:rsidRPr="00AF1CE6" w:rsidRDefault="00DB5004" w:rsidP="00B23E6A">
            <w:pPr>
              <w:jc w:val="center"/>
              <w:rPr>
                <w:rFonts w:asciiTheme="majorBidi" w:hAnsiTheme="majorBidi" w:cstheme="majorBidi"/>
                <w:b w:val="0"/>
                <w:b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</w:t>
            </w:r>
            <w:r w:rsidRPr="00AF1CE6">
              <w:rPr>
                <w:rFonts w:asciiTheme="majorBidi" w:hAnsiTheme="majorBidi" w:cstheme="majorBidi"/>
                <w:b w:val="0"/>
                <w:bCs/>
                <w:color w:val="000000"/>
              </w:rPr>
              <w:t>,</w:t>
            </w:r>
            <w:r w:rsidRPr="00AF1CE6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055</w:t>
            </w:r>
          </w:p>
        </w:tc>
        <w:tc>
          <w:tcPr>
            <w:tcW w:w="2066" w:type="pct"/>
            <w:vAlign w:val="bottom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</w:rPr>
              <w:t>General Government</w:t>
            </w:r>
          </w:p>
        </w:tc>
      </w:tr>
      <w:tr w:rsidR="00DB5004" w:rsidRPr="00AF1CE6" w:rsidTr="00AF1CE6">
        <w:trPr>
          <w:trHeight w:val="284"/>
        </w:trPr>
        <w:tc>
          <w:tcPr>
            <w:tcW w:w="1400" w:type="pct"/>
            <w:vAlign w:val="bottom"/>
          </w:tcPr>
          <w:p w:rsidR="00DB5004" w:rsidRPr="00AF1CE6" w:rsidRDefault="00DB5004" w:rsidP="00B23E6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AF1CE6">
              <w:rPr>
                <w:rFonts w:asciiTheme="majorBidi" w:hAnsiTheme="majorBidi" w:cstheme="majorBidi"/>
                <w:color w:val="000000"/>
                <w:rtl/>
              </w:rPr>
              <w:t>60</w:t>
            </w:r>
          </w:p>
        </w:tc>
        <w:tc>
          <w:tcPr>
            <w:tcW w:w="1534" w:type="pct"/>
            <w:vAlign w:val="bottom"/>
          </w:tcPr>
          <w:p w:rsidR="00DB5004" w:rsidRPr="00AF1CE6" w:rsidRDefault="00DB5004" w:rsidP="00B23E6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F1CE6">
              <w:rPr>
                <w:rFonts w:asciiTheme="majorBidi" w:hAnsiTheme="majorBidi" w:cstheme="majorBidi"/>
                <w:color w:val="000000"/>
                <w:rtl/>
              </w:rPr>
              <w:t>86</w:t>
            </w:r>
          </w:p>
        </w:tc>
        <w:tc>
          <w:tcPr>
            <w:tcW w:w="2066" w:type="pct"/>
            <w:vAlign w:val="bottom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Short-term</w:t>
            </w:r>
          </w:p>
        </w:tc>
      </w:tr>
      <w:tr w:rsidR="00DB5004" w:rsidRPr="00AF1CE6" w:rsidTr="00AF1CE6">
        <w:trPr>
          <w:trHeight w:val="284"/>
        </w:trPr>
        <w:tc>
          <w:tcPr>
            <w:tcW w:w="1400" w:type="pct"/>
            <w:vAlign w:val="bottom"/>
          </w:tcPr>
          <w:p w:rsidR="00DB5004" w:rsidRPr="00AF1CE6" w:rsidRDefault="00DB5004" w:rsidP="00B23E6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AF1CE6">
              <w:rPr>
                <w:rFonts w:asciiTheme="majorBidi" w:hAnsiTheme="majorBidi" w:cstheme="majorBidi"/>
                <w:color w:val="000000"/>
                <w:rtl/>
              </w:rPr>
              <w:t>961</w:t>
            </w:r>
          </w:p>
        </w:tc>
        <w:tc>
          <w:tcPr>
            <w:tcW w:w="1534" w:type="pct"/>
            <w:vAlign w:val="bottom"/>
          </w:tcPr>
          <w:p w:rsidR="00DB5004" w:rsidRPr="00AF1CE6" w:rsidRDefault="00DB5004" w:rsidP="00B23E6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F1CE6">
              <w:rPr>
                <w:rFonts w:asciiTheme="majorBidi" w:hAnsiTheme="majorBidi" w:cstheme="majorBidi"/>
                <w:color w:val="000000"/>
                <w:rtl/>
              </w:rPr>
              <w:t>969</w:t>
            </w:r>
          </w:p>
        </w:tc>
        <w:tc>
          <w:tcPr>
            <w:tcW w:w="2066" w:type="pct"/>
            <w:vAlign w:val="bottom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Long-term</w:t>
            </w:r>
          </w:p>
        </w:tc>
      </w:tr>
      <w:tr w:rsidR="00DB5004" w:rsidRPr="00AF1CE6" w:rsidTr="00AF1CE6">
        <w:trPr>
          <w:trHeight w:val="284"/>
        </w:trPr>
        <w:tc>
          <w:tcPr>
            <w:tcW w:w="1400" w:type="pct"/>
            <w:vAlign w:val="bottom"/>
          </w:tcPr>
          <w:p w:rsidR="00DB5004" w:rsidRPr="00AF1CE6" w:rsidRDefault="00DB5004" w:rsidP="00B23E6A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0</w:t>
            </w:r>
          </w:p>
        </w:tc>
        <w:tc>
          <w:tcPr>
            <w:tcW w:w="1534" w:type="pct"/>
            <w:vAlign w:val="bottom"/>
          </w:tcPr>
          <w:p w:rsidR="00DB5004" w:rsidRPr="00AF1CE6" w:rsidRDefault="00DB5004" w:rsidP="00B23E6A">
            <w:pPr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0</w:t>
            </w:r>
          </w:p>
        </w:tc>
        <w:tc>
          <w:tcPr>
            <w:tcW w:w="2066" w:type="pct"/>
            <w:vAlign w:val="bottom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</w:rPr>
              <w:t>Monetary Authorities</w:t>
            </w:r>
          </w:p>
        </w:tc>
      </w:tr>
      <w:tr w:rsidR="00DB5004" w:rsidRPr="00AF1CE6" w:rsidTr="00AF1CE6">
        <w:trPr>
          <w:trHeight w:val="284"/>
        </w:trPr>
        <w:tc>
          <w:tcPr>
            <w:tcW w:w="1400" w:type="pct"/>
            <w:vAlign w:val="bottom"/>
          </w:tcPr>
          <w:p w:rsidR="00DB5004" w:rsidRPr="00AF1CE6" w:rsidRDefault="00DB5004" w:rsidP="00B23E6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AF1CE6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1534" w:type="pct"/>
            <w:vAlign w:val="bottom"/>
          </w:tcPr>
          <w:p w:rsidR="00DB5004" w:rsidRPr="00AF1CE6" w:rsidRDefault="00DB5004" w:rsidP="00B23E6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F1CE6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2066" w:type="pct"/>
            <w:vAlign w:val="bottom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Short-term</w:t>
            </w:r>
          </w:p>
        </w:tc>
      </w:tr>
      <w:tr w:rsidR="00DB5004" w:rsidRPr="00AF1CE6" w:rsidTr="00AF1CE6">
        <w:trPr>
          <w:trHeight w:val="284"/>
        </w:trPr>
        <w:tc>
          <w:tcPr>
            <w:tcW w:w="1400" w:type="pct"/>
            <w:vAlign w:val="bottom"/>
          </w:tcPr>
          <w:p w:rsidR="00DB5004" w:rsidRPr="00AF1CE6" w:rsidRDefault="00DB5004" w:rsidP="00B23E6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AF1CE6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1534" w:type="pct"/>
            <w:vAlign w:val="bottom"/>
          </w:tcPr>
          <w:p w:rsidR="00DB5004" w:rsidRPr="00AF1CE6" w:rsidRDefault="00DB5004" w:rsidP="00B23E6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F1CE6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2066" w:type="pct"/>
            <w:vAlign w:val="bottom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Long-term</w:t>
            </w:r>
          </w:p>
        </w:tc>
      </w:tr>
      <w:tr w:rsidR="00DB5004" w:rsidRPr="00AF1CE6" w:rsidTr="00AF1CE6">
        <w:trPr>
          <w:trHeight w:val="284"/>
        </w:trPr>
        <w:tc>
          <w:tcPr>
            <w:tcW w:w="1400" w:type="pct"/>
            <w:vAlign w:val="bottom"/>
          </w:tcPr>
          <w:p w:rsidR="00DB5004" w:rsidRPr="00AF1CE6" w:rsidRDefault="00DB5004" w:rsidP="00B23E6A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758</w:t>
            </w:r>
          </w:p>
        </w:tc>
        <w:tc>
          <w:tcPr>
            <w:tcW w:w="1534" w:type="pct"/>
            <w:vAlign w:val="bottom"/>
          </w:tcPr>
          <w:p w:rsidR="00DB5004" w:rsidRPr="00AF1CE6" w:rsidRDefault="00DB5004" w:rsidP="00B23E6A">
            <w:pPr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796</w:t>
            </w:r>
          </w:p>
        </w:tc>
        <w:tc>
          <w:tcPr>
            <w:tcW w:w="2066" w:type="pct"/>
            <w:vAlign w:val="bottom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</w:rPr>
              <w:t>Banks</w:t>
            </w:r>
          </w:p>
        </w:tc>
      </w:tr>
      <w:tr w:rsidR="00DB5004" w:rsidRPr="00AF1CE6" w:rsidTr="00AF1CE6">
        <w:trPr>
          <w:trHeight w:val="284"/>
        </w:trPr>
        <w:tc>
          <w:tcPr>
            <w:tcW w:w="1400" w:type="pct"/>
            <w:vAlign w:val="bottom"/>
          </w:tcPr>
          <w:p w:rsidR="00DB5004" w:rsidRPr="00AF1CE6" w:rsidRDefault="00DB5004" w:rsidP="00B23E6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AF1CE6">
              <w:rPr>
                <w:rFonts w:asciiTheme="majorBidi" w:hAnsiTheme="majorBidi" w:cstheme="majorBidi"/>
                <w:color w:val="000000"/>
                <w:rtl/>
              </w:rPr>
              <w:t>393</w:t>
            </w:r>
          </w:p>
        </w:tc>
        <w:tc>
          <w:tcPr>
            <w:tcW w:w="1534" w:type="pct"/>
            <w:vAlign w:val="bottom"/>
          </w:tcPr>
          <w:p w:rsidR="00DB5004" w:rsidRPr="00AF1CE6" w:rsidRDefault="00DB5004" w:rsidP="00B23E6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F1CE6">
              <w:rPr>
                <w:rFonts w:asciiTheme="majorBidi" w:hAnsiTheme="majorBidi" w:cstheme="majorBidi"/>
                <w:color w:val="000000"/>
                <w:rtl/>
              </w:rPr>
              <w:t>475</w:t>
            </w:r>
          </w:p>
        </w:tc>
        <w:tc>
          <w:tcPr>
            <w:tcW w:w="2066" w:type="pct"/>
            <w:vAlign w:val="bottom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Short-term</w:t>
            </w:r>
          </w:p>
        </w:tc>
      </w:tr>
      <w:tr w:rsidR="00DB5004" w:rsidRPr="00AF1CE6" w:rsidTr="00AF1CE6">
        <w:trPr>
          <w:trHeight w:val="284"/>
        </w:trPr>
        <w:tc>
          <w:tcPr>
            <w:tcW w:w="1400" w:type="pct"/>
            <w:vAlign w:val="bottom"/>
          </w:tcPr>
          <w:p w:rsidR="00DB5004" w:rsidRPr="00AF1CE6" w:rsidRDefault="00DB5004" w:rsidP="00B23E6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AF1CE6">
              <w:rPr>
                <w:rFonts w:asciiTheme="majorBidi" w:hAnsiTheme="majorBidi" w:cstheme="majorBidi"/>
                <w:color w:val="000000"/>
                <w:rtl/>
              </w:rPr>
              <w:t>365</w:t>
            </w:r>
          </w:p>
        </w:tc>
        <w:tc>
          <w:tcPr>
            <w:tcW w:w="1534" w:type="pct"/>
            <w:vAlign w:val="bottom"/>
          </w:tcPr>
          <w:p w:rsidR="00DB5004" w:rsidRPr="00AF1CE6" w:rsidRDefault="00DB5004" w:rsidP="00B23E6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F1CE6">
              <w:rPr>
                <w:rFonts w:asciiTheme="majorBidi" w:hAnsiTheme="majorBidi" w:cstheme="majorBidi"/>
                <w:color w:val="000000"/>
                <w:rtl/>
              </w:rPr>
              <w:t>321</w:t>
            </w:r>
          </w:p>
        </w:tc>
        <w:tc>
          <w:tcPr>
            <w:tcW w:w="2066" w:type="pct"/>
            <w:vAlign w:val="bottom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Long-term</w:t>
            </w:r>
          </w:p>
        </w:tc>
      </w:tr>
      <w:tr w:rsidR="00DB5004" w:rsidRPr="00AF1CE6" w:rsidTr="00AF1CE6">
        <w:trPr>
          <w:trHeight w:val="284"/>
        </w:trPr>
        <w:tc>
          <w:tcPr>
            <w:tcW w:w="1400" w:type="pct"/>
            <w:vAlign w:val="bottom"/>
          </w:tcPr>
          <w:p w:rsidR="00DB5004" w:rsidRPr="00AF1CE6" w:rsidRDefault="00DB5004" w:rsidP="00B23E6A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70</w:t>
            </w:r>
          </w:p>
        </w:tc>
        <w:tc>
          <w:tcPr>
            <w:tcW w:w="1534" w:type="pct"/>
            <w:vAlign w:val="bottom"/>
          </w:tcPr>
          <w:p w:rsidR="00DB5004" w:rsidRPr="00AF1CE6" w:rsidRDefault="00DB5004" w:rsidP="00B23E6A">
            <w:pPr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63</w:t>
            </w:r>
          </w:p>
        </w:tc>
        <w:tc>
          <w:tcPr>
            <w:tcW w:w="2066" w:type="pct"/>
            <w:vAlign w:val="bottom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</w:rPr>
              <w:t>Other Sectors</w:t>
            </w:r>
          </w:p>
        </w:tc>
      </w:tr>
      <w:tr w:rsidR="00DB5004" w:rsidRPr="00AF1CE6" w:rsidTr="00AF1CE6">
        <w:trPr>
          <w:trHeight w:val="284"/>
        </w:trPr>
        <w:tc>
          <w:tcPr>
            <w:tcW w:w="1400" w:type="pct"/>
            <w:vAlign w:val="bottom"/>
          </w:tcPr>
          <w:p w:rsidR="00DB5004" w:rsidRPr="00AF1CE6" w:rsidRDefault="00DB5004" w:rsidP="00B23E6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AF1CE6">
              <w:rPr>
                <w:rFonts w:asciiTheme="majorBidi" w:hAnsiTheme="majorBidi" w:cstheme="majorBidi"/>
                <w:color w:val="000000"/>
                <w:rtl/>
              </w:rPr>
              <w:t>3</w:t>
            </w:r>
          </w:p>
        </w:tc>
        <w:tc>
          <w:tcPr>
            <w:tcW w:w="1534" w:type="pct"/>
            <w:vAlign w:val="bottom"/>
          </w:tcPr>
          <w:p w:rsidR="00DB5004" w:rsidRPr="00AF1CE6" w:rsidRDefault="00DB5004" w:rsidP="00B23E6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F1CE6">
              <w:rPr>
                <w:rFonts w:asciiTheme="majorBidi" w:hAnsiTheme="majorBidi" w:cstheme="majorBidi"/>
                <w:color w:val="000000"/>
                <w:rtl/>
              </w:rPr>
              <w:t>3</w:t>
            </w:r>
          </w:p>
        </w:tc>
        <w:tc>
          <w:tcPr>
            <w:tcW w:w="2066" w:type="pct"/>
            <w:vAlign w:val="bottom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Short-term</w:t>
            </w:r>
          </w:p>
        </w:tc>
      </w:tr>
      <w:tr w:rsidR="00DB5004" w:rsidRPr="00AF1CE6" w:rsidTr="00AF1CE6">
        <w:trPr>
          <w:trHeight w:val="284"/>
        </w:trPr>
        <w:tc>
          <w:tcPr>
            <w:tcW w:w="1400" w:type="pct"/>
            <w:vAlign w:val="bottom"/>
          </w:tcPr>
          <w:p w:rsidR="00DB5004" w:rsidRPr="00AF1CE6" w:rsidRDefault="00DB5004" w:rsidP="00B23E6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AF1CE6">
              <w:rPr>
                <w:rFonts w:asciiTheme="majorBidi" w:hAnsiTheme="majorBidi" w:cstheme="majorBidi"/>
                <w:color w:val="000000"/>
                <w:rtl/>
              </w:rPr>
              <w:t>67</w:t>
            </w:r>
          </w:p>
        </w:tc>
        <w:tc>
          <w:tcPr>
            <w:tcW w:w="1534" w:type="pct"/>
            <w:vAlign w:val="bottom"/>
          </w:tcPr>
          <w:p w:rsidR="00DB5004" w:rsidRPr="00AF1CE6" w:rsidRDefault="00DB5004" w:rsidP="00B23E6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F1CE6">
              <w:rPr>
                <w:rFonts w:asciiTheme="majorBidi" w:hAnsiTheme="majorBidi" w:cstheme="majorBidi"/>
                <w:color w:val="000000"/>
                <w:rtl/>
              </w:rPr>
              <w:t>60</w:t>
            </w:r>
          </w:p>
        </w:tc>
        <w:tc>
          <w:tcPr>
            <w:tcW w:w="2066" w:type="pct"/>
            <w:vAlign w:val="bottom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Long-term</w:t>
            </w:r>
          </w:p>
        </w:tc>
      </w:tr>
      <w:tr w:rsidR="00DB5004" w:rsidRPr="00AF1CE6" w:rsidTr="00AF1CE6">
        <w:trPr>
          <w:trHeight w:val="284"/>
        </w:trPr>
        <w:tc>
          <w:tcPr>
            <w:tcW w:w="1400" w:type="pct"/>
            <w:vAlign w:val="bottom"/>
          </w:tcPr>
          <w:p w:rsidR="00DB5004" w:rsidRPr="00AF1CE6" w:rsidRDefault="00DB5004" w:rsidP="00B23E6A">
            <w:pPr>
              <w:bidi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  <w:color w:val="000000"/>
              </w:rPr>
              <w:t>5</w:t>
            </w:r>
          </w:p>
        </w:tc>
        <w:tc>
          <w:tcPr>
            <w:tcW w:w="1534" w:type="pct"/>
            <w:vAlign w:val="bottom"/>
          </w:tcPr>
          <w:p w:rsidR="00DB5004" w:rsidRPr="00AF1CE6" w:rsidRDefault="00DB5004" w:rsidP="00B23E6A">
            <w:pPr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3</w:t>
            </w:r>
          </w:p>
        </w:tc>
        <w:tc>
          <w:tcPr>
            <w:tcW w:w="2066" w:type="pct"/>
            <w:vAlign w:val="bottom"/>
          </w:tcPr>
          <w:p w:rsidR="00DB5004" w:rsidRPr="00AF1CE6" w:rsidRDefault="00DB5004" w:rsidP="00BE1A7F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</w:rPr>
              <w:t xml:space="preserve">Direct </w:t>
            </w:r>
            <w:r w:rsidR="00BE1A7F" w:rsidRPr="00AF1CE6">
              <w:rPr>
                <w:rFonts w:asciiTheme="majorBidi" w:hAnsiTheme="majorBidi" w:cstheme="majorBidi"/>
                <w:i w:val="0"/>
                <w:iCs/>
              </w:rPr>
              <w:t>I</w:t>
            </w:r>
            <w:r w:rsidRPr="00AF1CE6">
              <w:rPr>
                <w:rFonts w:asciiTheme="majorBidi" w:hAnsiTheme="majorBidi" w:cstheme="majorBidi"/>
                <w:i w:val="0"/>
                <w:iCs/>
              </w:rPr>
              <w:t>nvestment: lending between affiliated companies</w:t>
            </w:r>
          </w:p>
        </w:tc>
      </w:tr>
      <w:tr w:rsidR="00DB5004" w:rsidRPr="00AF1CE6" w:rsidTr="00AF1CE6">
        <w:trPr>
          <w:trHeight w:val="284"/>
        </w:trPr>
        <w:tc>
          <w:tcPr>
            <w:tcW w:w="1400" w:type="pct"/>
            <w:vAlign w:val="bottom"/>
          </w:tcPr>
          <w:p w:rsidR="00DB5004" w:rsidRPr="00AF1CE6" w:rsidRDefault="00DB5004" w:rsidP="00B23E6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AF1CE6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1534" w:type="pct"/>
            <w:vAlign w:val="bottom"/>
          </w:tcPr>
          <w:p w:rsidR="00DB5004" w:rsidRPr="00AF1CE6" w:rsidRDefault="00DB5004" w:rsidP="00B23E6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F1CE6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2066" w:type="pct"/>
            <w:vAlign w:val="bottom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Debt liabilities to affiliated enterprises</w:t>
            </w:r>
          </w:p>
        </w:tc>
      </w:tr>
      <w:tr w:rsidR="00DB5004" w:rsidRPr="00AF1CE6" w:rsidTr="00AF1CE6">
        <w:trPr>
          <w:trHeight w:val="284"/>
        </w:trPr>
        <w:tc>
          <w:tcPr>
            <w:tcW w:w="1400" w:type="pct"/>
            <w:vAlign w:val="bottom"/>
          </w:tcPr>
          <w:p w:rsidR="00DB5004" w:rsidRPr="00AF1CE6" w:rsidRDefault="00DB5004" w:rsidP="00B23E6A">
            <w:pPr>
              <w:bidi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5</w:t>
            </w:r>
          </w:p>
        </w:tc>
        <w:tc>
          <w:tcPr>
            <w:tcW w:w="1534" w:type="pct"/>
            <w:vAlign w:val="bottom"/>
          </w:tcPr>
          <w:p w:rsidR="00DB5004" w:rsidRPr="00AF1CE6" w:rsidRDefault="00DB5004" w:rsidP="00B23E6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F1CE6">
              <w:rPr>
                <w:rFonts w:asciiTheme="majorBidi" w:hAnsiTheme="majorBidi" w:cstheme="majorBidi"/>
                <w:color w:val="000000"/>
                <w:rtl/>
              </w:rPr>
              <w:t>3</w:t>
            </w:r>
          </w:p>
        </w:tc>
        <w:tc>
          <w:tcPr>
            <w:tcW w:w="2066" w:type="pct"/>
            <w:vAlign w:val="bottom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Debt liabilities to direct investors</w:t>
            </w:r>
          </w:p>
        </w:tc>
      </w:tr>
      <w:tr w:rsidR="00DB5004" w:rsidRPr="00AF1CE6" w:rsidTr="00AF1CE6">
        <w:trPr>
          <w:trHeight w:val="284"/>
        </w:trPr>
        <w:tc>
          <w:tcPr>
            <w:tcW w:w="1400" w:type="pct"/>
            <w:vAlign w:val="bottom"/>
          </w:tcPr>
          <w:p w:rsidR="00DB5004" w:rsidRPr="00AF1CE6" w:rsidRDefault="00DB5004" w:rsidP="00B23E6A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1,854</w:t>
            </w:r>
          </w:p>
        </w:tc>
        <w:tc>
          <w:tcPr>
            <w:tcW w:w="1534" w:type="pct"/>
            <w:vAlign w:val="bottom"/>
          </w:tcPr>
          <w:p w:rsidR="00DB5004" w:rsidRPr="00AF1CE6" w:rsidRDefault="00DB5004" w:rsidP="00B23E6A">
            <w:pPr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AF1CE6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</w:t>
            </w:r>
            <w:r w:rsidRPr="00AF1CE6">
              <w:rPr>
                <w:rFonts w:asciiTheme="majorBidi" w:hAnsiTheme="majorBidi" w:cstheme="majorBidi"/>
                <w:b w:val="0"/>
                <w:bCs/>
                <w:color w:val="000000"/>
              </w:rPr>
              <w:t>,</w:t>
            </w:r>
            <w:r w:rsidRPr="00AF1CE6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917</w:t>
            </w:r>
          </w:p>
        </w:tc>
        <w:tc>
          <w:tcPr>
            <w:tcW w:w="2066" w:type="pct"/>
            <w:vAlign w:val="bottom"/>
          </w:tcPr>
          <w:p w:rsidR="00DB5004" w:rsidRPr="00AF1CE6" w:rsidRDefault="00DB5004" w:rsidP="00B23E6A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AF1CE6">
              <w:rPr>
                <w:rFonts w:asciiTheme="majorBidi" w:hAnsiTheme="majorBidi" w:cstheme="majorBidi"/>
                <w:i w:val="0"/>
                <w:iCs/>
              </w:rPr>
              <w:t>Gross External Debt Position</w:t>
            </w:r>
          </w:p>
        </w:tc>
      </w:tr>
    </w:tbl>
    <w:p w:rsidR="00DB5004" w:rsidRPr="0053342F" w:rsidRDefault="00DB5004" w:rsidP="00DB5004">
      <w:pPr>
        <w:contextualSpacing/>
        <w:jc w:val="center"/>
        <w:rPr>
          <w:rFonts w:ascii="Arial" w:hAnsi="Arial"/>
          <w:i w:val="0"/>
          <w:iCs/>
          <w:sz w:val="22"/>
          <w:szCs w:val="22"/>
          <w:rtl/>
        </w:rPr>
      </w:pPr>
    </w:p>
    <w:p w:rsidR="00DB5004" w:rsidRPr="00C305B9" w:rsidRDefault="00DB5004" w:rsidP="00DB5004">
      <w:pPr>
        <w:pStyle w:val="BodyText"/>
        <w:bidi w:val="0"/>
        <w:ind w:left="-851"/>
        <w:jc w:val="both"/>
        <w:rPr>
          <w:rFonts w:asciiTheme="majorBidi" w:hAnsiTheme="majorBidi" w:cstheme="majorBidi"/>
          <w:bCs/>
          <w:iCs/>
          <w:szCs w:val="24"/>
          <w:rtl/>
        </w:rPr>
      </w:pPr>
    </w:p>
    <w:p w:rsidR="00DB5004" w:rsidRPr="00B94B95" w:rsidRDefault="00DB5004" w:rsidP="00DB5004">
      <w:pPr>
        <w:spacing w:before="120" w:after="120" w:line="276" w:lineRule="auto"/>
        <w:rPr>
          <w:rFonts w:asciiTheme="majorBidi" w:hAnsiTheme="majorBidi" w:cstheme="majorBidi"/>
          <w:b w:val="0"/>
          <w:bCs/>
          <w:i w:val="0"/>
          <w:iCs/>
          <w:rtl/>
        </w:rPr>
      </w:pPr>
    </w:p>
    <w:p w:rsidR="00F2693C" w:rsidRPr="00F91DCF" w:rsidRDefault="00F2693C" w:rsidP="00760B80">
      <w:pPr>
        <w:bidi/>
        <w:spacing w:line="480" w:lineRule="exact"/>
        <w:jc w:val="center"/>
        <w:rPr>
          <w:rFonts w:asciiTheme="majorBidi" w:hAnsiTheme="majorBidi" w:cstheme="majorBidi"/>
          <w:rtl/>
        </w:rPr>
      </w:pPr>
    </w:p>
    <w:sectPr w:rsidR="00F2693C" w:rsidRPr="00F91DCF" w:rsidSect="00AF1CE6">
      <w:footerReference w:type="default" r:id="rId13"/>
      <w:pgSz w:w="11907" w:h="16839" w:code="9"/>
      <w:pgMar w:top="720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E55" w:rsidRDefault="00485E55" w:rsidP="00885BEC">
      <w:r>
        <w:separator/>
      </w:r>
    </w:p>
  </w:endnote>
  <w:endnote w:type="continuationSeparator" w:id="0">
    <w:p w:rsidR="00485E55" w:rsidRDefault="00485E55" w:rsidP="0088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7172"/>
      <w:docPartObj>
        <w:docPartGallery w:val="Page Numbers (Bottom of Page)"/>
        <w:docPartUnique/>
      </w:docPartObj>
    </w:sdtPr>
    <w:sdtContent>
      <w:p w:rsidR="001823A8" w:rsidRDefault="00540720">
        <w:pPr>
          <w:pStyle w:val="Footer"/>
          <w:jc w:val="center"/>
        </w:pPr>
        <w:r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="001823A8"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 w:rsidR="00AF1CE6">
          <w:rPr>
            <w:b w:val="0"/>
            <w:bCs/>
            <w:i w:val="0"/>
            <w:iCs/>
            <w:noProof/>
            <w:sz w:val="20"/>
            <w:szCs w:val="20"/>
          </w:rPr>
          <w:t>1</w: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p>
    </w:sdtContent>
  </w:sdt>
  <w:p w:rsidR="001823A8" w:rsidRDefault="001823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E55" w:rsidRDefault="00485E55" w:rsidP="00885BEC">
      <w:r>
        <w:separator/>
      </w:r>
    </w:p>
  </w:footnote>
  <w:footnote w:type="continuationSeparator" w:id="0">
    <w:p w:rsidR="00485E55" w:rsidRDefault="00485E55" w:rsidP="00885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357"/>
    <w:rsid w:val="00000446"/>
    <w:rsid w:val="000042EC"/>
    <w:rsid w:val="000072F1"/>
    <w:rsid w:val="000115CC"/>
    <w:rsid w:val="0001231A"/>
    <w:rsid w:val="000124A7"/>
    <w:rsid w:val="00013A84"/>
    <w:rsid w:val="00022F55"/>
    <w:rsid w:val="00023916"/>
    <w:rsid w:val="00023F63"/>
    <w:rsid w:val="0002627D"/>
    <w:rsid w:val="000271AF"/>
    <w:rsid w:val="00030C2F"/>
    <w:rsid w:val="00032DB0"/>
    <w:rsid w:val="00037C5E"/>
    <w:rsid w:val="00040BCA"/>
    <w:rsid w:val="00047BC1"/>
    <w:rsid w:val="00050DB2"/>
    <w:rsid w:val="000541C3"/>
    <w:rsid w:val="00056CE8"/>
    <w:rsid w:val="00056EBF"/>
    <w:rsid w:val="000621F0"/>
    <w:rsid w:val="00067DB7"/>
    <w:rsid w:val="00072644"/>
    <w:rsid w:val="00077AA7"/>
    <w:rsid w:val="00080709"/>
    <w:rsid w:val="00080765"/>
    <w:rsid w:val="00081BE1"/>
    <w:rsid w:val="00085209"/>
    <w:rsid w:val="00090534"/>
    <w:rsid w:val="00090697"/>
    <w:rsid w:val="00090A98"/>
    <w:rsid w:val="00091661"/>
    <w:rsid w:val="00093B55"/>
    <w:rsid w:val="0009408F"/>
    <w:rsid w:val="000944C5"/>
    <w:rsid w:val="0009567F"/>
    <w:rsid w:val="0009774E"/>
    <w:rsid w:val="000A23B0"/>
    <w:rsid w:val="000A2842"/>
    <w:rsid w:val="000A3B64"/>
    <w:rsid w:val="000A3D5C"/>
    <w:rsid w:val="000A5E40"/>
    <w:rsid w:val="000B09BC"/>
    <w:rsid w:val="000B19A1"/>
    <w:rsid w:val="000B4B6A"/>
    <w:rsid w:val="000B638F"/>
    <w:rsid w:val="000B66F2"/>
    <w:rsid w:val="000C0673"/>
    <w:rsid w:val="000C156F"/>
    <w:rsid w:val="000C2CD8"/>
    <w:rsid w:val="000C30EC"/>
    <w:rsid w:val="000D0B86"/>
    <w:rsid w:val="000D134F"/>
    <w:rsid w:val="000D36E9"/>
    <w:rsid w:val="000D4C84"/>
    <w:rsid w:val="000E57DB"/>
    <w:rsid w:val="000E6DC2"/>
    <w:rsid w:val="000E76D1"/>
    <w:rsid w:val="000E77D9"/>
    <w:rsid w:val="000F2F95"/>
    <w:rsid w:val="000F449F"/>
    <w:rsid w:val="000F4C18"/>
    <w:rsid w:val="000F7730"/>
    <w:rsid w:val="00100B52"/>
    <w:rsid w:val="0011238A"/>
    <w:rsid w:val="00122B0F"/>
    <w:rsid w:val="001243F4"/>
    <w:rsid w:val="00126E34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609E2"/>
    <w:rsid w:val="00161954"/>
    <w:rsid w:val="00162E38"/>
    <w:rsid w:val="00170276"/>
    <w:rsid w:val="00181A2B"/>
    <w:rsid w:val="001823A8"/>
    <w:rsid w:val="001844CA"/>
    <w:rsid w:val="001861B2"/>
    <w:rsid w:val="001862D7"/>
    <w:rsid w:val="00190B3C"/>
    <w:rsid w:val="001933C3"/>
    <w:rsid w:val="0019579D"/>
    <w:rsid w:val="00196708"/>
    <w:rsid w:val="001A3990"/>
    <w:rsid w:val="001B1110"/>
    <w:rsid w:val="001B2151"/>
    <w:rsid w:val="001B2404"/>
    <w:rsid w:val="001B35EB"/>
    <w:rsid w:val="001B4D6A"/>
    <w:rsid w:val="001B7265"/>
    <w:rsid w:val="001C1307"/>
    <w:rsid w:val="001C2180"/>
    <w:rsid w:val="001C6697"/>
    <w:rsid w:val="001C7022"/>
    <w:rsid w:val="001D3642"/>
    <w:rsid w:val="001D43EA"/>
    <w:rsid w:val="001D5ADB"/>
    <w:rsid w:val="001D5D12"/>
    <w:rsid w:val="001D7ADF"/>
    <w:rsid w:val="001D7C9B"/>
    <w:rsid w:val="001E2FD6"/>
    <w:rsid w:val="001E4E8A"/>
    <w:rsid w:val="001F14B4"/>
    <w:rsid w:val="001F37D2"/>
    <w:rsid w:val="001F4820"/>
    <w:rsid w:val="001F5051"/>
    <w:rsid w:val="001F67A4"/>
    <w:rsid w:val="002058E4"/>
    <w:rsid w:val="00205A26"/>
    <w:rsid w:val="002078E3"/>
    <w:rsid w:val="00211E0E"/>
    <w:rsid w:val="00222AF5"/>
    <w:rsid w:val="00224241"/>
    <w:rsid w:val="002245A3"/>
    <w:rsid w:val="002311EB"/>
    <w:rsid w:val="002339F9"/>
    <w:rsid w:val="00233A3F"/>
    <w:rsid w:val="00235B42"/>
    <w:rsid w:val="00235C00"/>
    <w:rsid w:val="0023676F"/>
    <w:rsid w:val="002403C2"/>
    <w:rsid w:val="00241F11"/>
    <w:rsid w:val="00244E71"/>
    <w:rsid w:val="00246BC1"/>
    <w:rsid w:val="00251A59"/>
    <w:rsid w:val="0025216F"/>
    <w:rsid w:val="002523D4"/>
    <w:rsid w:val="00254E95"/>
    <w:rsid w:val="00254FB5"/>
    <w:rsid w:val="00260883"/>
    <w:rsid w:val="0026165F"/>
    <w:rsid w:val="00262AC2"/>
    <w:rsid w:val="00264A2F"/>
    <w:rsid w:val="00267601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A0947"/>
    <w:rsid w:val="002B0376"/>
    <w:rsid w:val="002B1F4B"/>
    <w:rsid w:val="002B2CA8"/>
    <w:rsid w:val="002B36F3"/>
    <w:rsid w:val="002B519B"/>
    <w:rsid w:val="002B7102"/>
    <w:rsid w:val="002C032A"/>
    <w:rsid w:val="002C1546"/>
    <w:rsid w:val="002C5EF1"/>
    <w:rsid w:val="002C6DD7"/>
    <w:rsid w:val="002D1337"/>
    <w:rsid w:val="002D5FC8"/>
    <w:rsid w:val="002D7608"/>
    <w:rsid w:val="002E20F7"/>
    <w:rsid w:val="002E241A"/>
    <w:rsid w:val="002E5E97"/>
    <w:rsid w:val="002E6591"/>
    <w:rsid w:val="002E710B"/>
    <w:rsid w:val="002F51DB"/>
    <w:rsid w:val="00301F14"/>
    <w:rsid w:val="00306FC9"/>
    <w:rsid w:val="0031286D"/>
    <w:rsid w:val="00312946"/>
    <w:rsid w:val="00313C39"/>
    <w:rsid w:val="003143EE"/>
    <w:rsid w:val="00314F90"/>
    <w:rsid w:val="00315123"/>
    <w:rsid w:val="00317CDE"/>
    <w:rsid w:val="00317E26"/>
    <w:rsid w:val="00322DEF"/>
    <w:rsid w:val="00322FF5"/>
    <w:rsid w:val="00325B26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23FA"/>
    <w:rsid w:val="00364DE2"/>
    <w:rsid w:val="003650EA"/>
    <w:rsid w:val="003713EE"/>
    <w:rsid w:val="00371BAA"/>
    <w:rsid w:val="00376039"/>
    <w:rsid w:val="00376DA0"/>
    <w:rsid w:val="00377817"/>
    <w:rsid w:val="0038255A"/>
    <w:rsid w:val="00382E41"/>
    <w:rsid w:val="003838AD"/>
    <w:rsid w:val="0038458B"/>
    <w:rsid w:val="00385033"/>
    <w:rsid w:val="00387A29"/>
    <w:rsid w:val="00391B60"/>
    <w:rsid w:val="00394B30"/>
    <w:rsid w:val="00397CC6"/>
    <w:rsid w:val="003A1748"/>
    <w:rsid w:val="003A3E2C"/>
    <w:rsid w:val="003A7091"/>
    <w:rsid w:val="003B0C69"/>
    <w:rsid w:val="003B2285"/>
    <w:rsid w:val="003B4EFD"/>
    <w:rsid w:val="003B56C9"/>
    <w:rsid w:val="003C00B9"/>
    <w:rsid w:val="003C22E0"/>
    <w:rsid w:val="003C64EA"/>
    <w:rsid w:val="003D1AD0"/>
    <w:rsid w:val="003D64EB"/>
    <w:rsid w:val="003D6FF3"/>
    <w:rsid w:val="003D7154"/>
    <w:rsid w:val="003E0504"/>
    <w:rsid w:val="003E289D"/>
    <w:rsid w:val="003E38BC"/>
    <w:rsid w:val="003E5A4E"/>
    <w:rsid w:val="003E65F8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6F83"/>
    <w:rsid w:val="0040747F"/>
    <w:rsid w:val="00410274"/>
    <w:rsid w:val="00411C10"/>
    <w:rsid w:val="00412B95"/>
    <w:rsid w:val="00420768"/>
    <w:rsid w:val="004246CA"/>
    <w:rsid w:val="004272CE"/>
    <w:rsid w:val="004310E3"/>
    <w:rsid w:val="0043182C"/>
    <w:rsid w:val="0043280A"/>
    <w:rsid w:val="00436681"/>
    <w:rsid w:val="00437C95"/>
    <w:rsid w:val="00440AB9"/>
    <w:rsid w:val="004459C6"/>
    <w:rsid w:val="0044654A"/>
    <w:rsid w:val="00451315"/>
    <w:rsid w:val="004531AA"/>
    <w:rsid w:val="0046086A"/>
    <w:rsid w:val="00462347"/>
    <w:rsid w:val="004624A9"/>
    <w:rsid w:val="00463EB9"/>
    <w:rsid w:val="0046412B"/>
    <w:rsid w:val="0046623B"/>
    <w:rsid w:val="00466329"/>
    <w:rsid w:val="00466417"/>
    <w:rsid w:val="004706FF"/>
    <w:rsid w:val="00470EB2"/>
    <w:rsid w:val="0047161C"/>
    <w:rsid w:val="0047210C"/>
    <w:rsid w:val="004722F3"/>
    <w:rsid w:val="00473BE3"/>
    <w:rsid w:val="00482097"/>
    <w:rsid w:val="00483A1A"/>
    <w:rsid w:val="00485E55"/>
    <w:rsid w:val="00485E88"/>
    <w:rsid w:val="004908D8"/>
    <w:rsid w:val="004920F5"/>
    <w:rsid w:val="00494846"/>
    <w:rsid w:val="00494AD4"/>
    <w:rsid w:val="004954C4"/>
    <w:rsid w:val="004A6FCF"/>
    <w:rsid w:val="004B6088"/>
    <w:rsid w:val="004B65A3"/>
    <w:rsid w:val="004B7C0D"/>
    <w:rsid w:val="004C1D42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625A"/>
    <w:rsid w:val="004F052B"/>
    <w:rsid w:val="004F1663"/>
    <w:rsid w:val="004F3B71"/>
    <w:rsid w:val="004F4E08"/>
    <w:rsid w:val="004F701E"/>
    <w:rsid w:val="00501ACB"/>
    <w:rsid w:val="0050324C"/>
    <w:rsid w:val="00512E0F"/>
    <w:rsid w:val="00513BB5"/>
    <w:rsid w:val="0051707F"/>
    <w:rsid w:val="005322B0"/>
    <w:rsid w:val="0053266C"/>
    <w:rsid w:val="00532EFB"/>
    <w:rsid w:val="0053622D"/>
    <w:rsid w:val="00540720"/>
    <w:rsid w:val="00544D08"/>
    <w:rsid w:val="00545118"/>
    <w:rsid w:val="00550FEB"/>
    <w:rsid w:val="00552DE8"/>
    <w:rsid w:val="00553325"/>
    <w:rsid w:val="005540CE"/>
    <w:rsid w:val="00554D40"/>
    <w:rsid w:val="00557B46"/>
    <w:rsid w:val="005622E7"/>
    <w:rsid w:val="00564454"/>
    <w:rsid w:val="00570B11"/>
    <w:rsid w:val="005715DA"/>
    <w:rsid w:val="005721DA"/>
    <w:rsid w:val="00572967"/>
    <w:rsid w:val="005738ED"/>
    <w:rsid w:val="00575A80"/>
    <w:rsid w:val="005775B3"/>
    <w:rsid w:val="00583A54"/>
    <w:rsid w:val="00584208"/>
    <w:rsid w:val="0058499C"/>
    <w:rsid w:val="00587861"/>
    <w:rsid w:val="0059372F"/>
    <w:rsid w:val="00594133"/>
    <w:rsid w:val="00595820"/>
    <w:rsid w:val="005A05C8"/>
    <w:rsid w:val="005A622B"/>
    <w:rsid w:val="005B47E8"/>
    <w:rsid w:val="005B6A18"/>
    <w:rsid w:val="005C3F38"/>
    <w:rsid w:val="005C63F0"/>
    <w:rsid w:val="005C6ACB"/>
    <w:rsid w:val="005C7213"/>
    <w:rsid w:val="005D1897"/>
    <w:rsid w:val="005D76C7"/>
    <w:rsid w:val="005E1B65"/>
    <w:rsid w:val="005E2897"/>
    <w:rsid w:val="005E3128"/>
    <w:rsid w:val="005E34DD"/>
    <w:rsid w:val="005E4B50"/>
    <w:rsid w:val="005E4F15"/>
    <w:rsid w:val="005E5F14"/>
    <w:rsid w:val="005E6C00"/>
    <w:rsid w:val="005F0F2C"/>
    <w:rsid w:val="005F1079"/>
    <w:rsid w:val="005F4EC2"/>
    <w:rsid w:val="005F7E95"/>
    <w:rsid w:val="006101E4"/>
    <w:rsid w:val="00612242"/>
    <w:rsid w:val="00613DED"/>
    <w:rsid w:val="00616296"/>
    <w:rsid w:val="006162C8"/>
    <w:rsid w:val="00617945"/>
    <w:rsid w:val="006211A1"/>
    <w:rsid w:val="006239FE"/>
    <w:rsid w:val="00623A01"/>
    <w:rsid w:val="0062406A"/>
    <w:rsid w:val="006251C6"/>
    <w:rsid w:val="00627303"/>
    <w:rsid w:val="00631A9E"/>
    <w:rsid w:val="006352F1"/>
    <w:rsid w:val="00635CFE"/>
    <w:rsid w:val="00640286"/>
    <w:rsid w:val="00640FE6"/>
    <w:rsid w:val="0064727B"/>
    <w:rsid w:val="0065065D"/>
    <w:rsid w:val="00653532"/>
    <w:rsid w:val="00656A6C"/>
    <w:rsid w:val="00657984"/>
    <w:rsid w:val="00663875"/>
    <w:rsid w:val="006649CA"/>
    <w:rsid w:val="0066643E"/>
    <w:rsid w:val="0067102F"/>
    <w:rsid w:val="00672923"/>
    <w:rsid w:val="00673220"/>
    <w:rsid w:val="006738B1"/>
    <w:rsid w:val="00681C63"/>
    <w:rsid w:val="006825EB"/>
    <w:rsid w:val="006860A4"/>
    <w:rsid w:val="006864AF"/>
    <w:rsid w:val="00692615"/>
    <w:rsid w:val="006945FA"/>
    <w:rsid w:val="006949AB"/>
    <w:rsid w:val="006A4970"/>
    <w:rsid w:val="006A6595"/>
    <w:rsid w:val="006B5EE1"/>
    <w:rsid w:val="006C0330"/>
    <w:rsid w:val="006C46B3"/>
    <w:rsid w:val="006C5842"/>
    <w:rsid w:val="006C5ED3"/>
    <w:rsid w:val="006D24EE"/>
    <w:rsid w:val="006D6EEF"/>
    <w:rsid w:val="006E4D2F"/>
    <w:rsid w:val="006E775A"/>
    <w:rsid w:val="006F21B2"/>
    <w:rsid w:val="006F2D58"/>
    <w:rsid w:val="006F5843"/>
    <w:rsid w:val="006F5851"/>
    <w:rsid w:val="0070333F"/>
    <w:rsid w:val="007115CF"/>
    <w:rsid w:val="007117F4"/>
    <w:rsid w:val="00713756"/>
    <w:rsid w:val="00725408"/>
    <w:rsid w:val="00737401"/>
    <w:rsid w:val="007440AA"/>
    <w:rsid w:val="0074518D"/>
    <w:rsid w:val="00745DFE"/>
    <w:rsid w:val="00753738"/>
    <w:rsid w:val="0075703F"/>
    <w:rsid w:val="00757248"/>
    <w:rsid w:val="00760B80"/>
    <w:rsid w:val="0076206A"/>
    <w:rsid w:val="007634C9"/>
    <w:rsid w:val="007673B4"/>
    <w:rsid w:val="00770E19"/>
    <w:rsid w:val="00771648"/>
    <w:rsid w:val="0077245A"/>
    <w:rsid w:val="007739AD"/>
    <w:rsid w:val="00774849"/>
    <w:rsid w:val="007804B5"/>
    <w:rsid w:val="007811C9"/>
    <w:rsid w:val="007816DB"/>
    <w:rsid w:val="00786072"/>
    <w:rsid w:val="00786E33"/>
    <w:rsid w:val="00795FD1"/>
    <w:rsid w:val="00796D97"/>
    <w:rsid w:val="00796DF9"/>
    <w:rsid w:val="007971E6"/>
    <w:rsid w:val="007A0A4E"/>
    <w:rsid w:val="007A0E58"/>
    <w:rsid w:val="007A67ED"/>
    <w:rsid w:val="007B0F66"/>
    <w:rsid w:val="007B6303"/>
    <w:rsid w:val="007C159F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FA4"/>
    <w:rsid w:val="007E6926"/>
    <w:rsid w:val="007F34C4"/>
    <w:rsid w:val="007F5D8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20280"/>
    <w:rsid w:val="00822930"/>
    <w:rsid w:val="008244F8"/>
    <w:rsid w:val="00824C66"/>
    <w:rsid w:val="00831A99"/>
    <w:rsid w:val="00836286"/>
    <w:rsid w:val="00837C26"/>
    <w:rsid w:val="008442FD"/>
    <w:rsid w:val="008443CF"/>
    <w:rsid w:val="00851D2D"/>
    <w:rsid w:val="00852594"/>
    <w:rsid w:val="00854491"/>
    <w:rsid w:val="0085689F"/>
    <w:rsid w:val="008614ED"/>
    <w:rsid w:val="008619C7"/>
    <w:rsid w:val="00861BCA"/>
    <w:rsid w:val="008655B1"/>
    <w:rsid w:val="00867416"/>
    <w:rsid w:val="008675EA"/>
    <w:rsid w:val="00873817"/>
    <w:rsid w:val="008748CF"/>
    <w:rsid w:val="0087706E"/>
    <w:rsid w:val="008803CB"/>
    <w:rsid w:val="00880B7E"/>
    <w:rsid w:val="00881181"/>
    <w:rsid w:val="00881593"/>
    <w:rsid w:val="00883934"/>
    <w:rsid w:val="00883CEF"/>
    <w:rsid w:val="008840BB"/>
    <w:rsid w:val="00885BEC"/>
    <w:rsid w:val="00887793"/>
    <w:rsid w:val="00887DDA"/>
    <w:rsid w:val="0089649C"/>
    <w:rsid w:val="008975DB"/>
    <w:rsid w:val="008A4688"/>
    <w:rsid w:val="008A4EE4"/>
    <w:rsid w:val="008A50C1"/>
    <w:rsid w:val="008A61F5"/>
    <w:rsid w:val="008A6433"/>
    <w:rsid w:val="008B054B"/>
    <w:rsid w:val="008B2BC1"/>
    <w:rsid w:val="008B57E2"/>
    <w:rsid w:val="008B5F89"/>
    <w:rsid w:val="008C25F1"/>
    <w:rsid w:val="008C3935"/>
    <w:rsid w:val="008C6098"/>
    <w:rsid w:val="008D3918"/>
    <w:rsid w:val="008D3B4F"/>
    <w:rsid w:val="008D6DAC"/>
    <w:rsid w:val="008E5E96"/>
    <w:rsid w:val="008F1AEC"/>
    <w:rsid w:val="008F21DC"/>
    <w:rsid w:val="008F4CEC"/>
    <w:rsid w:val="008F5D45"/>
    <w:rsid w:val="00901CF7"/>
    <w:rsid w:val="00902456"/>
    <w:rsid w:val="009026ED"/>
    <w:rsid w:val="00902A6A"/>
    <w:rsid w:val="00904219"/>
    <w:rsid w:val="00906711"/>
    <w:rsid w:val="00910D26"/>
    <w:rsid w:val="00915AC3"/>
    <w:rsid w:val="00924D55"/>
    <w:rsid w:val="009255C6"/>
    <w:rsid w:val="00925BF6"/>
    <w:rsid w:val="00926CCD"/>
    <w:rsid w:val="00932592"/>
    <w:rsid w:val="00932724"/>
    <w:rsid w:val="00942009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742"/>
    <w:rsid w:val="00963577"/>
    <w:rsid w:val="00964E61"/>
    <w:rsid w:val="00965500"/>
    <w:rsid w:val="009662FF"/>
    <w:rsid w:val="009678A5"/>
    <w:rsid w:val="009716E9"/>
    <w:rsid w:val="00972174"/>
    <w:rsid w:val="00972DC3"/>
    <w:rsid w:val="009759A6"/>
    <w:rsid w:val="009774E2"/>
    <w:rsid w:val="00977D07"/>
    <w:rsid w:val="00981029"/>
    <w:rsid w:val="00986174"/>
    <w:rsid w:val="009871F4"/>
    <w:rsid w:val="00993067"/>
    <w:rsid w:val="00995DBB"/>
    <w:rsid w:val="009973FF"/>
    <w:rsid w:val="009A04C2"/>
    <w:rsid w:val="009A1A09"/>
    <w:rsid w:val="009A283F"/>
    <w:rsid w:val="009A3453"/>
    <w:rsid w:val="009A4C10"/>
    <w:rsid w:val="009A5052"/>
    <w:rsid w:val="009A7592"/>
    <w:rsid w:val="009A7BFB"/>
    <w:rsid w:val="009B2698"/>
    <w:rsid w:val="009B2A2B"/>
    <w:rsid w:val="009B4EDA"/>
    <w:rsid w:val="009D0085"/>
    <w:rsid w:val="009D1130"/>
    <w:rsid w:val="009D3211"/>
    <w:rsid w:val="009D3B48"/>
    <w:rsid w:val="009D486A"/>
    <w:rsid w:val="009D4935"/>
    <w:rsid w:val="009D56B2"/>
    <w:rsid w:val="009D5850"/>
    <w:rsid w:val="009E183D"/>
    <w:rsid w:val="009E359D"/>
    <w:rsid w:val="009E365A"/>
    <w:rsid w:val="009E4139"/>
    <w:rsid w:val="009E531E"/>
    <w:rsid w:val="009E5D63"/>
    <w:rsid w:val="009E5EFA"/>
    <w:rsid w:val="009E617A"/>
    <w:rsid w:val="009E6F8A"/>
    <w:rsid w:val="009F0BD8"/>
    <w:rsid w:val="009F2EF7"/>
    <w:rsid w:val="00A0261D"/>
    <w:rsid w:val="00A05211"/>
    <w:rsid w:val="00A071CF"/>
    <w:rsid w:val="00A11EF4"/>
    <w:rsid w:val="00A13EA4"/>
    <w:rsid w:val="00A14C59"/>
    <w:rsid w:val="00A17436"/>
    <w:rsid w:val="00A22356"/>
    <w:rsid w:val="00A23C3A"/>
    <w:rsid w:val="00A24A69"/>
    <w:rsid w:val="00A259C6"/>
    <w:rsid w:val="00A30E49"/>
    <w:rsid w:val="00A32B2A"/>
    <w:rsid w:val="00A34663"/>
    <w:rsid w:val="00A3567B"/>
    <w:rsid w:val="00A37552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53CAB"/>
    <w:rsid w:val="00A55F81"/>
    <w:rsid w:val="00A63CA6"/>
    <w:rsid w:val="00A70B84"/>
    <w:rsid w:val="00A71D30"/>
    <w:rsid w:val="00A71DF1"/>
    <w:rsid w:val="00A727AE"/>
    <w:rsid w:val="00A763DB"/>
    <w:rsid w:val="00A80B3D"/>
    <w:rsid w:val="00A80CF4"/>
    <w:rsid w:val="00A84C9F"/>
    <w:rsid w:val="00A85A9D"/>
    <w:rsid w:val="00A86274"/>
    <w:rsid w:val="00A87406"/>
    <w:rsid w:val="00A92509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F109B"/>
    <w:rsid w:val="00AF120E"/>
    <w:rsid w:val="00AF1CE6"/>
    <w:rsid w:val="00AF2816"/>
    <w:rsid w:val="00AF371C"/>
    <w:rsid w:val="00AF63AE"/>
    <w:rsid w:val="00AF7572"/>
    <w:rsid w:val="00B04FC6"/>
    <w:rsid w:val="00B05E68"/>
    <w:rsid w:val="00B06256"/>
    <w:rsid w:val="00B13D84"/>
    <w:rsid w:val="00B15440"/>
    <w:rsid w:val="00B16375"/>
    <w:rsid w:val="00B21DD1"/>
    <w:rsid w:val="00B21F22"/>
    <w:rsid w:val="00B22450"/>
    <w:rsid w:val="00B30E91"/>
    <w:rsid w:val="00B3112C"/>
    <w:rsid w:val="00B32190"/>
    <w:rsid w:val="00B33396"/>
    <w:rsid w:val="00B3693F"/>
    <w:rsid w:val="00B37296"/>
    <w:rsid w:val="00B372CD"/>
    <w:rsid w:val="00B40E13"/>
    <w:rsid w:val="00B43628"/>
    <w:rsid w:val="00B442CF"/>
    <w:rsid w:val="00B5657B"/>
    <w:rsid w:val="00B63C24"/>
    <w:rsid w:val="00B64638"/>
    <w:rsid w:val="00B64C52"/>
    <w:rsid w:val="00B65CDD"/>
    <w:rsid w:val="00B75768"/>
    <w:rsid w:val="00B8277D"/>
    <w:rsid w:val="00B831CF"/>
    <w:rsid w:val="00B84951"/>
    <w:rsid w:val="00B855C1"/>
    <w:rsid w:val="00B874B5"/>
    <w:rsid w:val="00B900EF"/>
    <w:rsid w:val="00B929FE"/>
    <w:rsid w:val="00B92FCC"/>
    <w:rsid w:val="00B9461F"/>
    <w:rsid w:val="00B94A97"/>
    <w:rsid w:val="00BA08B4"/>
    <w:rsid w:val="00BA2D09"/>
    <w:rsid w:val="00BA3CF3"/>
    <w:rsid w:val="00BA47E0"/>
    <w:rsid w:val="00BA5F50"/>
    <w:rsid w:val="00BB2DD0"/>
    <w:rsid w:val="00BC0487"/>
    <w:rsid w:val="00BC0897"/>
    <w:rsid w:val="00BC2AEB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1A7F"/>
    <w:rsid w:val="00BE39E1"/>
    <w:rsid w:val="00BF2513"/>
    <w:rsid w:val="00BF4261"/>
    <w:rsid w:val="00BF46C5"/>
    <w:rsid w:val="00C0574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6857"/>
    <w:rsid w:val="00C36978"/>
    <w:rsid w:val="00C443A9"/>
    <w:rsid w:val="00C46578"/>
    <w:rsid w:val="00C46679"/>
    <w:rsid w:val="00C46856"/>
    <w:rsid w:val="00C51098"/>
    <w:rsid w:val="00C51EE7"/>
    <w:rsid w:val="00C52220"/>
    <w:rsid w:val="00C5265D"/>
    <w:rsid w:val="00C5482B"/>
    <w:rsid w:val="00C61B73"/>
    <w:rsid w:val="00C642A4"/>
    <w:rsid w:val="00C6499D"/>
    <w:rsid w:val="00C651BD"/>
    <w:rsid w:val="00C653B0"/>
    <w:rsid w:val="00C65A6F"/>
    <w:rsid w:val="00C66B64"/>
    <w:rsid w:val="00C67761"/>
    <w:rsid w:val="00C72AF2"/>
    <w:rsid w:val="00C74F4A"/>
    <w:rsid w:val="00C80AC1"/>
    <w:rsid w:val="00C81FA4"/>
    <w:rsid w:val="00C8323C"/>
    <w:rsid w:val="00C83DD0"/>
    <w:rsid w:val="00C85CB3"/>
    <w:rsid w:val="00C85D0B"/>
    <w:rsid w:val="00C869DC"/>
    <w:rsid w:val="00C87CE8"/>
    <w:rsid w:val="00C92770"/>
    <w:rsid w:val="00C9485F"/>
    <w:rsid w:val="00C95F13"/>
    <w:rsid w:val="00CA323C"/>
    <w:rsid w:val="00CA332B"/>
    <w:rsid w:val="00CA3918"/>
    <w:rsid w:val="00CA3989"/>
    <w:rsid w:val="00CB1059"/>
    <w:rsid w:val="00CB377E"/>
    <w:rsid w:val="00CB4298"/>
    <w:rsid w:val="00CB51E9"/>
    <w:rsid w:val="00CB69DF"/>
    <w:rsid w:val="00CB7601"/>
    <w:rsid w:val="00CC2528"/>
    <w:rsid w:val="00CC3DA4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74A0"/>
    <w:rsid w:val="00D035A2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4652"/>
    <w:rsid w:val="00D54927"/>
    <w:rsid w:val="00D55E68"/>
    <w:rsid w:val="00D56E3B"/>
    <w:rsid w:val="00D57892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757B"/>
    <w:rsid w:val="00D9038B"/>
    <w:rsid w:val="00D923AD"/>
    <w:rsid w:val="00D9286F"/>
    <w:rsid w:val="00D940CB"/>
    <w:rsid w:val="00D94609"/>
    <w:rsid w:val="00D9750E"/>
    <w:rsid w:val="00D97A70"/>
    <w:rsid w:val="00DA1905"/>
    <w:rsid w:val="00DA1EF9"/>
    <w:rsid w:val="00DA303F"/>
    <w:rsid w:val="00DA49ED"/>
    <w:rsid w:val="00DA575F"/>
    <w:rsid w:val="00DA59C7"/>
    <w:rsid w:val="00DB0DB5"/>
    <w:rsid w:val="00DB1D24"/>
    <w:rsid w:val="00DB350F"/>
    <w:rsid w:val="00DB5004"/>
    <w:rsid w:val="00DB6568"/>
    <w:rsid w:val="00DB6A67"/>
    <w:rsid w:val="00DC196A"/>
    <w:rsid w:val="00DC1F91"/>
    <w:rsid w:val="00DC2E42"/>
    <w:rsid w:val="00DC7F13"/>
    <w:rsid w:val="00DD2580"/>
    <w:rsid w:val="00DD2D7D"/>
    <w:rsid w:val="00DD586F"/>
    <w:rsid w:val="00DD5A72"/>
    <w:rsid w:val="00DD6502"/>
    <w:rsid w:val="00DD6BB5"/>
    <w:rsid w:val="00DD7BEB"/>
    <w:rsid w:val="00DE008F"/>
    <w:rsid w:val="00DE3616"/>
    <w:rsid w:val="00DE38A9"/>
    <w:rsid w:val="00DE4A82"/>
    <w:rsid w:val="00DE5648"/>
    <w:rsid w:val="00DE6252"/>
    <w:rsid w:val="00DF39A7"/>
    <w:rsid w:val="00DF62B2"/>
    <w:rsid w:val="00E007BE"/>
    <w:rsid w:val="00E01FA1"/>
    <w:rsid w:val="00E02162"/>
    <w:rsid w:val="00E021E0"/>
    <w:rsid w:val="00E02DCB"/>
    <w:rsid w:val="00E06BAE"/>
    <w:rsid w:val="00E077C7"/>
    <w:rsid w:val="00E117D4"/>
    <w:rsid w:val="00E12C55"/>
    <w:rsid w:val="00E16D3D"/>
    <w:rsid w:val="00E16D50"/>
    <w:rsid w:val="00E17FE9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96F"/>
    <w:rsid w:val="00E74CB6"/>
    <w:rsid w:val="00E752B6"/>
    <w:rsid w:val="00E767FA"/>
    <w:rsid w:val="00E8035D"/>
    <w:rsid w:val="00E80E73"/>
    <w:rsid w:val="00E813BB"/>
    <w:rsid w:val="00E909E5"/>
    <w:rsid w:val="00E90B90"/>
    <w:rsid w:val="00E9181C"/>
    <w:rsid w:val="00E91C5C"/>
    <w:rsid w:val="00E92125"/>
    <w:rsid w:val="00E948E2"/>
    <w:rsid w:val="00E976CD"/>
    <w:rsid w:val="00E97A98"/>
    <w:rsid w:val="00EA0141"/>
    <w:rsid w:val="00EA2E38"/>
    <w:rsid w:val="00EA4DBD"/>
    <w:rsid w:val="00EA5DF0"/>
    <w:rsid w:val="00EA606C"/>
    <w:rsid w:val="00EB3CB9"/>
    <w:rsid w:val="00EB4A68"/>
    <w:rsid w:val="00EB4F0F"/>
    <w:rsid w:val="00EB5099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3FCC"/>
    <w:rsid w:val="00ED7C5C"/>
    <w:rsid w:val="00EE02A9"/>
    <w:rsid w:val="00EE2376"/>
    <w:rsid w:val="00EE3932"/>
    <w:rsid w:val="00EE5E0F"/>
    <w:rsid w:val="00EF0235"/>
    <w:rsid w:val="00EF0669"/>
    <w:rsid w:val="00EF13BF"/>
    <w:rsid w:val="00EF7518"/>
    <w:rsid w:val="00F00BF5"/>
    <w:rsid w:val="00F03889"/>
    <w:rsid w:val="00F04D52"/>
    <w:rsid w:val="00F05F1C"/>
    <w:rsid w:val="00F108D7"/>
    <w:rsid w:val="00F12823"/>
    <w:rsid w:val="00F16F88"/>
    <w:rsid w:val="00F21843"/>
    <w:rsid w:val="00F227B5"/>
    <w:rsid w:val="00F234B0"/>
    <w:rsid w:val="00F2693C"/>
    <w:rsid w:val="00F31885"/>
    <w:rsid w:val="00F32F97"/>
    <w:rsid w:val="00F34B56"/>
    <w:rsid w:val="00F35B8F"/>
    <w:rsid w:val="00F35DFA"/>
    <w:rsid w:val="00F36F52"/>
    <w:rsid w:val="00F440C8"/>
    <w:rsid w:val="00F44ABD"/>
    <w:rsid w:val="00F44E5B"/>
    <w:rsid w:val="00F45CF4"/>
    <w:rsid w:val="00F45E41"/>
    <w:rsid w:val="00F519A4"/>
    <w:rsid w:val="00F55400"/>
    <w:rsid w:val="00F563D9"/>
    <w:rsid w:val="00F566C4"/>
    <w:rsid w:val="00F57E68"/>
    <w:rsid w:val="00F60F15"/>
    <w:rsid w:val="00F61F44"/>
    <w:rsid w:val="00F71BE4"/>
    <w:rsid w:val="00F72374"/>
    <w:rsid w:val="00F72CD5"/>
    <w:rsid w:val="00F72E2E"/>
    <w:rsid w:val="00F731A7"/>
    <w:rsid w:val="00F75284"/>
    <w:rsid w:val="00F766AE"/>
    <w:rsid w:val="00F76EE8"/>
    <w:rsid w:val="00F81583"/>
    <w:rsid w:val="00F82939"/>
    <w:rsid w:val="00F86A73"/>
    <w:rsid w:val="00F90043"/>
    <w:rsid w:val="00F91DCF"/>
    <w:rsid w:val="00F932AC"/>
    <w:rsid w:val="00FA24A7"/>
    <w:rsid w:val="00FA65B7"/>
    <w:rsid w:val="00FA773D"/>
    <w:rsid w:val="00FA7773"/>
    <w:rsid w:val="00FB5470"/>
    <w:rsid w:val="00FB5E5C"/>
    <w:rsid w:val="00FB7DEF"/>
    <w:rsid w:val="00FC2F0B"/>
    <w:rsid w:val="00FD4E2D"/>
    <w:rsid w:val="00FD50F5"/>
    <w:rsid w:val="00FD5154"/>
    <w:rsid w:val="00FD574D"/>
    <w:rsid w:val="00FD7ED6"/>
    <w:rsid w:val="00FE268E"/>
    <w:rsid w:val="00FE437C"/>
    <w:rsid w:val="00FE5702"/>
    <w:rsid w:val="00FE5EE0"/>
    <w:rsid w:val="00FE6EDE"/>
    <w:rsid w:val="00FE733F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  <w:style w:type="paragraph" w:styleId="BodyText3">
    <w:name w:val="Body Text 3"/>
    <w:basedOn w:val="Normal"/>
    <w:link w:val="BodyText3Char"/>
    <w:uiPriority w:val="99"/>
    <w:semiHidden/>
    <w:unhideWhenUsed/>
    <w:rsid w:val="00760B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0B80"/>
    <w:rPr>
      <w:rFonts w:ascii="Simplified Arabic" w:hAnsi="Simplified Arabic" w:cs="Times New Roman"/>
      <w:b/>
      <w:i/>
      <w:sz w:val="16"/>
      <w:szCs w:val="16"/>
    </w:rPr>
  </w:style>
  <w:style w:type="character" w:customStyle="1" w:styleId="longtext">
    <w:name w:val="long_text"/>
    <w:basedOn w:val="DefaultParagraphFont"/>
    <w:rsid w:val="00760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cbs.gov.ps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pma.p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wan@pcbs.gov.p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AF916-BBD4-496C-AAC0-E84C8546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hbadran</cp:lastModifiedBy>
  <cp:revision>2</cp:revision>
  <cp:lastPrinted>2017-06-13T10:34:00Z</cp:lastPrinted>
  <dcterms:created xsi:type="dcterms:W3CDTF">2017-09-25T11:43:00Z</dcterms:created>
  <dcterms:modified xsi:type="dcterms:W3CDTF">2017-09-25T11:43:00Z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