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2" w:rsidRPr="00E15C2F" w:rsidRDefault="009E5152" w:rsidP="00391F01">
      <w:pPr>
        <w:pStyle w:val="Heading5"/>
        <w:keepNext/>
        <w:bidi w:val="0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</w:pPr>
      <w:r w:rsidRPr="00E15C2F"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  <w:t xml:space="preserve">Palestinians at the </w:t>
      </w:r>
      <w:r w:rsidR="0009318E" w:rsidRPr="00E15C2F"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  <w:t>E</w:t>
      </w:r>
      <w:r w:rsidRPr="00E15C2F"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  <w:t xml:space="preserve">nd of </w:t>
      </w:r>
      <w:r w:rsidR="00391F01" w:rsidRPr="00E15C2F"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  <w:t>2016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9"/>
      </w:tblGrid>
      <w:tr w:rsidR="00507D9F" w:rsidRPr="00E15C2F" w:rsidTr="00507D9F">
        <w:trPr>
          <w:trHeight w:val="340"/>
        </w:trPr>
        <w:tc>
          <w:tcPr>
            <w:tcW w:w="9289" w:type="dxa"/>
            <w:vAlign w:val="center"/>
          </w:tcPr>
          <w:p w:rsidR="00507D9F" w:rsidRPr="00E15C2F" w:rsidRDefault="00507D9F" w:rsidP="00B33FE3">
            <w:pPr>
              <w:bidi w:val="0"/>
              <w:ind w:right="-143"/>
              <w:rPr>
                <w:b/>
                <w:bCs/>
              </w:rPr>
            </w:pPr>
            <w:r w:rsidRPr="00E15C2F">
              <w:rPr>
                <w:b/>
                <w:bCs/>
              </w:rPr>
              <w:t>Increase in population of Palestinian</w:t>
            </w:r>
            <w:r w:rsidR="00F82102">
              <w:rPr>
                <w:b/>
                <w:bCs/>
              </w:rPr>
              <w:t>s</w:t>
            </w:r>
            <w:r w:rsidR="00B33FE3" w:rsidRPr="00E15C2F">
              <w:rPr>
                <w:b/>
                <w:bCs/>
              </w:rPr>
              <w:t xml:space="preserve"> in the world</w:t>
            </w:r>
          </w:p>
        </w:tc>
      </w:tr>
    </w:tbl>
    <w:p w:rsidR="009E5152" w:rsidRPr="00E15C2F" w:rsidRDefault="009E5152">
      <w:pPr>
        <w:bidi w:val="0"/>
        <w:rPr>
          <w:b/>
          <w:bCs/>
          <w:u w:val="single"/>
        </w:rPr>
      </w:pPr>
    </w:p>
    <w:p w:rsidR="009E5152" w:rsidRPr="00E15C2F" w:rsidRDefault="009E5152" w:rsidP="00391F01">
      <w:pPr>
        <w:pStyle w:val="BodyText"/>
      </w:pPr>
      <w:r w:rsidRPr="00E15C2F">
        <w:t xml:space="preserve">The projected number of Palestinians in the world </w:t>
      </w:r>
      <w:r w:rsidR="0002405D" w:rsidRPr="00E15C2F">
        <w:t>is</w:t>
      </w:r>
      <w:r w:rsidRPr="00E15C2F">
        <w:t xml:space="preserve"> </w:t>
      </w:r>
      <w:r w:rsidR="00967C09" w:rsidRPr="00E15C2F">
        <w:t>12.</w:t>
      </w:r>
      <w:r w:rsidR="00391F01" w:rsidRPr="00E15C2F">
        <w:t>70</w:t>
      </w:r>
      <w:r w:rsidRPr="00E15C2F">
        <w:t xml:space="preserve"> million</w:t>
      </w:r>
      <w:r w:rsidR="0002405D" w:rsidRPr="00E15C2F">
        <w:t>,</w:t>
      </w:r>
      <w:r w:rsidRPr="00E15C2F">
        <w:t xml:space="preserve"> of whom 4.</w:t>
      </w:r>
      <w:r w:rsidR="00391F01" w:rsidRPr="00E15C2F">
        <w:t>88</w:t>
      </w:r>
      <w:r w:rsidR="00EF5424" w:rsidRPr="00E15C2F">
        <w:t xml:space="preserve"> </w:t>
      </w:r>
      <w:r w:rsidRPr="00E15C2F">
        <w:t xml:space="preserve">million </w:t>
      </w:r>
      <w:r w:rsidR="0002405D" w:rsidRPr="00E15C2F">
        <w:t xml:space="preserve">are </w:t>
      </w:r>
      <w:r w:rsidRPr="00E15C2F">
        <w:t xml:space="preserve">in </w:t>
      </w:r>
      <w:r w:rsidR="00053781" w:rsidRPr="00E15C2F">
        <w:t xml:space="preserve">State of </w:t>
      </w:r>
      <w:r w:rsidRPr="00E15C2F">
        <w:t>Palestin</w:t>
      </w:r>
      <w:r w:rsidR="00BD5C21" w:rsidRPr="00E15C2F">
        <w:t>e</w:t>
      </w:r>
      <w:r w:rsidRPr="00E15C2F">
        <w:t>, 1.</w:t>
      </w:r>
      <w:r w:rsidR="00391F01" w:rsidRPr="00E15C2F">
        <w:t>53</w:t>
      </w:r>
      <w:r w:rsidRPr="00E15C2F">
        <w:t xml:space="preserve"> </w:t>
      </w:r>
      <w:r w:rsidR="0002405D" w:rsidRPr="00E15C2F">
        <w:t xml:space="preserve">million </w:t>
      </w:r>
      <w:r w:rsidRPr="00E15C2F">
        <w:t xml:space="preserve">in </w:t>
      </w:r>
      <w:r w:rsidR="00B21EDD">
        <w:t>1948 Territory</w:t>
      </w:r>
      <w:r w:rsidRPr="00E15C2F">
        <w:t xml:space="preserve">, </w:t>
      </w:r>
      <w:r w:rsidR="005126E7" w:rsidRPr="00E15C2F">
        <w:t>5.</w:t>
      </w:r>
      <w:r w:rsidR="00391F01" w:rsidRPr="00E15C2F">
        <w:t>59</w:t>
      </w:r>
      <w:r w:rsidRPr="00E15C2F">
        <w:t xml:space="preserve"> </w:t>
      </w:r>
      <w:r w:rsidR="0002405D" w:rsidRPr="00E15C2F">
        <w:t xml:space="preserve">million </w:t>
      </w:r>
      <w:r w:rsidRPr="00E15C2F">
        <w:t>in Arab countries and a</w:t>
      </w:r>
      <w:r w:rsidR="0002405D" w:rsidRPr="00E15C2F">
        <w:t>round</w:t>
      </w:r>
      <w:r w:rsidRPr="00E15C2F">
        <w:t xml:space="preserve"> </w:t>
      </w:r>
      <w:r w:rsidR="00391F01" w:rsidRPr="00E15C2F">
        <w:t>696</w:t>
      </w:r>
      <w:r w:rsidRPr="00E15C2F">
        <w:t xml:space="preserve"> thousand in </w:t>
      </w:r>
      <w:r w:rsidR="00507D9F" w:rsidRPr="00E15C2F">
        <w:t xml:space="preserve">foreign </w:t>
      </w:r>
      <w:r w:rsidRPr="00E15C2F">
        <w:t>countries.</w:t>
      </w:r>
    </w:p>
    <w:p w:rsidR="009E5152" w:rsidRPr="00E15C2F" w:rsidRDefault="009E5152">
      <w:pPr>
        <w:bidi w:val="0"/>
        <w:jc w:val="lowKashida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9"/>
      </w:tblGrid>
      <w:tr w:rsidR="00507D9F" w:rsidRPr="00E15C2F" w:rsidTr="00D405D9">
        <w:trPr>
          <w:trHeight w:val="340"/>
        </w:trPr>
        <w:tc>
          <w:tcPr>
            <w:tcW w:w="9289" w:type="dxa"/>
            <w:vAlign w:val="center"/>
          </w:tcPr>
          <w:p w:rsidR="00507D9F" w:rsidRPr="00E15C2F" w:rsidRDefault="00507D9F" w:rsidP="00D405D9">
            <w:pPr>
              <w:bidi w:val="0"/>
              <w:ind w:right="-143"/>
              <w:rPr>
                <w:b/>
                <w:bCs/>
              </w:rPr>
            </w:pPr>
            <w:r w:rsidRPr="00E15C2F">
              <w:rPr>
                <w:b/>
                <w:bCs/>
              </w:rPr>
              <w:t xml:space="preserve">More than one-third of </w:t>
            </w:r>
            <w:r w:rsidR="00716213" w:rsidRPr="00E15C2F">
              <w:rPr>
                <w:rFonts w:hint="cs"/>
                <w:b/>
                <w:bCs/>
                <w:rtl/>
              </w:rPr>
              <w:t xml:space="preserve"> </w:t>
            </w:r>
            <w:r w:rsidRPr="00E15C2F">
              <w:rPr>
                <w:b/>
                <w:bCs/>
              </w:rPr>
              <w:t>population in Gaza Strip</w:t>
            </w:r>
          </w:p>
        </w:tc>
      </w:tr>
    </w:tbl>
    <w:p w:rsidR="009E5152" w:rsidRPr="00E15C2F" w:rsidRDefault="009E5152">
      <w:pPr>
        <w:bidi w:val="0"/>
        <w:rPr>
          <w:b/>
          <w:bCs/>
        </w:rPr>
      </w:pPr>
    </w:p>
    <w:p w:rsidR="009E5152" w:rsidRPr="00E15C2F" w:rsidRDefault="009E5152" w:rsidP="00823B23">
      <w:pPr>
        <w:pStyle w:val="BodyText"/>
      </w:pPr>
      <w:r w:rsidRPr="00E15C2F">
        <w:t xml:space="preserve">The projected number of Palestinians living in </w:t>
      </w:r>
      <w:r w:rsidR="00C10CD5" w:rsidRPr="00E15C2F">
        <w:t>Stat</w:t>
      </w:r>
      <w:r w:rsidR="00DC0D60" w:rsidRPr="00E15C2F">
        <w:t>e</w:t>
      </w:r>
      <w:r w:rsidR="00C10CD5" w:rsidRPr="00E15C2F">
        <w:t xml:space="preserve"> of </w:t>
      </w:r>
      <w:r w:rsidRPr="00E15C2F">
        <w:t>Palestin</w:t>
      </w:r>
      <w:r w:rsidR="00BD5C21" w:rsidRPr="00E15C2F">
        <w:t>e</w:t>
      </w:r>
      <w:r w:rsidRPr="00E15C2F">
        <w:t xml:space="preserve"> at the end of </w:t>
      </w:r>
      <w:r w:rsidR="00391F01" w:rsidRPr="00E15C2F">
        <w:t>2016</w:t>
      </w:r>
      <w:r w:rsidRPr="00E15C2F">
        <w:t xml:space="preserve"> </w:t>
      </w:r>
      <w:r w:rsidR="00800F69" w:rsidRPr="00E15C2F">
        <w:t>is</w:t>
      </w:r>
      <w:r w:rsidRPr="00E15C2F">
        <w:t xml:space="preserve"> </w:t>
      </w:r>
      <w:r w:rsidR="00DC0D60" w:rsidRPr="00E15C2F">
        <w:t>4.</w:t>
      </w:r>
      <w:r w:rsidR="00391F01" w:rsidRPr="00E15C2F">
        <w:t>88</w:t>
      </w:r>
      <w:r w:rsidRPr="00E15C2F">
        <w:t xml:space="preserve"> million</w:t>
      </w:r>
      <w:r w:rsidR="004B65DA" w:rsidRPr="00E15C2F">
        <w:t>: a</w:t>
      </w:r>
      <w:r w:rsidR="00800F69" w:rsidRPr="00E15C2F">
        <w:t>round</w:t>
      </w:r>
      <w:r w:rsidRPr="00E15C2F">
        <w:t xml:space="preserve"> 2.</w:t>
      </w:r>
      <w:r w:rsidR="00391F01" w:rsidRPr="00E15C2F">
        <w:t>97</w:t>
      </w:r>
      <w:r w:rsidRPr="00E15C2F">
        <w:t xml:space="preserve"> million </w:t>
      </w:r>
      <w:r w:rsidR="00800F69" w:rsidRPr="00E15C2F">
        <w:t xml:space="preserve">reside </w:t>
      </w:r>
      <w:r w:rsidRPr="00E15C2F">
        <w:t>in the West Bank and 1.</w:t>
      </w:r>
      <w:r w:rsidR="00391F01" w:rsidRPr="00E15C2F">
        <w:t>91</w:t>
      </w:r>
      <w:r w:rsidRPr="00E15C2F">
        <w:t xml:space="preserve"> million in </w:t>
      </w:r>
      <w:r w:rsidR="00F25AA6" w:rsidRPr="00E15C2F">
        <w:t>Gaza</w:t>
      </w:r>
      <w:r w:rsidRPr="00E15C2F">
        <w:t xml:space="preserve"> Strip.</w:t>
      </w:r>
      <w:r w:rsidR="00D405D9" w:rsidRPr="00E15C2F">
        <w:t xml:space="preserve"> </w:t>
      </w:r>
      <w:r w:rsidR="00194D73" w:rsidRPr="00E15C2F">
        <w:t xml:space="preserve">Palestinian refugees </w:t>
      </w:r>
      <w:r w:rsidR="00C328EA" w:rsidRPr="00E15C2F">
        <w:t>make up</w:t>
      </w:r>
      <w:r w:rsidR="00194D73" w:rsidRPr="00E15C2F">
        <w:t xml:space="preserve"> </w:t>
      </w:r>
      <w:r w:rsidR="00823B23" w:rsidRPr="00E15C2F">
        <w:t>41.9</w:t>
      </w:r>
      <w:r w:rsidR="00194D73" w:rsidRPr="00E15C2F">
        <w:t xml:space="preserve">% of </w:t>
      </w:r>
      <w:r w:rsidR="00C328EA" w:rsidRPr="00E15C2F">
        <w:t xml:space="preserve">the </w:t>
      </w:r>
      <w:r w:rsidR="00194D73" w:rsidRPr="00E15C2F">
        <w:t xml:space="preserve">Palestinian population in </w:t>
      </w:r>
      <w:r w:rsidR="00F82102">
        <w:t xml:space="preserve">State of </w:t>
      </w:r>
      <w:r w:rsidR="00194D73" w:rsidRPr="00E15C2F">
        <w:t>Palestine</w:t>
      </w:r>
      <w:r w:rsidR="00C328EA" w:rsidRPr="00E15C2F">
        <w:t>:</w:t>
      </w:r>
      <w:r w:rsidR="00194D73" w:rsidRPr="00E15C2F">
        <w:t xml:space="preserve"> </w:t>
      </w:r>
      <w:r w:rsidR="00823B23" w:rsidRPr="00E15C2F">
        <w:t>26.0</w:t>
      </w:r>
      <w:r w:rsidR="00194D73" w:rsidRPr="00E15C2F">
        <w:t xml:space="preserve">% of them in </w:t>
      </w:r>
      <w:r w:rsidR="00C328EA" w:rsidRPr="00E15C2F">
        <w:t xml:space="preserve">the </w:t>
      </w:r>
      <w:r w:rsidR="00194D73" w:rsidRPr="00E15C2F">
        <w:t>West Bank</w:t>
      </w:r>
      <w:r w:rsidR="00C328EA" w:rsidRPr="00E15C2F">
        <w:t xml:space="preserve"> and</w:t>
      </w:r>
      <w:r w:rsidR="00194D73" w:rsidRPr="00E15C2F">
        <w:t xml:space="preserve"> </w:t>
      </w:r>
      <w:r w:rsidR="00823B23" w:rsidRPr="00E15C2F">
        <w:t>66.7</w:t>
      </w:r>
      <w:r w:rsidR="00194D73" w:rsidRPr="00E15C2F">
        <w:t xml:space="preserve">% in </w:t>
      </w:r>
      <w:r w:rsidR="00F25AA6" w:rsidRPr="00E15C2F">
        <w:t>Gaza</w:t>
      </w:r>
      <w:r w:rsidR="00194D73" w:rsidRPr="00E15C2F">
        <w:t xml:space="preserve"> Strip</w:t>
      </w:r>
      <w:r w:rsidRPr="00E15C2F">
        <w:t>.</w:t>
      </w:r>
    </w:p>
    <w:p w:rsidR="00D405D9" w:rsidRPr="00E15C2F" w:rsidRDefault="00D405D9" w:rsidP="00D405D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9"/>
      </w:tblGrid>
      <w:tr w:rsidR="00D405D9" w:rsidRPr="00E15C2F" w:rsidTr="00D405D9">
        <w:trPr>
          <w:trHeight w:val="340"/>
        </w:trPr>
        <w:tc>
          <w:tcPr>
            <w:tcW w:w="9289" w:type="dxa"/>
            <w:vAlign w:val="center"/>
          </w:tcPr>
          <w:p w:rsidR="00D405D9" w:rsidRPr="00E15C2F" w:rsidRDefault="00D405D9" w:rsidP="00C328EA">
            <w:pPr>
              <w:pStyle w:val="Heading1"/>
            </w:pPr>
            <w:r w:rsidRPr="00E15C2F">
              <w:t xml:space="preserve">Decline in fertility rate </w:t>
            </w:r>
          </w:p>
        </w:tc>
      </w:tr>
    </w:tbl>
    <w:p w:rsidR="009E5152" w:rsidRPr="00E15C2F" w:rsidRDefault="009E5152">
      <w:pPr>
        <w:bidi w:val="0"/>
      </w:pPr>
    </w:p>
    <w:p w:rsidR="003119F1" w:rsidRPr="00E15C2F" w:rsidRDefault="009E5152" w:rsidP="00D41749">
      <w:pPr>
        <w:bidi w:val="0"/>
        <w:jc w:val="both"/>
      </w:pPr>
      <w:r w:rsidRPr="00E15C2F">
        <w:t xml:space="preserve">The total fertility rate declined </w:t>
      </w:r>
      <w:r w:rsidR="005126E7" w:rsidRPr="00E15C2F">
        <w:t xml:space="preserve">during </w:t>
      </w:r>
      <w:r w:rsidR="00DC0D60" w:rsidRPr="00E15C2F">
        <w:t>2011</w:t>
      </w:r>
      <w:r w:rsidR="005126E7" w:rsidRPr="00E15C2F">
        <w:t>-</w:t>
      </w:r>
      <w:r w:rsidR="00DC0D60" w:rsidRPr="00E15C2F">
        <w:t>2013</w:t>
      </w:r>
      <w:r w:rsidR="005126E7" w:rsidRPr="00E15C2F">
        <w:t xml:space="preserve"> </w:t>
      </w:r>
      <w:r w:rsidRPr="00E15C2F">
        <w:t xml:space="preserve">to </w:t>
      </w:r>
      <w:r w:rsidR="00DC0D60" w:rsidRPr="00E15C2F">
        <w:t>4.1</w:t>
      </w:r>
      <w:r w:rsidRPr="00E15C2F">
        <w:t xml:space="preserve"> birth</w:t>
      </w:r>
      <w:r w:rsidR="006D66EE" w:rsidRPr="00E15C2F">
        <w:t>s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F82102">
        <w:t>to</w:t>
      </w:r>
      <w:r w:rsidR="00F82102" w:rsidRPr="00E15C2F">
        <w:t xml:space="preserve"> </w:t>
      </w:r>
      <w:r w:rsidR="00D41749">
        <w:rPr>
          <w:rFonts w:hint="cs"/>
          <w:rtl/>
        </w:rPr>
        <w:t>5.9</w:t>
      </w:r>
      <w:r w:rsidRPr="00E15C2F">
        <w:t xml:space="preserve"> births in </w:t>
      </w:r>
      <w:r w:rsidR="00833A9B" w:rsidRPr="00E15C2F">
        <w:t>1999</w:t>
      </w:r>
      <w:r w:rsidR="00684DF3">
        <w:t>)</w:t>
      </w:r>
      <w:r w:rsidRPr="00E15C2F">
        <w:t xml:space="preserve">.  </w:t>
      </w:r>
      <w:r w:rsidR="004B65DA" w:rsidRPr="00E15C2F">
        <w:t>I</w:t>
      </w:r>
      <w:r w:rsidRPr="00E15C2F">
        <w:t xml:space="preserve">n </w:t>
      </w:r>
      <w:r w:rsidR="00F25AA6" w:rsidRPr="00E15C2F">
        <w:t>Gaza</w:t>
      </w:r>
      <w:r w:rsidRPr="00E15C2F">
        <w:t xml:space="preserve"> Strip </w:t>
      </w:r>
      <w:r w:rsidR="004B65DA" w:rsidRPr="00E15C2F">
        <w:t xml:space="preserve">the rate </w:t>
      </w:r>
      <w:r w:rsidR="006D66EE" w:rsidRPr="00E15C2F">
        <w:t xml:space="preserve">was </w:t>
      </w:r>
      <w:r w:rsidR="00DC0D60" w:rsidRPr="00E15C2F">
        <w:t>4.5</w:t>
      </w:r>
      <w:r w:rsidR="00655CBA" w:rsidRPr="00E15C2F">
        <w:t xml:space="preserve"> </w:t>
      </w:r>
      <w:r w:rsidRPr="00E15C2F">
        <w:t>birth</w:t>
      </w:r>
      <w:r w:rsidR="006D66EE" w:rsidRPr="00E15C2F">
        <w:t>s</w:t>
      </w:r>
      <w:r w:rsidRPr="00E15C2F">
        <w:t xml:space="preserve"> compared to </w:t>
      </w:r>
      <w:r w:rsidR="00DC0D60" w:rsidRPr="00E15C2F">
        <w:t>3.7</w:t>
      </w:r>
      <w:r w:rsidRPr="00E15C2F">
        <w:t xml:space="preserve"> </w:t>
      </w:r>
      <w:r w:rsidR="006D66EE" w:rsidRPr="00E15C2F">
        <w:t xml:space="preserve">births </w:t>
      </w:r>
      <w:r w:rsidRPr="00E15C2F">
        <w:t>in the West Bank</w:t>
      </w:r>
      <w:r w:rsidR="004B65DA" w:rsidRPr="00E15C2F">
        <w:t xml:space="preserve"> during </w:t>
      </w:r>
      <w:r w:rsidR="00DC0D60" w:rsidRPr="00E15C2F">
        <w:t>2011</w:t>
      </w:r>
      <w:r w:rsidR="004B65DA" w:rsidRPr="00E15C2F">
        <w:t>-</w:t>
      </w:r>
      <w:r w:rsidR="00DC0D60" w:rsidRPr="00E15C2F">
        <w:t>2013</w:t>
      </w:r>
      <w:r w:rsidR="004B65DA" w:rsidRPr="00E15C2F">
        <w:t>.</w:t>
      </w:r>
      <w:r w:rsidRPr="00E15C2F">
        <w:t xml:space="preserve">  </w:t>
      </w:r>
    </w:p>
    <w:p w:rsidR="003119F1" w:rsidRPr="00E15C2F" w:rsidRDefault="003119F1" w:rsidP="003119F1">
      <w:pPr>
        <w:bidi w:val="0"/>
        <w:rPr>
          <w:sz w:val="16"/>
          <w:szCs w:val="16"/>
        </w:rPr>
      </w:pPr>
    </w:p>
    <w:p w:rsidR="006D6BF0" w:rsidRPr="00E15C2F" w:rsidRDefault="003119F1" w:rsidP="00716213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15C2F">
        <w:rPr>
          <w:rFonts w:ascii="Arial" w:hAnsi="Arial" w:cs="Arial"/>
          <w:b/>
          <w:bCs/>
          <w:sz w:val="22"/>
          <w:szCs w:val="22"/>
        </w:rPr>
        <w:t xml:space="preserve">Total Fertility Rate in </w:t>
      </w:r>
      <w:r w:rsidR="00DC0D60" w:rsidRPr="00E15C2F">
        <w:rPr>
          <w:rFonts w:ascii="Arial" w:hAnsi="Arial" w:cs="Arial"/>
          <w:b/>
          <w:bCs/>
          <w:sz w:val="22"/>
          <w:szCs w:val="22"/>
        </w:rPr>
        <w:t xml:space="preserve">State of </w:t>
      </w:r>
      <w:r w:rsidRPr="00E15C2F">
        <w:rPr>
          <w:rFonts w:ascii="Arial" w:hAnsi="Arial" w:cs="Arial"/>
          <w:b/>
          <w:bCs/>
          <w:sz w:val="22"/>
          <w:szCs w:val="22"/>
        </w:rPr>
        <w:t>Palestin</w:t>
      </w:r>
      <w:r w:rsidR="00BD5C21" w:rsidRPr="00E15C2F">
        <w:rPr>
          <w:rFonts w:ascii="Arial" w:hAnsi="Arial" w:cs="Arial"/>
          <w:b/>
          <w:bCs/>
          <w:sz w:val="22"/>
          <w:szCs w:val="22"/>
        </w:rPr>
        <w:t>e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, Selected </w:t>
      </w:r>
      <w:r w:rsidR="006D66EE" w:rsidRPr="00E15C2F">
        <w:rPr>
          <w:rFonts w:ascii="Arial" w:hAnsi="Arial" w:cs="Arial"/>
          <w:b/>
          <w:bCs/>
          <w:sz w:val="22"/>
          <w:szCs w:val="22"/>
        </w:rPr>
        <w:t>Y</w:t>
      </w:r>
      <w:r w:rsidRPr="00E15C2F">
        <w:rPr>
          <w:rFonts w:ascii="Arial" w:hAnsi="Arial" w:cs="Arial"/>
          <w:b/>
          <w:bCs/>
          <w:sz w:val="22"/>
          <w:szCs w:val="22"/>
        </w:rPr>
        <w:t>ears</w:t>
      </w:r>
    </w:p>
    <w:p w:rsidR="00CD1313" w:rsidRPr="00E15C2F" w:rsidRDefault="00CD1313" w:rsidP="00CD1313">
      <w:pPr>
        <w:bidi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289"/>
      </w:tblGrid>
      <w:tr w:rsidR="00B50DF9" w:rsidRPr="00E15C2F" w:rsidTr="00B50DF9">
        <w:tc>
          <w:tcPr>
            <w:tcW w:w="9289" w:type="dxa"/>
          </w:tcPr>
          <w:p w:rsidR="00B50DF9" w:rsidRPr="00E15C2F" w:rsidRDefault="00B50DF9" w:rsidP="006D6BF0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638800" cy="2219325"/>
                  <wp:effectExtent l="0" t="0" r="0" b="0"/>
                  <wp:docPr id="6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E5152" w:rsidRPr="00E15C2F" w:rsidRDefault="009E5152" w:rsidP="006D6BF0">
      <w:pPr>
        <w:bidi w:val="0"/>
        <w:jc w:val="center"/>
      </w:pPr>
    </w:p>
    <w:p w:rsidR="00CD1313" w:rsidRPr="00E15C2F" w:rsidRDefault="00CD1313" w:rsidP="00BD5C21">
      <w:pPr>
        <w:bidi w:val="0"/>
        <w:jc w:val="center"/>
        <w:rPr>
          <w:rFonts w:ascii="Arial" w:hAnsi="Arial" w:cs="Arial"/>
          <w:b/>
          <w:bCs/>
        </w:rPr>
      </w:pPr>
    </w:p>
    <w:p w:rsidR="00B50DF9" w:rsidRPr="00E15C2F" w:rsidRDefault="00B50DF9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E15C2F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/>
      </w:tblPr>
      <w:tblGrid>
        <w:gridCol w:w="9289"/>
      </w:tblGrid>
      <w:tr w:rsidR="006D6BF0" w:rsidRPr="00E15C2F" w:rsidTr="006D6BF0">
        <w:trPr>
          <w:trHeight w:val="340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F0" w:rsidRPr="00E15C2F" w:rsidRDefault="006D6BF0" w:rsidP="006D6BF0">
            <w:pPr>
              <w:pStyle w:val="Heading1"/>
            </w:pPr>
            <w:r w:rsidRPr="00E15C2F">
              <w:lastRenderedPageBreak/>
              <w:t>Decrease in average household size</w:t>
            </w:r>
          </w:p>
        </w:tc>
      </w:tr>
    </w:tbl>
    <w:p w:rsidR="009E5152" w:rsidRPr="00E15C2F" w:rsidRDefault="009E5152">
      <w:pPr>
        <w:pStyle w:val="Heading1"/>
      </w:pPr>
    </w:p>
    <w:p w:rsidR="009E5152" w:rsidRPr="00E15C2F" w:rsidRDefault="009E5152" w:rsidP="00391F01">
      <w:pPr>
        <w:bidi w:val="0"/>
      </w:pPr>
      <w:r w:rsidRPr="00E15C2F">
        <w:t xml:space="preserve">The average household size in </w:t>
      </w:r>
      <w:r w:rsidR="00F82102">
        <w:t xml:space="preserve">State of </w:t>
      </w:r>
      <w:r w:rsidRPr="00E15C2F">
        <w:t>Palestin</w:t>
      </w:r>
      <w:r w:rsidR="00BD5C21" w:rsidRPr="00E15C2F">
        <w:t>e</w:t>
      </w:r>
      <w:r w:rsidRPr="00E15C2F">
        <w:t xml:space="preserve"> </w:t>
      </w:r>
      <w:r w:rsidR="00C328EA" w:rsidRPr="00E15C2F">
        <w:t>wa</w:t>
      </w:r>
      <w:r w:rsidR="003A6A8F" w:rsidRPr="00E15C2F">
        <w:t>s</w:t>
      </w:r>
      <w:r w:rsidRPr="00E15C2F">
        <w:t xml:space="preserve"> 5.</w:t>
      </w:r>
      <w:r w:rsidR="00793240" w:rsidRPr="00E15C2F">
        <w:t>2</w:t>
      </w:r>
      <w:r w:rsidRPr="00E15C2F">
        <w:t xml:space="preserve"> person</w:t>
      </w:r>
      <w:r w:rsidR="003A6A8F" w:rsidRPr="00E15C2F">
        <w:t>s</w:t>
      </w:r>
      <w:r w:rsidRPr="00E15C2F">
        <w:t xml:space="preserve"> in </w:t>
      </w:r>
      <w:r w:rsidR="00391F01" w:rsidRPr="00E15C2F">
        <w:t>2015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C328EA" w:rsidRPr="00E15C2F">
        <w:t xml:space="preserve">to </w:t>
      </w:r>
      <w:r w:rsidR="000F3732" w:rsidRPr="00E15C2F">
        <w:t>6.</w:t>
      </w:r>
      <w:r w:rsidR="00606244" w:rsidRPr="00E15C2F">
        <w:t>1</w:t>
      </w:r>
      <w:r w:rsidRPr="00E15C2F">
        <w:t xml:space="preserve"> in </w:t>
      </w:r>
      <w:r w:rsidR="00606244" w:rsidRPr="00E15C2F">
        <w:t>2000</w:t>
      </w:r>
      <w:r w:rsidR="00684DF3">
        <w:t>)</w:t>
      </w:r>
      <w:r w:rsidR="003A6A8F" w:rsidRPr="00E15C2F">
        <w:t>:</w:t>
      </w:r>
      <w:r w:rsidR="000F3732" w:rsidRPr="00E15C2F">
        <w:t xml:space="preserve"> </w:t>
      </w:r>
      <w:r w:rsidR="00793240" w:rsidRPr="00E15C2F">
        <w:t>4.9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3A6A8F" w:rsidRPr="00E15C2F">
        <w:t>the W</w:t>
      </w:r>
      <w:r w:rsidR="000F3732" w:rsidRPr="00E15C2F">
        <w:t xml:space="preserve">est </w:t>
      </w:r>
      <w:r w:rsidR="003A6A8F" w:rsidRPr="00E15C2F">
        <w:t>B</w:t>
      </w:r>
      <w:r w:rsidR="000F3732" w:rsidRPr="00E15C2F">
        <w:t xml:space="preserve">ank and </w:t>
      </w:r>
      <w:r w:rsidR="00793240" w:rsidRPr="00E15C2F">
        <w:t>5.</w:t>
      </w:r>
      <w:r w:rsidR="00785B5B" w:rsidRPr="00E15C2F">
        <w:t>7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F25AA6" w:rsidRPr="00E15C2F">
        <w:t>Gaza</w:t>
      </w:r>
      <w:r w:rsidRPr="00E15C2F">
        <w:t xml:space="preserve"> Strip.</w:t>
      </w:r>
    </w:p>
    <w:p w:rsidR="003119F1" w:rsidRPr="00E15C2F" w:rsidRDefault="003119F1" w:rsidP="003119F1">
      <w:pPr>
        <w:bidi w:val="0"/>
      </w:pPr>
    </w:p>
    <w:p w:rsidR="003119F1" w:rsidRPr="00E15C2F" w:rsidRDefault="003119F1" w:rsidP="00D705A5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15C2F">
        <w:rPr>
          <w:rFonts w:ascii="Arial" w:hAnsi="Arial" w:cs="Arial"/>
          <w:b/>
          <w:bCs/>
          <w:sz w:val="22"/>
          <w:szCs w:val="22"/>
        </w:rPr>
        <w:t xml:space="preserve">Average Household Size in </w:t>
      </w:r>
      <w:r w:rsidR="00DC0D60" w:rsidRPr="00E15C2F">
        <w:rPr>
          <w:rFonts w:ascii="Arial" w:hAnsi="Arial" w:cs="Arial"/>
          <w:b/>
          <w:bCs/>
          <w:sz w:val="22"/>
          <w:szCs w:val="22"/>
        </w:rPr>
        <w:t xml:space="preserve">State of </w:t>
      </w:r>
      <w:r w:rsidRPr="00E15C2F">
        <w:rPr>
          <w:rFonts w:ascii="Arial" w:hAnsi="Arial" w:cs="Arial"/>
          <w:b/>
          <w:bCs/>
          <w:sz w:val="22"/>
          <w:szCs w:val="22"/>
        </w:rPr>
        <w:t>Palestin</w:t>
      </w:r>
      <w:r w:rsidR="00BD5C21" w:rsidRPr="00E15C2F">
        <w:rPr>
          <w:rFonts w:ascii="Arial" w:hAnsi="Arial" w:cs="Arial"/>
          <w:b/>
          <w:bCs/>
          <w:sz w:val="22"/>
          <w:szCs w:val="22"/>
        </w:rPr>
        <w:t>e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 by Region, </w:t>
      </w:r>
      <w:r w:rsidR="00606244" w:rsidRPr="00E15C2F">
        <w:rPr>
          <w:rFonts w:ascii="Arial" w:hAnsi="Arial" w:cs="Arial"/>
          <w:b/>
          <w:bCs/>
          <w:sz w:val="22"/>
          <w:szCs w:val="22"/>
        </w:rPr>
        <w:t>2000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, </w:t>
      </w:r>
      <w:r w:rsidR="00D705A5">
        <w:rPr>
          <w:rFonts w:ascii="Arial" w:hAnsi="Arial" w:cs="Arial"/>
          <w:b/>
          <w:bCs/>
          <w:sz w:val="22"/>
          <w:szCs w:val="22"/>
        </w:rPr>
        <w:t>2015</w:t>
      </w:r>
    </w:p>
    <w:p w:rsidR="003119F1" w:rsidRPr="00E15C2F" w:rsidRDefault="003119F1" w:rsidP="00CD1313">
      <w:pPr>
        <w:bidi w:val="0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/>
      </w:tblPr>
      <w:tblGrid>
        <w:gridCol w:w="9289"/>
      </w:tblGrid>
      <w:tr w:rsidR="00700AFC" w:rsidRPr="00E15C2F" w:rsidTr="00700AFC">
        <w:tc>
          <w:tcPr>
            <w:tcW w:w="9289" w:type="dxa"/>
          </w:tcPr>
          <w:p w:rsidR="00700AFC" w:rsidRPr="00E15C2F" w:rsidRDefault="00700AFC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276850" cy="2047875"/>
                  <wp:effectExtent l="0" t="0" r="0" b="0"/>
                  <wp:docPr id="2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E5152" w:rsidRPr="00E15C2F" w:rsidRDefault="009E5152">
      <w:pPr>
        <w:bidi w:val="0"/>
        <w:jc w:val="center"/>
      </w:pPr>
    </w:p>
    <w:p w:rsidR="009E5152" w:rsidRPr="00E15C2F" w:rsidRDefault="009E5152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snapToGrid/>
          <w:sz w:val="24"/>
          <w:szCs w:val="24"/>
          <w:lang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9"/>
      </w:tblGrid>
      <w:tr w:rsidR="00CD1313" w:rsidRPr="00E15C2F" w:rsidTr="00CD1313">
        <w:trPr>
          <w:trHeight w:val="340"/>
        </w:trPr>
        <w:tc>
          <w:tcPr>
            <w:tcW w:w="9289" w:type="dxa"/>
            <w:vAlign w:val="center"/>
          </w:tcPr>
          <w:p w:rsidR="00CD1313" w:rsidRPr="00E15C2F" w:rsidRDefault="00F82102" w:rsidP="00F82102">
            <w:pPr>
              <w:pStyle w:val="Heading1"/>
            </w:pPr>
            <w:r w:rsidRPr="00E15C2F">
              <w:t>Decreas</w:t>
            </w:r>
            <w:r>
              <w:t>e</w:t>
            </w:r>
            <w:r w:rsidRPr="00E15C2F">
              <w:t xml:space="preserve"> </w:t>
            </w:r>
            <w:r>
              <w:t xml:space="preserve">in </w:t>
            </w:r>
            <w:r w:rsidR="00CD1313" w:rsidRPr="00E15C2F">
              <w:t xml:space="preserve">crude birth and </w:t>
            </w:r>
            <w:r w:rsidR="00D04FE3" w:rsidRPr="00E15C2F">
              <w:t>death</w:t>
            </w:r>
            <w:r w:rsidR="00CD1313" w:rsidRPr="00E15C2F">
              <w:t xml:space="preserve"> rate</w:t>
            </w:r>
            <w:r>
              <w:t>s</w:t>
            </w:r>
          </w:p>
        </w:tc>
      </w:tr>
    </w:tbl>
    <w:p w:rsidR="00CD1313" w:rsidRPr="00E15C2F" w:rsidRDefault="00CD1313" w:rsidP="00CD1313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snapToGrid/>
          <w:sz w:val="16"/>
          <w:szCs w:val="16"/>
          <w:lang w:eastAsia="ar-SA"/>
        </w:rPr>
      </w:pPr>
    </w:p>
    <w:p w:rsidR="009E5152" w:rsidRPr="00E15C2F" w:rsidRDefault="009E5152" w:rsidP="00833A9B">
      <w:pPr>
        <w:bidi w:val="0"/>
        <w:ind w:right="-407"/>
        <w:jc w:val="both"/>
      </w:pPr>
      <w:r w:rsidRPr="00E15C2F">
        <w:t xml:space="preserve">The crude birth </w:t>
      </w:r>
      <w:r w:rsidR="00A95650" w:rsidRPr="00E15C2F">
        <w:t xml:space="preserve">rate is </w:t>
      </w:r>
      <w:r w:rsidR="00391F01" w:rsidRPr="00E15C2F">
        <w:t>30.9</w:t>
      </w:r>
      <w:r w:rsidRPr="00E15C2F">
        <w:t xml:space="preserve"> birth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rPr>
          <w:rFonts w:ascii="Arial" w:hAnsi="Arial" w:cs="Arial"/>
        </w:rPr>
        <w:t xml:space="preserve"> </w:t>
      </w:r>
      <w:r w:rsidR="00E83758" w:rsidRPr="00E15C2F">
        <w:t xml:space="preserve">in </w:t>
      </w:r>
      <w:r w:rsidR="00F82102">
        <w:t xml:space="preserve">State of </w:t>
      </w:r>
      <w:r w:rsidR="00E83758" w:rsidRPr="00E15C2F">
        <w:t xml:space="preserve">Palestine </w:t>
      </w:r>
      <w:r w:rsidR="00391F01" w:rsidRPr="00E15C2F">
        <w:t>2016</w:t>
      </w:r>
      <w:r w:rsidR="00A95650" w:rsidRPr="00E15C2F">
        <w:t>:</w:t>
      </w:r>
      <w:r w:rsidRPr="00E15C2F">
        <w:t xml:space="preserve"> </w:t>
      </w:r>
      <w:r w:rsidR="00391F01" w:rsidRPr="00E15C2F">
        <w:t>28.5</w:t>
      </w:r>
      <w:r w:rsidR="00C328EA" w:rsidRPr="00E15C2F">
        <w:t xml:space="preserve"> </w:t>
      </w:r>
      <w:r w:rsidRPr="00E15C2F">
        <w:t xml:space="preserve">in the West </w:t>
      </w:r>
      <w:r w:rsidR="00A95650" w:rsidRPr="00E15C2F">
        <w:t>B</w:t>
      </w:r>
      <w:r w:rsidRPr="00E15C2F">
        <w:t xml:space="preserve">ank compared to </w:t>
      </w:r>
      <w:r w:rsidR="00391F01" w:rsidRPr="00E15C2F">
        <w:t>35.8</w:t>
      </w:r>
      <w:r w:rsidRPr="00E15C2F">
        <w:t xml:space="preserve"> in </w:t>
      </w:r>
      <w:r w:rsidR="00F25AA6" w:rsidRPr="00E15C2F">
        <w:t>Gaza</w:t>
      </w:r>
      <w:r w:rsidRPr="00E15C2F">
        <w:t xml:space="preserve"> Strip. The crude death rate </w:t>
      </w:r>
      <w:r w:rsidR="00A95650" w:rsidRPr="00E15C2F">
        <w:t xml:space="preserve">is </w:t>
      </w:r>
      <w:r w:rsidR="00391F01" w:rsidRPr="00E15C2F">
        <w:t>3.5</w:t>
      </w:r>
      <w:r w:rsidRPr="00E15C2F">
        <w:t xml:space="preserve"> death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t xml:space="preserve"> in </w:t>
      </w:r>
      <w:r w:rsidR="00F82102">
        <w:t xml:space="preserve">State of </w:t>
      </w:r>
      <w:r w:rsidR="00E83758" w:rsidRPr="00E15C2F">
        <w:t xml:space="preserve">Palestine </w:t>
      </w:r>
      <w:r w:rsidR="00391F01" w:rsidRPr="00E15C2F">
        <w:t>2016</w:t>
      </w:r>
      <w:r w:rsidR="00A95650" w:rsidRPr="00E15C2F">
        <w:t>:</w:t>
      </w:r>
      <w:r w:rsidRPr="00E15C2F">
        <w:t xml:space="preserve"> </w:t>
      </w:r>
      <w:r w:rsidR="00793240" w:rsidRPr="00E15C2F">
        <w:t>3.</w:t>
      </w:r>
      <w:r w:rsidR="00A971F0" w:rsidRPr="00E15C2F">
        <w:t>7</w:t>
      </w:r>
      <w:r w:rsidR="00C328EA" w:rsidRPr="00E15C2F">
        <w:t xml:space="preserve"> </w:t>
      </w:r>
      <w:r w:rsidRPr="00E15C2F">
        <w:t xml:space="preserve">in the West Bank compared to </w:t>
      </w:r>
      <w:r w:rsidR="000F3732" w:rsidRPr="00E15C2F">
        <w:t>3.</w:t>
      </w:r>
      <w:r w:rsidR="00391F01" w:rsidRPr="00E15C2F">
        <w:t>3</w:t>
      </w:r>
      <w:r w:rsidRPr="00E15C2F">
        <w:t xml:space="preserve"> in </w:t>
      </w:r>
      <w:r w:rsidR="00F25AA6" w:rsidRPr="00E15C2F">
        <w:t>Gaza</w:t>
      </w:r>
      <w:r w:rsidRPr="00E15C2F">
        <w:t xml:space="preserve"> Strip. </w:t>
      </w:r>
    </w:p>
    <w:p w:rsidR="009E5152" w:rsidRPr="00E15C2F" w:rsidRDefault="009E5152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snapToGrid/>
          <w:lang w:eastAsia="ar-SA"/>
        </w:rPr>
      </w:pPr>
    </w:p>
    <w:p w:rsidR="00CD1313" w:rsidRPr="00E15C2F" w:rsidRDefault="00CD1313" w:rsidP="00CD1313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snapToGrid/>
          <w:lang w:eastAsia="ar-SA"/>
        </w:rPr>
      </w:pPr>
    </w:p>
    <w:tbl>
      <w:tblPr>
        <w:tblStyle w:val="TableGrid"/>
        <w:tblW w:w="0" w:type="auto"/>
        <w:tblLook w:val="04A0"/>
      </w:tblPr>
      <w:tblGrid>
        <w:gridCol w:w="9289"/>
      </w:tblGrid>
      <w:tr w:rsidR="00CD1313" w:rsidRPr="00E15C2F" w:rsidTr="00B07372">
        <w:trPr>
          <w:trHeight w:val="340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313" w:rsidRPr="00E15C2F" w:rsidRDefault="00CD1313" w:rsidP="00B07372">
            <w:pPr>
              <w:pStyle w:val="Heading1"/>
            </w:pPr>
            <w:r w:rsidRPr="00E15C2F">
              <w:t>High fertility rate among Palestinians in Jordan</w:t>
            </w:r>
          </w:p>
        </w:tc>
      </w:tr>
    </w:tbl>
    <w:p w:rsidR="009E5152" w:rsidRPr="00E15C2F" w:rsidRDefault="009E5152" w:rsidP="00655CBA">
      <w:pPr>
        <w:pStyle w:val="Heading1"/>
        <w:rPr>
          <w:sz w:val="16"/>
          <w:szCs w:val="16"/>
        </w:rPr>
      </w:pPr>
    </w:p>
    <w:p w:rsidR="009E5152" w:rsidRPr="00E15C2F" w:rsidRDefault="00CD266D" w:rsidP="00F82102">
      <w:pPr>
        <w:pStyle w:val="BodyText"/>
      </w:pPr>
      <w:r w:rsidRPr="00E15C2F">
        <w:t>T</w:t>
      </w:r>
      <w:r w:rsidR="009E5152" w:rsidRPr="00E15C2F">
        <w:t xml:space="preserve">he total fertility rate for </w:t>
      </w:r>
      <w:r w:rsidR="00F82102">
        <w:t xml:space="preserve">the </w:t>
      </w:r>
      <w:r w:rsidR="009E5152" w:rsidRPr="00E15C2F">
        <w:t>Palestinian</w:t>
      </w:r>
      <w:r w:rsidR="00D04FE3" w:rsidRPr="00E15C2F">
        <w:t xml:space="preserve"> </w:t>
      </w:r>
      <w:r w:rsidR="00F82102" w:rsidRPr="00E15C2F">
        <w:t>wom</w:t>
      </w:r>
      <w:r w:rsidR="00F82102">
        <w:t>e</w:t>
      </w:r>
      <w:r w:rsidR="00F82102" w:rsidRPr="00E15C2F">
        <w:t xml:space="preserve">n </w:t>
      </w:r>
      <w:r w:rsidR="009E5152" w:rsidRPr="00E15C2F">
        <w:t xml:space="preserve">living </w:t>
      </w:r>
      <w:r w:rsidR="00C328EA" w:rsidRPr="00E15C2F">
        <w:t>in</w:t>
      </w:r>
      <w:r w:rsidR="009E5152" w:rsidRPr="00E15C2F">
        <w:t xml:space="preserve"> </w:t>
      </w:r>
      <w:r w:rsidR="00655CBA" w:rsidRPr="00E15C2F">
        <w:t xml:space="preserve">Jordan </w:t>
      </w:r>
      <w:r w:rsidR="00C328EA" w:rsidRPr="00E15C2F">
        <w:t>wa</w:t>
      </w:r>
      <w:r w:rsidR="00A95650" w:rsidRPr="00E15C2F">
        <w:t>s</w:t>
      </w:r>
      <w:r w:rsidR="009E5152" w:rsidRPr="00E15C2F">
        <w:t xml:space="preserve"> </w:t>
      </w:r>
      <w:r w:rsidR="00593E97" w:rsidRPr="00E15C2F">
        <w:t>3.3</w:t>
      </w:r>
      <w:r w:rsidR="009E5152" w:rsidRPr="00E15C2F">
        <w:t xml:space="preserve"> birth</w:t>
      </w:r>
      <w:r w:rsidR="00A95650" w:rsidRPr="00E15C2F">
        <w:t>s</w:t>
      </w:r>
      <w:r w:rsidR="00BD5C21" w:rsidRPr="00E15C2F">
        <w:t xml:space="preserve"> in </w:t>
      </w:r>
      <w:r w:rsidR="00593E97" w:rsidRPr="00E15C2F">
        <w:t>2010</w:t>
      </w:r>
      <w:r w:rsidR="009E5152" w:rsidRPr="00E15C2F">
        <w:t xml:space="preserve"> compared to </w:t>
      </w:r>
      <w:r w:rsidR="00655CBA" w:rsidRPr="00E15C2F">
        <w:t>2.5</w:t>
      </w:r>
      <w:r w:rsidR="009E5152" w:rsidRPr="00E15C2F">
        <w:t xml:space="preserve"> in </w:t>
      </w:r>
      <w:r w:rsidR="00EC07A6" w:rsidRPr="00E15C2F">
        <w:t>Syria</w:t>
      </w:r>
      <w:r w:rsidR="00F9702D" w:rsidRPr="00E15C2F">
        <w:t xml:space="preserve"> in 2010</w:t>
      </w:r>
      <w:r w:rsidR="00EC07A6" w:rsidRPr="00E15C2F">
        <w:t xml:space="preserve"> </w:t>
      </w:r>
      <w:r w:rsidR="009E5152" w:rsidRPr="00E15C2F">
        <w:t xml:space="preserve">and </w:t>
      </w:r>
      <w:r w:rsidR="00166340" w:rsidRPr="00E15C2F">
        <w:t>2.8</w:t>
      </w:r>
      <w:r w:rsidR="009E5152" w:rsidRPr="00E15C2F">
        <w:t xml:space="preserve"> in Lebanon</w:t>
      </w:r>
      <w:r w:rsidR="00F9702D" w:rsidRPr="00E15C2F">
        <w:t xml:space="preserve"> in 2011</w:t>
      </w:r>
      <w:r w:rsidR="009E5152" w:rsidRPr="00E15C2F">
        <w:t>.</w:t>
      </w:r>
    </w:p>
    <w:p w:rsidR="006E7201" w:rsidRPr="00E15C2F" w:rsidRDefault="006E7201" w:rsidP="00F9702D">
      <w:pPr>
        <w:pStyle w:val="BodyText"/>
        <w:jc w:val="center"/>
      </w:pPr>
    </w:p>
    <w:p w:rsidR="006E7201" w:rsidRPr="00E15C2F" w:rsidRDefault="006E7201" w:rsidP="00F9702D">
      <w:pPr>
        <w:pStyle w:val="BodyText"/>
        <w:jc w:val="center"/>
      </w:pPr>
    </w:p>
    <w:p w:rsidR="006E7201" w:rsidRPr="00E15C2F" w:rsidRDefault="006E7201" w:rsidP="00F9702D">
      <w:pPr>
        <w:pStyle w:val="BodyText"/>
        <w:jc w:val="center"/>
      </w:pPr>
    </w:p>
    <w:p w:rsidR="009E5152" w:rsidRPr="00E15C2F" w:rsidRDefault="009E5152" w:rsidP="00F9702D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E15C2F">
        <w:rPr>
          <w:rFonts w:ascii="Arial" w:hAnsi="Arial" w:cs="Arial"/>
          <w:b/>
          <w:bCs/>
          <w:sz w:val="22"/>
          <w:szCs w:val="22"/>
        </w:rPr>
        <w:t xml:space="preserve">Selected </w:t>
      </w:r>
      <w:r w:rsidR="008B3D6F" w:rsidRPr="00E15C2F">
        <w:rPr>
          <w:rFonts w:ascii="Arial" w:hAnsi="Arial" w:cs="Arial"/>
          <w:b/>
          <w:bCs/>
          <w:sz w:val="22"/>
          <w:szCs w:val="22"/>
        </w:rPr>
        <w:t>D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emographic </w:t>
      </w:r>
      <w:r w:rsidR="008B3D6F" w:rsidRPr="00E15C2F">
        <w:rPr>
          <w:rFonts w:ascii="Arial" w:hAnsi="Arial" w:cs="Arial"/>
          <w:b/>
          <w:bCs/>
          <w:sz w:val="22"/>
          <w:szCs w:val="22"/>
        </w:rPr>
        <w:t>I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ndicators by </w:t>
      </w:r>
      <w:r w:rsidR="008B3D6F" w:rsidRPr="00E15C2F">
        <w:rPr>
          <w:rFonts w:ascii="Arial" w:hAnsi="Arial" w:cs="Arial"/>
          <w:b/>
          <w:bCs/>
          <w:sz w:val="22"/>
          <w:szCs w:val="22"/>
        </w:rPr>
        <w:t>C</w:t>
      </w:r>
      <w:r w:rsidRPr="00E15C2F">
        <w:rPr>
          <w:rFonts w:ascii="Arial" w:hAnsi="Arial" w:cs="Arial"/>
          <w:b/>
          <w:bCs/>
          <w:sz w:val="22"/>
          <w:szCs w:val="22"/>
        </w:rPr>
        <w:t xml:space="preserve">ountry of </w:t>
      </w:r>
      <w:r w:rsidR="008B3D6F" w:rsidRPr="00E15C2F">
        <w:rPr>
          <w:rFonts w:ascii="Arial" w:hAnsi="Arial" w:cs="Arial"/>
          <w:b/>
          <w:bCs/>
          <w:sz w:val="22"/>
          <w:szCs w:val="22"/>
        </w:rPr>
        <w:t>R</w:t>
      </w:r>
      <w:r w:rsidRPr="00E15C2F">
        <w:rPr>
          <w:rFonts w:ascii="Arial" w:hAnsi="Arial" w:cs="Arial"/>
          <w:b/>
          <w:bCs/>
          <w:sz w:val="22"/>
          <w:szCs w:val="22"/>
        </w:rPr>
        <w:t>esidence</w:t>
      </w:r>
      <w:r w:rsidR="00655CBA" w:rsidRPr="00E15C2F">
        <w:rPr>
          <w:rFonts w:ascii="Arial" w:hAnsi="Arial" w:cs="Arial"/>
          <w:b/>
          <w:bCs/>
          <w:sz w:val="22"/>
          <w:szCs w:val="22"/>
        </w:rPr>
        <w:t xml:space="preserve">, </w:t>
      </w:r>
      <w:r w:rsidR="00F9702D" w:rsidRPr="00E15C2F">
        <w:rPr>
          <w:rFonts w:ascii="Arial" w:hAnsi="Arial" w:cs="Arial"/>
          <w:b/>
          <w:bCs/>
          <w:sz w:val="22"/>
          <w:szCs w:val="22"/>
        </w:rPr>
        <w:t>Selected Years</w:t>
      </w:r>
    </w:p>
    <w:p w:rsidR="009E5152" w:rsidRPr="00E15C2F" w:rsidRDefault="009E5152">
      <w:pPr>
        <w:pStyle w:val="BodyText"/>
        <w:jc w:val="center"/>
        <w:rPr>
          <w:b/>
          <w:bCs/>
        </w:rPr>
      </w:pPr>
      <w:r w:rsidRPr="00E15C2F">
        <w:rPr>
          <w:b/>
          <w:bCs/>
        </w:rPr>
        <w:t xml:space="preserve"> </w:t>
      </w:r>
    </w:p>
    <w:tbl>
      <w:tblPr>
        <w:tblStyle w:val="MediumGrid2-Accent6"/>
        <w:tblW w:w="7371" w:type="dxa"/>
        <w:jc w:val="center"/>
        <w:tblInd w:w="-283" w:type="dxa"/>
        <w:tblLook w:val="0000"/>
      </w:tblPr>
      <w:tblGrid>
        <w:gridCol w:w="2739"/>
        <w:gridCol w:w="2608"/>
        <w:gridCol w:w="2024"/>
      </w:tblGrid>
      <w:tr w:rsidR="00655CBA" w:rsidRPr="00E15C2F" w:rsidTr="00871E02">
        <w:trPr>
          <w:cnfStyle w:val="000000100000"/>
          <w:trHeight w:val="340"/>
          <w:jc w:val="center"/>
        </w:trPr>
        <w:tc>
          <w:tcPr>
            <w:cnfStyle w:val="000010000000"/>
            <w:tcW w:w="2739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Country of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esidence</w:t>
            </w:r>
          </w:p>
        </w:tc>
        <w:tc>
          <w:tcPr>
            <w:tcW w:w="2608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cnfStyle w:val="0000001000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Average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ousehold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ize</w:t>
            </w:r>
          </w:p>
        </w:tc>
        <w:tc>
          <w:tcPr>
            <w:cnfStyle w:val="000010000000"/>
            <w:tcW w:w="2024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Total Fertility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ate</w:t>
            </w:r>
          </w:p>
        </w:tc>
      </w:tr>
      <w:tr w:rsidR="00BD5C21" w:rsidRPr="00E15C2F" w:rsidTr="00593E97">
        <w:trPr>
          <w:trHeight w:val="340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593E97">
            <w:pPr>
              <w:pStyle w:val="Header"/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Jordan </w:t>
            </w:r>
            <w:r w:rsidR="00D04FE3" w:rsidRPr="00E15C2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tcW w:w="2608" w:type="dxa"/>
            <w:vAlign w:val="center"/>
          </w:tcPr>
          <w:p w:rsidR="00BD5C21" w:rsidRPr="00E15C2F" w:rsidRDefault="00593E97" w:rsidP="00B07372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>4.8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593E97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>3.3</w:t>
            </w:r>
          </w:p>
        </w:tc>
      </w:tr>
      <w:tr w:rsidR="00BD5C21" w:rsidRPr="00E15C2F" w:rsidTr="00593E97">
        <w:trPr>
          <w:cnfStyle w:val="000000100000"/>
          <w:trHeight w:val="340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593E97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Syria </w:t>
            </w:r>
            <w:r w:rsidR="00D04FE3" w:rsidRPr="00E15C2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tcW w:w="2608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cnfStyle w:val="0000001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4.1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2.5</w:t>
            </w:r>
          </w:p>
        </w:tc>
      </w:tr>
      <w:tr w:rsidR="00BD5C21" w:rsidRPr="00E15C2F" w:rsidTr="00593E97">
        <w:trPr>
          <w:trHeight w:val="340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593E97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>Lebanon</w:t>
            </w:r>
            <w:r w:rsidR="00D04FE3" w:rsidRPr="00E15C2F">
              <w:rPr>
                <w:rFonts w:ascii="Arial" w:hAnsi="Arial" w:cs="Arial"/>
                <w:color w:val="auto"/>
                <w:sz w:val="18"/>
                <w:szCs w:val="18"/>
              </w:rPr>
              <w:t>**</w:t>
            </w: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08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4.4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2.8</w:t>
            </w:r>
          </w:p>
        </w:tc>
      </w:tr>
    </w:tbl>
    <w:p w:rsidR="009E5152" w:rsidRPr="00E15C2F" w:rsidRDefault="006E7201" w:rsidP="00D04FE3">
      <w:pPr>
        <w:pStyle w:val="BodyText"/>
        <w:ind w:left="360"/>
        <w:jc w:val="left"/>
        <w:rPr>
          <w:sz w:val="18"/>
          <w:szCs w:val="18"/>
        </w:rPr>
      </w:pPr>
      <w:r w:rsidRPr="00E15C2F">
        <w:t xml:space="preserve">         </w:t>
      </w:r>
      <w:r w:rsidR="00D04FE3" w:rsidRPr="00E15C2F">
        <w:rPr>
          <w:sz w:val="18"/>
          <w:szCs w:val="18"/>
        </w:rPr>
        <w:t>* Data for 2010</w:t>
      </w:r>
    </w:p>
    <w:p w:rsidR="00D04FE3" w:rsidRPr="00E15C2F" w:rsidRDefault="006E7201" w:rsidP="00D04FE3">
      <w:pPr>
        <w:pStyle w:val="BodyText"/>
        <w:ind w:left="360"/>
        <w:jc w:val="left"/>
        <w:rPr>
          <w:sz w:val="18"/>
          <w:szCs w:val="18"/>
        </w:rPr>
      </w:pPr>
      <w:r w:rsidRPr="00E15C2F">
        <w:rPr>
          <w:sz w:val="18"/>
          <w:szCs w:val="18"/>
        </w:rPr>
        <w:t xml:space="preserve">        </w:t>
      </w:r>
      <w:r w:rsidR="00D04DC0" w:rsidRPr="00E15C2F">
        <w:rPr>
          <w:sz w:val="18"/>
          <w:szCs w:val="18"/>
        </w:rPr>
        <w:t xml:space="preserve">    </w:t>
      </w:r>
      <w:r w:rsidR="00D04FE3" w:rsidRPr="00E15C2F">
        <w:rPr>
          <w:sz w:val="18"/>
          <w:szCs w:val="18"/>
        </w:rPr>
        <w:t>**Data for 2011</w:t>
      </w:r>
    </w:p>
    <w:p w:rsidR="004E4F88" w:rsidRPr="00E15C2F" w:rsidRDefault="004E4F88" w:rsidP="00D04FE3">
      <w:pPr>
        <w:pStyle w:val="BodyText"/>
        <w:ind w:left="360"/>
        <w:jc w:val="left"/>
        <w:rPr>
          <w:sz w:val="18"/>
          <w:szCs w:val="18"/>
        </w:rPr>
      </w:pPr>
    </w:p>
    <w:p w:rsidR="004E4F88" w:rsidRPr="00E15C2F" w:rsidRDefault="004E4F88" w:rsidP="00D04FE3">
      <w:pPr>
        <w:pStyle w:val="BodyText"/>
        <w:ind w:left="360"/>
        <w:jc w:val="left"/>
        <w:rPr>
          <w:sz w:val="18"/>
          <w:szCs w:val="18"/>
        </w:rPr>
      </w:pPr>
    </w:p>
    <w:p w:rsidR="004E4F88" w:rsidRPr="00E15C2F" w:rsidRDefault="004E4F88" w:rsidP="00D04FE3">
      <w:pPr>
        <w:pStyle w:val="BodyText"/>
        <w:ind w:left="360"/>
        <w:jc w:val="left"/>
        <w:rPr>
          <w:sz w:val="18"/>
          <w:szCs w:val="18"/>
        </w:rPr>
      </w:pPr>
    </w:p>
    <w:p w:rsidR="004E4F88" w:rsidRPr="00E15C2F" w:rsidRDefault="004E4F88" w:rsidP="00D04FE3">
      <w:pPr>
        <w:pStyle w:val="BodyText"/>
        <w:ind w:left="360"/>
        <w:jc w:val="left"/>
        <w:rPr>
          <w:sz w:val="18"/>
          <w:szCs w:val="18"/>
        </w:rPr>
      </w:pPr>
    </w:p>
    <w:p w:rsidR="00D04FE3" w:rsidRPr="00E15C2F" w:rsidRDefault="00D04FE3" w:rsidP="00D04FE3">
      <w:pPr>
        <w:pStyle w:val="BodyText"/>
        <w:ind w:left="360"/>
        <w:jc w:val="left"/>
        <w:rPr>
          <w:sz w:val="18"/>
          <w:szCs w:val="18"/>
        </w:rPr>
      </w:pPr>
    </w:p>
    <w:p w:rsidR="00833A9B" w:rsidRPr="00E15C2F" w:rsidRDefault="00833A9B" w:rsidP="00D04FE3">
      <w:pPr>
        <w:pStyle w:val="BodyText"/>
        <w:ind w:left="360"/>
        <w:jc w:val="left"/>
        <w:rPr>
          <w:sz w:val="18"/>
          <w:szCs w:val="18"/>
        </w:rPr>
      </w:pPr>
    </w:p>
    <w:p w:rsidR="00833A9B" w:rsidRPr="00E15C2F" w:rsidRDefault="00833A9B" w:rsidP="00D04FE3">
      <w:pPr>
        <w:pStyle w:val="BodyText"/>
        <w:ind w:left="360"/>
        <w:jc w:val="left"/>
      </w:pPr>
    </w:p>
    <w:tbl>
      <w:tblPr>
        <w:tblStyle w:val="TableGrid"/>
        <w:tblW w:w="0" w:type="auto"/>
        <w:tblLook w:val="04A0"/>
      </w:tblPr>
      <w:tblGrid>
        <w:gridCol w:w="9289"/>
      </w:tblGrid>
      <w:tr w:rsidR="00B07372" w:rsidRPr="00E15C2F" w:rsidTr="00B07372">
        <w:trPr>
          <w:trHeight w:val="340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372" w:rsidRPr="00E15C2F" w:rsidRDefault="00B33FE3" w:rsidP="00B33FE3">
            <w:pPr>
              <w:pStyle w:val="BodyText"/>
              <w:jc w:val="left"/>
              <w:rPr>
                <w:b/>
                <w:bCs/>
              </w:rPr>
            </w:pPr>
            <w:r w:rsidRPr="00E15C2F">
              <w:rPr>
                <w:b/>
                <w:bCs/>
              </w:rPr>
              <w:lastRenderedPageBreak/>
              <w:t>The y</w:t>
            </w:r>
            <w:r w:rsidR="00B07372" w:rsidRPr="00E15C2F">
              <w:rPr>
                <w:b/>
                <w:bCs/>
              </w:rPr>
              <w:t xml:space="preserve">outhful Palestinian population in </w:t>
            </w:r>
            <w:r w:rsidR="00B21EDD">
              <w:rPr>
                <w:b/>
                <w:bCs/>
              </w:rPr>
              <w:t xml:space="preserve">1948 Territory </w:t>
            </w:r>
          </w:p>
        </w:tc>
      </w:tr>
    </w:tbl>
    <w:p w:rsidR="00B07372" w:rsidRPr="00E15C2F" w:rsidRDefault="00B07372">
      <w:pPr>
        <w:pStyle w:val="BodyText"/>
        <w:rPr>
          <w:b/>
          <w:bCs/>
        </w:rPr>
      </w:pPr>
    </w:p>
    <w:p w:rsidR="009E5152" w:rsidRPr="00E15C2F" w:rsidRDefault="009E5152" w:rsidP="00D705A5">
      <w:pPr>
        <w:pStyle w:val="BodyText"/>
      </w:pPr>
      <w:r w:rsidRPr="00E15C2F">
        <w:t>The number of Palestinians</w:t>
      </w:r>
      <w:r w:rsidR="00E83758" w:rsidRPr="00E15C2F">
        <w:t xml:space="preserve"> </w:t>
      </w:r>
      <w:r w:rsidRPr="00E15C2F">
        <w:t xml:space="preserve">living in </w:t>
      </w:r>
      <w:r w:rsidR="00B21EDD">
        <w:t xml:space="preserve">1948 Territory </w:t>
      </w:r>
      <w:r w:rsidRPr="00E15C2F">
        <w:t xml:space="preserve"> </w:t>
      </w:r>
      <w:r w:rsidR="00CD4BA5" w:rsidRPr="00E15C2F">
        <w:t>is</w:t>
      </w:r>
      <w:r w:rsidRPr="00E15C2F">
        <w:t xml:space="preserve"> 1.</w:t>
      </w:r>
      <w:r w:rsidR="005675B3" w:rsidRPr="00E15C2F">
        <w:t>53</w:t>
      </w:r>
      <w:r w:rsidRPr="00E15C2F">
        <w:t xml:space="preserve"> million</w:t>
      </w:r>
      <w:r w:rsidR="00E83758" w:rsidRPr="00E15C2F">
        <w:t xml:space="preserve"> in the end of </w:t>
      </w:r>
      <w:r w:rsidR="005675B3" w:rsidRPr="00E15C2F">
        <w:t>2016</w:t>
      </w:r>
      <w:r w:rsidRPr="00E15C2F">
        <w:t xml:space="preserve">, of whom </w:t>
      </w:r>
      <w:r w:rsidR="00833A9B" w:rsidRPr="00E15C2F">
        <w:t xml:space="preserve">the percentage of individuals under 15 years of age was </w:t>
      </w:r>
      <w:r w:rsidR="00F82102" w:rsidRPr="00E15C2F">
        <w:t xml:space="preserve">about </w:t>
      </w:r>
      <w:r w:rsidR="00833A9B" w:rsidRPr="00E15C2F">
        <w:t>34.3% for males and 33.5% for females, while the percentage of individuals 65 years and over of age was 4.0% for males and 4.8% for females at the end of 2015.</w:t>
      </w:r>
      <w:r w:rsidR="00D705A5">
        <w:t xml:space="preserve"> </w:t>
      </w:r>
      <w:r w:rsidR="00E15C2F" w:rsidRPr="00E15C2F">
        <w:t xml:space="preserve"> </w:t>
      </w:r>
    </w:p>
    <w:p w:rsidR="009E5152" w:rsidRPr="005675B3" w:rsidRDefault="009E5152">
      <w:pPr>
        <w:pStyle w:val="BodyText"/>
        <w:rPr>
          <w:color w:val="FF0000"/>
          <w:u w:val="single"/>
        </w:rPr>
      </w:pPr>
    </w:p>
    <w:p w:rsidR="00D41749" w:rsidRDefault="00D41749" w:rsidP="00D713EC">
      <w:pPr>
        <w:bidi w:val="0"/>
        <w:jc w:val="both"/>
        <w:rPr>
          <w:b/>
          <w:bCs/>
          <w:color w:val="000000" w:themeColor="text1"/>
        </w:rPr>
      </w:pPr>
      <w:r w:rsidRPr="00CB2F09">
        <w:rPr>
          <w:b/>
          <w:bCs/>
          <w:color w:val="000000" w:themeColor="text1"/>
        </w:rPr>
        <w:t xml:space="preserve">The fertility rates among the </w:t>
      </w:r>
      <w:r w:rsidR="00D705A5" w:rsidRPr="00D705A5">
        <w:rPr>
          <w:b/>
          <w:bCs/>
          <w:color w:val="000000" w:themeColor="text1"/>
        </w:rPr>
        <w:t xml:space="preserve">Israeli </w:t>
      </w:r>
      <w:r w:rsidRPr="00CB2F09">
        <w:rPr>
          <w:b/>
          <w:bCs/>
          <w:color w:val="000000" w:themeColor="text1"/>
        </w:rPr>
        <w:t xml:space="preserve">and Palestinian women </w:t>
      </w:r>
      <w:r w:rsidR="00CC09B8">
        <w:rPr>
          <w:b/>
          <w:bCs/>
          <w:color w:val="000000" w:themeColor="text1"/>
        </w:rPr>
        <w:t>i</w:t>
      </w:r>
      <w:r w:rsidR="00CC09B8" w:rsidRPr="00CC09B8">
        <w:rPr>
          <w:b/>
          <w:bCs/>
          <w:color w:val="000000" w:themeColor="text1"/>
        </w:rPr>
        <w:t xml:space="preserve">nside the </w:t>
      </w:r>
      <w:r w:rsidR="00CC09B8">
        <w:rPr>
          <w:b/>
          <w:bCs/>
          <w:color w:val="000000" w:themeColor="text1"/>
        </w:rPr>
        <w:t>g</w:t>
      </w:r>
      <w:r w:rsidR="00CC09B8" w:rsidRPr="00CC09B8">
        <w:rPr>
          <w:b/>
          <w:bCs/>
          <w:color w:val="000000" w:themeColor="text1"/>
        </w:rPr>
        <w:t xml:space="preserve">reen </w:t>
      </w:r>
      <w:r w:rsidR="00CC09B8">
        <w:rPr>
          <w:b/>
          <w:bCs/>
          <w:color w:val="000000" w:themeColor="text1"/>
        </w:rPr>
        <w:t>line</w:t>
      </w:r>
      <w:r w:rsidR="00CC09B8" w:rsidRPr="00CB2F09">
        <w:rPr>
          <w:b/>
          <w:bCs/>
          <w:color w:val="000000" w:themeColor="text1"/>
        </w:rPr>
        <w:t xml:space="preserve"> </w:t>
      </w:r>
      <w:r w:rsidRPr="00CB2F09">
        <w:rPr>
          <w:b/>
          <w:bCs/>
          <w:color w:val="000000" w:themeColor="text1"/>
        </w:rPr>
        <w:t>were the same</w:t>
      </w:r>
    </w:p>
    <w:p w:rsidR="00D41749" w:rsidRPr="00D705A5" w:rsidRDefault="00D41749" w:rsidP="00D41749">
      <w:pPr>
        <w:bidi w:val="0"/>
        <w:jc w:val="both"/>
        <w:rPr>
          <w:color w:val="000000" w:themeColor="text1"/>
          <w:sz w:val="20"/>
          <w:szCs w:val="20"/>
        </w:rPr>
      </w:pPr>
    </w:p>
    <w:p w:rsidR="00D41749" w:rsidRDefault="00D41749" w:rsidP="002D5964">
      <w:pPr>
        <w:bidi w:val="0"/>
        <w:jc w:val="both"/>
        <w:rPr>
          <w:rFonts w:cs="Simplified Arabic"/>
          <w:rtl/>
        </w:rPr>
      </w:pPr>
      <w:r>
        <w:rPr>
          <w:color w:val="000000" w:themeColor="text1"/>
        </w:rPr>
        <w:t>The total fertility rate for the Palestinian</w:t>
      </w:r>
      <w:r w:rsidR="00075BBB" w:rsidRPr="00075BBB">
        <w:rPr>
          <w:color w:val="000000" w:themeColor="text1"/>
        </w:rPr>
        <w:t xml:space="preserve"> </w:t>
      </w:r>
      <w:r w:rsidR="00075BBB">
        <w:rPr>
          <w:color w:val="000000" w:themeColor="text1"/>
        </w:rPr>
        <w:t xml:space="preserve">women </w:t>
      </w:r>
      <w:r>
        <w:rPr>
          <w:color w:val="000000" w:themeColor="text1"/>
        </w:rPr>
        <w:t xml:space="preserve">and </w:t>
      </w:r>
      <w:r w:rsidR="00D705A5" w:rsidRPr="007048BA">
        <w:rPr>
          <w:color w:val="000000" w:themeColor="text1"/>
        </w:rPr>
        <w:t>Israeli</w:t>
      </w:r>
      <w:r w:rsidR="00075BBB" w:rsidRPr="00075BBB">
        <w:rPr>
          <w:color w:val="000000" w:themeColor="text1"/>
        </w:rPr>
        <w:t xml:space="preserve"> </w:t>
      </w:r>
      <w:r w:rsidR="00075BBB">
        <w:rPr>
          <w:color w:val="000000" w:themeColor="text1"/>
        </w:rPr>
        <w:t>women</w:t>
      </w:r>
      <w:r w:rsidR="00CC09B8" w:rsidRPr="00CC09B8">
        <w:rPr>
          <w:color w:val="000000" w:themeColor="text1"/>
        </w:rPr>
        <w:t xml:space="preserve"> inside the green line</w:t>
      </w:r>
      <w:r w:rsidR="00CC09B8" w:rsidRPr="00CB2F09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reached 3.13 births per woman in 2015. The data also showed that </w:t>
      </w:r>
      <w:r w:rsidRPr="003C25B4">
        <w:rPr>
          <w:color w:val="000000" w:themeColor="text1"/>
        </w:rPr>
        <w:t>the average Palestinian household size was</w:t>
      </w:r>
      <w:r>
        <w:rPr>
          <w:color w:val="000000" w:themeColor="text1"/>
        </w:rPr>
        <w:t xml:space="preserve"> 4.6 persons and the </w:t>
      </w:r>
      <w:r w:rsidRPr="003C25B4">
        <w:rPr>
          <w:color w:val="000000" w:themeColor="text1"/>
        </w:rPr>
        <w:t>crude birth rate was 2</w:t>
      </w:r>
      <w:r>
        <w:rPr>
          <w:color w:val="000000" w:themeColor="text1"/>
        </w:rPr>
        <w:t>3</w:t>
      </w:r>
      <w:r w:rsidRPr="003C25B4">
        <w:rPr>
          <w:color w:val="000000" w:themeColor="text1"/>
        </w:rPr>
        <w:t>.</w:t>
      </w:r>
      <w:r>
        <w:rPr>
          <w:color w:val="000000" w:themeColor="text1"/>
        </w:rPr>
        <w:t>6</w:t>
      </w:r>
      <w:r w:rsidRPr="003C25B4">
        <w:rPr>
          <w:color w:val="000000" w:themeColor="text1"/>
        </w:rPr>
        <w:t xml:space="preserve"> per 1000 of total population</w:t>
      </w:r>
      <w:r>
        <w:rPr>
          <w:color w:val="000000" w:themeColor="text1"/>
        </w:rPr>
        <w:t>.</w:t>
      </w:r>
    </w:p>
    <w:p w:rsidR="00D41749" w:rsidRPr="005675B3" w:rsidRDefault="00D41749" w:rsidP="00D41749">
      <w:pPr>
        <w:pStyle w:val="BodyText"/>
        <w:rPr>
          <w:color w:val="FF0000"/>
          <w:u w:val="single"/>
        </w:rPr>
      </w:pPr>
    </w:p>
    <w:p w:rsidR="00B07372" w:rsidRPr="00D705A5" w:rsidRDefault="00B07372">
      <w:pPr>
        <w:pStyle w:val="BodyText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289"/>
      </w:tblGrid>
      <w:tr w:rsidR="00B07372" w:rsidRPr="00D705A5" w:rsidTr="00B07372">
        <w:trPr>
          <w:trHeight w:val="340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7372" w:rsidRPr="00D705A5" w:rsidRDefault="00B07372" w:rsidP="00F82102">
            <w:pPr>
              <w:pStyle w:val="BodyText"/>
              <w:jc w:val="both"/>
              <w:rPr>
                <w:b/>
                <w:bCs/>
              </w:rPr>
            </w:pPr>
            <w:r w:rsidRPr="00D705A5">
              <w:rPr>
                <w:b/>
                <w:bCs/>
              </w:rPr>
              <w:t xml:space="preserve">The number of </w:t>
            </w:r>
            <w:r w:rsidR="00F82102" w:rsidRPr="00D705A5">
              <w:rPr>
                <w:b/>
                <w:bCs/>
              </w:rPr>
              <w:t xml:space="preserve">Palestinians </w:t>
            </w:r>
            <w:r w:rsidRPr="00D705A5">
              <w:rPr>
                <w:b/>
                <w:bCs/>
              </w:rPr>
              <w:t xml:space="preserve">in historical Palestine will exceed the number of </w:t>
            </w:r>
            <w:r w:rsidR="00D705A5" w:rsidRPr="00D705A5">
              <w:rPr>
                <w:b/>
                <w:bCs/>
                <w:color w:val="000000" w:themeColor="text1"/>
                <w:lang w:eastAsia="en-US"/>
              </w:rPr>
              <w:t xml:space="preserve">Israeli </w:t>
            </w:r>
            <w:r w:rsidRPr="00D705A5">
              <w:rPr>
                <w:b/>
                <w:bCs/>
              </w:rPr>
              <w:t>over time</w:t>
            </w:r>
          </w:p>
        </w:tc>
      </w:tr>
    </w:tbl>
    <w:p w:rsidR="009E5152" w:rsidRPr="00E15C2F" w:rsidRDefault="009E5152">
      <w:pPr>
        <w:pStyle w:val="BodyText"/>
        <w:rPr>
          <w:b/>
          <w:bCs/>
        </w:rPr>
      </w:pPr>
    </w:p>
    <w:p w:rsidR="009E5152" w:rsidRPr="00E15C2F" w:rsidRDefault="009E5152" w:rsidP="00D705A5">
      <w:pPr>
        <w:pStyle w:val="BodyText"/>
      </w:pPr>
      <w:r w:rsidRPr="00E15C2F">
        <w:t xml:space="preserve">The number of </w:t>
      </w:r>
      <w:r w:rsidR="00F82102">
        <w:t>Palestinians</w:t>
      </w:r>
      <w:r w:rsidR="00F82102" w:rsidRPr="00E15C2F">
        <w:t xml:space="preserve"> </w:t>
      </w:r>
      <w:r w:rsidRPr="00E15C2F">
        <w:t xml:space="preserve">in historical Palestine </w:t>
      </w:r>
      <w:r w:rsidR="000B797A" w:rsidRPr="00E15C2F">
        <w:t>totaled</w:t>
      </w:r>
      <w:r w:rsidRPr="00E15C2F">
        <w:t xml:space="preserve"> </w:t>
      </w:r>
      <w:r w:rsidR="00CB3C1E" w:rsidRPr="00E15C2F">
        <w:t>6.</w:t>
      </w:r>
      <w:r w:rsidR="005675B3" w:rsidRPr="00E15C2F">
        <w:t>41</w:t>
      </w:r>
      <w:r w:rsidRPr="00E15C2F">
        <w:t xml:space="preserve"> million at </w:t>
      </w:r>
      <w:r w:rsidR="000B797A" w:rsidRPr="00E15C2F">
        <w:t xml:space="preserve">the </w:t>
      </w:r>
      <w:r w:rsidRPr="00E15C2F">
        <w:t xml:space="preserve">end of </w:t>
      </w:r>
      <w:r w:rsidR="005675B3" w:rsidRPr="00E15C2F">
        <w:t>2016</w:t>
      </w:r>
      <w:r w:rsidRPr="00E15C2F">
        <w:t xml:space="preserve">. </w:t>
      </w:r>
      <w:r w:rsidR="00C328EA" w:rsidRPr="00E15C2F">
        <w:t>Th</w:t>
      </w:r>
      <w:r w:rsidR="00E80068" w:rsidRPr="00E15C2F">
        <w:t xml:space="preserve">ere were </w:t>
      </w:r>
      <w:r w:rsidR="00AD3440" w:rsidRPr="00E15C2F">
        <w:t>6.</w:t>
      </w:r>
      <w:r w:rsidR="005675B3" w:rsidRPr="00E15C2F">
        <w:t>33</w:t>
      </w:r>
      <w:r w:rsidR="00E80068" w:rsidRPr="00E15C2F">
        <w:t xml:space="preserve"> million </w:t>
      </w:r>
      <w:r w:rsidR="00D705A5" w:rsidRPr="007048BA">
        <w:rPr>
          <w:color w:val="000000" w:themeColor="text1"/>
          <w:lang w:eastAsia="en-US"/>
        </w:rPr>
        <w:t xml:space="preserve">Israeli </w:t>
      </w:r>
      <w:r w:rsidR="00C328EA" w:rsidRPr="00E15C2F">
        <w:t xml:space="preserve">at the </w:t>
      </w:r>
      <w:r w:rsidR="00B15902" w:rsidRPr="00E15C2F">
        <w:t xml:space="preserve">end </w:t>
      </w:r>
      <w:r w:rsidR="004D4715" w:rsidRPr="00E15C2F">
        <w:t>of</w:t>
      </w:r>
      <w:r w:rsidR="00B15902" w:rsidRPr="00E15C2F">
        <w:t xml:space="preserve"> </w:t>
      </w:r>
      <w:r w:rsidR="005675B3" w:rsidRPr="00E15C2F">
        <w:t>2015</w:t>
      </w:r>
      <w:r w:rsidR="00BB32DD" w:rsidRPr="00E15C2F">
        <w:t xml:space="preserve"> </w:t>
      </w:r>
      <w:r w:rsidR="00E80068" w:rsidRPr="00E15C2F">
        <w:t>according to estimates by the Israeli Central Bureau of Statistics and</w:t>
      </w:r>
      <w:r w:rsidR="00BB32DD" w:rsidRPr="00E15C2F">
        <w:t xml:space="preserve"> </w:t>
      </w:r>
      <w:r w:rsidR="00C328EA" w:rsidRPr="00E15C2F">
        <w:t>the number</w:t>
      </w:r>
      <w:r w:rsidR="00E80068" w:rsidRPr="00E15C2F">
        <w:t xml:space="preserve"> is expected to</w:t>
      </w:r>
      <w:r w:rsidR="00BB32DD" w:rsidRPr="00E15C2F">
        <w:t xml:space="preserve"> reach</w:t>
      </w:r>
      <w:r w:rsidR="00E80068" w:rsidRPr="00E15C2F">
        <w:t xml:space="preserve"> 6.</w:t>
      </w:r>
      <w:r w:rsidR="005675B3" w:rsidRPr="00E15C2F">
        <w:t>4</w:t>
      </w:r>
      <w:r w:rsidR="00E3231D">
        <w:t>5</w:t>
      </w:r>
      <w:r w:rsidR="00E80068" w:rsidRPr="00E15C2F">
        <w:t xml:space="preserve"> million </w:t>
      </w:r>
      <w:r w:rsidR="00D705A5" w:rsidRPr="007048BA">
        <w:rPr>
          <w:color w:val="000000" w:themeColor="text1"/>
          <w:lang w:eastAsia="en-US"/>
        </w:rPr>
        <w:t xml:space="preserve">Israeli </w:t>
      </w:r>
      <w:r w:rsidR="00C328EA" w:rsidRPr="00E15C2F">
        <w:t xml:space="preserve">by the end of </w:t>
      </w:r>
      <w:r w:rsidR="005675B3" w:rsidRPr="00E15C2F">
        <w:t>2016</w:t>
      </w:r>
      <w:r w:rsidR="00E80068" w:rsidRPr="00E15C2F">
        <w:t xml:space="preserve">. </w:t>
      </w:r>
      <w:r w:rsidR="004F0D35" w:rsidRPr="00E15C2F">
        <w:t>T</w:t>
      </w:r>
      <w:r w:rsidRPr="00E15C2F">
        <w:t>he number of</w:t>
      </w:r>
      <w:r w:rsidR="005B6E9D" w:rsidRPr="00E15C2F">
        <w:t xml:space="preserve"> </w:t>
      </w:r>
      <w:r w:rsidR="00F82102">
        <w:t>Palestinians</w:t>
      </w:r>
      <w:r w:rsidR="00F82102" w:rsidRPr="00E15C2F">
        <w:t xml:space="preserve"> </w:t>
      </w:r>
      <w:r w:rsidRPr="00E15C2F">
        <w:t xml:space="preserve">and </w:t>
      </w:r>
      <w:r w:rsidR="00D705A5" w:rsidRPr="007048BA">
        <w:rPr>
          <w:color w:val="000000" w:themeColor="text1"/>
          <w:lang w:eastAsia="en-US"/>
        </w:rPr>
        <w:t>Israeli</w:t>
      </w:r>
      <w:r w:rsidR="00337749">
        <w:rPr>
          <w:color w:val="000000" w:themeColor="text1"/>
          <w:lang w:eastAsia="en-US"/>
        </w:rPr>
        <w:t>s</w:t>
      </w:r>
      <w:r w:rsidR="00D705A5" w:rsidRPr="007048BA">
        <w:rPr>
          <w:color w:val="000000" w:themeColor="text1"/>
          <w:lang w:eastAsia="en-US"/>
        </w:rPr>
        <w:t xml:space="preserve"> </w:t>
      </w:r>
      <w:r w:rsidRPr="00E15C2F">
        <w:t>will</w:t>
      </w:r>
      <w:r w:rsidR="0079782D" w:rsidRPr="00E15C2F">
        <w:t xml:space="preserve"> be</w:t>
      </w:r>
      <w:r w:rsidRPr="00E15C2F">
        <w:t xml:space="preserve"> </w:t>
      </w:r>
      <w:r w:rsidR="0079782D" w:rsidRPr="00E15C2F">
        <w:t>equal</w:t>
      </w:r>
      <w:r w:rsidR="00E15C2F">
        <w:t xml:space="preserve"> at</w:t>
      </w:r>
      <w:r w:rsidR="0079782D" w:rsidRPr="00E15C2F">
        <w:t xml:space="preserve"> </w:t>
      </w:r>
      <w:r w:rsidR="00AB5091" w:rsidRPr="00E15C2F">
        <w:t xml:space="preserve">the end of </w:t>
      </w:r>
      <w:r w:rsidR="005B6E9D" w:rsidRPr="00E15C2F">
        <w:t>2017.</w:t>
      </w:r>
      <w:r w:rsidRPr="00E15C2F">
        <w:t xml:space="preserve"> However, the number of </w:t>
      </w:r>
      <w:r w:rsidR="00F82102">
        <w:t>Palestinians</w:t>
      </w:r>
      <w:r w:rsidR="00F82102" w:rsidRPr="00E15C2F">
        <w:t xml:space="preserve"> </w:t>
      </w:r>
      <w:r w:rsidRPr="00E15C2F">
        <w:t xml:space="preserve">in historical Palestine will </w:t>
      </w:r>
      <w:r w:rsidR="000B797A" w:rsidRPr="00E15C2F">
        <w:t>total</w:t>
      </w:r>
      <w:r w:rsidRPr="00E15C2F">
        <w:t xml:space="preserve"> 7.</w:t>
      </w:r>
      <w:r w:rsidR="005675B3" w:rsidRPr="00E15C2F">
        <w:t>1</w:t>
      </w:r>
      <w:r w:rsidR="00106277" w:rsidRPr="00E15C2F">
        <w:t>2</w:t>
      </w:r>
      <w:r w:rsidRPr="00E15C2F">
        <w:t xml:space="preserve"> million compared to 6.</w:t>
      </w:r>
      <w:r w:rsidR="0079782D" w:rsidRPr="00E15C2F">
        <w:t>96</w:t>
      </w:r>
      <w:r w:rsidRPr="00E15C2F">
        <w:t xml:space="preserve"> </w:t>
      </w:r>
      <w:r w:rsidR="00D04FE3" w:rsidRPr="00E15C2F">
        <w:t xml:space="preserve">million </w:t>
      </w:r>
      <w:r w:rsidR="00D705A5" w:rsidRPr="007048BA">
        <w:rPr>
          <w:color w:val="000000" w:themeColor="text1"/>
          <w:lang w:eastAsia="en-US"/>
        </w:rPr>
        <w:t xml:space="preserve">Israeli </w:t>
      </w:r>
      <w:r w:rsidR="000B797A" w:rsidRPr="00E15C2F">
        <w:t>by</w:t>
      </w:r>
      <w:r w:rsidRPr="00E15C2F">
        <w:t xml:space="preserve"> the end of 2020.</w:t>
      </w:r>
    </w:p>
    <w:p w:rsidR="005675B3" w:rsidRPr="00E15C2F" w:rsidRDefault="005675B3" w:rsidP="005675B3">
      <w:pPr>
        <w:pStyle w:val="BodyText"/>
      </w:pPr>
    </w:p>
    <w:p w:rsidR="009E5152" w:rsidRPr="00D705A5" w:rsidRDefault="009E5152" w:rsidP="00D705A5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705A5">
        <w:rPr>
          <w:rFonts w:ascii="Arial" w:hAnsi="Arial" w:cs="Arial"/>
          <w:b/>
          <w:bCs/>
          <w:sz w:val="22"/>
          <w:szCs w:val="22"/>
        </w:rPr>
        <w:t xml:space="preserve">Number of </w:t>
      </w:r>
      <w:r w:rsidR="00F82102" w:rsidRPr="00D705A5">
        <w:rPr>
          <w:rFonts w:ascii="Arial" w:hAnsi="Arial" w:cs="Arial"/>
          <w:b/>
          <w:bCs/>
          <w:sz w:val="22"/>
          <w:szCs w:val="22"/>
        </w:rPr>
        <w:t xml:space="preserve">Palestinians </w:t>
      </w:r>
      <w:r w:rsidRPr="00D705A5">
        <w:rPr>
          <w:rFonts w:ascii="Arial" w:hAnsi="Arial" w:cs="Arial"/>
          <w:b/>
          <w:bCs/>
          <w:sz w:val="22"/>
          <w:szCs w:val="22"/>
        </w:rPr>
        <w:t xml:space="preserve">and </w:t>
      </w:r>
      <w:r w:rsidR="00D705A5" w:rsidRPr="00D705A5">
        <w:rPr>
          <w:rFonts w:ascii="Arial" w:hAnsi="Arial" w:cs="Arial"/>
          <w:b/>
          <w:bCs/>
          <w:sz w:val="22"/>
          <w:szCs w:val="22"/>
        </w:rPr>
        <w:t>Israeli</w:t>
      </w:r>
      <w:r w:rsidR="00337749">
        <w:rPr>
          <w:rFonts w:ascii="Arial" w:hAnsi="Arial" w:cs="Arial"/>
          <w:b/>
          <w:bCs/>
          <w:sz w:val="22"/>
          <w:szCs w:val="22"/>
        </w:rPr>
        <w:t>s</w:t>
      </w:r>
      <w:r w:rsidR="00D705A5" w:rsidRPr="00D705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05A5">
        <w:rPr>
          <w:rFonts w:ascii="Arial" w:hAnsi="Arial" w:cs="Arial"/>
          <w:b/>
          <w:bCs/>
          <w:sz w:val="22"/>
          <w:szCs w:val="22"/>
        </w:rPr>
        <w:t xml:space="preserve">living in </w:t>
      </w:r>
      <w:r w:rsidR="00ED7CA7" w:rsidRPr="00D705A5">
        <w:rPr>
          <w:rFonts w:ascii="Arial" w:hAnsi="Arial" w:cs="Arial"/>
          <w:b/>
          <w:bCs/>
          <w:sz w:val="22"/>
          <w:szCs w:val="22"/>
        </w:rPr>
        <w:t>H</w:t>
      </w:r>
      <w:r w:rsidRPr="00D705A5">
        <w:rPr>
          <w:rFonts w:ascii="Arial" w:hAnsi="Arial" w:cs="Arial"/>
          <w:b/>
          <w:bCs/>
          <w:sz w:val="22"/>
          <w:szCs w:val="22"/>
        </w:rPr>
        <w:t>istorical Palestine</w:t>
      </w:r>
    </w:p>
    <w:p w:rsidR="00871E02" w:rsidRPr="009318DA" w:rsidRDefault="00871E02" w:rsidP="00871E02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bidiVisual/>
        <w:tblW w:w="0" w:type="auto"/>
        <w:tblLook w:val="04A0"/>
      </w:tblPr>
      <w:tblGrid>
        <w:gridCol w:w="9289"/>
      </w:tblGrid>
      <w:tr w:rsidR="00700AFC" w:rsidRPr="009318DA" w:rsidTr="00700AFC">
        <w:tc>
          <w:tcPr>
            <w:tcW w:w="9289" w:type="dxa"/>
          </w:tcPr>
          <w:p w:rsidR="00700AFC" w:rsidRPr="009318DA" w:rsidRDefault="00700AFC">
            <w:pPr>
              <w:jc w:val="center"/>
              <w:rPr>
                <w:rFonts w:cs="Simplified Arabic"/>
                <w:b/>
                <w:bCs/>
                <w:rtl/>
                <w:lang w:val="en-GB"/>
              </w:rPr>
            </w:pPr>
            <w:r w:rsidRPr="009318DA">
              <w:rPr>
                <w:rFonts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5638800" cy="2019300"/>
                  <wp:effectExtent l="0" t="0" r="0" b="0"/>
                  <wp:docPr id="8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871E02" w:rsidRPr="009318DA" w:rsidRDefault="00871E02" w:rsidP="00700AFC">
      <w:pPr>
        <w:pStyle w:val="BodyText"/>
        <w:rPr>
          <w:b/>
          <w:bCs/>
        </w:rPr>
      </w:pPr>
    </w:p>
    <w:sectPr w:rsidR="00871E02" w:rsidRPr="009318DA" w:rsidSect="006D6BF0">
      <w:headerReference w:type="default" r:id="rId11"/>
      <w:footerReference w:type="default" r:id="rId12"/>
      <w:pgSz w:w="11909" w:h="16834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AFA" w:rsidRDefault="00ED5AFA" w:rsidP="00B50DF9">
      <w:r>
        <w:separator/>
      </w:r>
    </w:p>
  </w:endnote>
  <w:endnote w:type="continuationSeparator" w:id="0">
    <w:p w:rsidR="00ED5AFA" w:rsidRDefault="00ED5AFA" w:rsidP="00B5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31975"/>
      <w:docPartObj>
        <w:docPartGallery w:val="Page Numbers (Bottom of Page)"/>
        <w:docPartUnique/>
      </w:docPartObj>
    </w:sdtPr>
    <w:sdtContent>
      <w:p w:rsidR="00833A9B" w:rsidRDefault="004229BA">
        <w:pPr>
          <w:pStyle w:val="Footer"/>
          <w:jc w:val="center"/>
        </w:pPr>
        <w:fldSimple w:instr=" PAGE   \* MERGEFORMAT ">
          <w:r w:rsidR="002D5964">
            <w:rPr>
              <w:noProof/>
              <w:rtl/>
            </w:rPr>
            <w:t>3</w:t>
          </w:r>
        </w:fldSimple>
      </w:p>
    </w:sdtContent>
  </w:sdt>
  <w:p w:rsidR="00833A9B" w:rsidRDefault="00833A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AFA" w:rsidRDefault="00ED5AFA" w:rsidP="00B50DF9">
      <w:r>
        <w:separator/>
      </w:r>
    </w:p>
  </w:footnote>
  <w:footnote w:type="continuationSeparator" w:id="0">
    <w:p w:rsidR="00ED5AFA" w:rsidRDefault="00ED5AFA" w:rsidP="00B50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7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18"/>
      <w:gridCol w:w="2977"/>
      <w:gridCol w:w="4679"/>
    </w:tblGrid>
    <w:tr w:rsidR="00833A9B" w:rsidTr="006E7201">
      <w:tc>
        <w:tcPr>
          <w:tcW w:w="2518" w:type="dxa"/>
          <w:vAlign w:val="center"/>
        </w:tcPr>
        <w:p w:rsidR="00833A9B" w:rsidRPr="00B50DF9" w:rsidRDefault="00833A9B" w:rsidP="00B50DF9">
          <w:pPr>
            <w:pStyle w:val="Header"/>
            <w:jc w:val="center"/>
            <w:rPr>
              <w:b/>
              <w:bCs/>
              <w:rtl/>
            </w:rPr>
          </w:pPr>
          <w:r>
            <w:rPr>
              <w:b/>
              <w:bCs/>
            </w:rPr>
            <w:t>2016</w:t>
          </w:r>
          <w:r w:rsidRPr="00B50DF9">
            <w:rPr>
              <w:rFonts w:hint="cs"/>
              <w:b/>
              <w:bCs/>
              <w:rtl/>
            </w:rPr>
            <w:t>/12/31</w:t>
          </w:r>
        </w:p>
      </w:tc>
      <w:tc>
        <w:tcPr>
          <w:tcW w:w="2977" w:type="dxa"/>
        </w:tcPr>
        <w:p w:rsidR="00833A9B" w:rsidRDefault="00833A9B">
          <w:pPr>
            <w:pStyle w:val="Header"/>
            <w:rPr>
              <w:rtl/>
            </w:rPr>
          </w:pPr>
          <w:r w:rsidRPr="00B50DF9"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-21590</wp:posOffset>
                </wp:positionV>
                <wp:extent cx="428625" cy="600075"/>
                <wp:effectExtent l="19050" t="0" r="0" b="0"/>
                <wp:wrapSquare wrapText="bothSides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9" w:type="dxa"/>
        </w:tcPr>
        <w:p w:rsidR="00833A9B" w:rsidRPr="00B50DF9" w:rsidRDefault="00833A9B" w:rsidP="00B50DF9">
          <w:pPr>
            <w:pStyle w:val="Header"/>
            <w:jc w:val="center"/>
            <w:rPr>
              <w:b/>
              <w:bCs/>
              <w:sz w:val="24"/>
              <w:szCs w:val="24"/>
              <w:rtl/>
            </w:rPr>
          </w:pPr>
          <w:r w:rsidRPr="00B50DF9">
            <w:rPr>
              <w:b/>
              <w:bCs/>
              <w:sz w:val="24"/>
              <w:szCs w:val="24"/>
            </w:rPr>
            <w:t>Palestine</w:t>
          </w:r>
        </w:p>
        <w:p w:rsidR="00833A9B" w:rsidRPr="00B50DF9" w:rsidRDefault="00833A9B" w:rsidP="00B50DF9">
          <w:pPr>
            <w:pStyle w:val="Header"/>
            <w:jc w:val="center"/>
            <w:rPr>
              <w:b/>
              <w:bCs/>
              <w:sz w:val="14"/>
              <w:szCs w:val="14"/>
              <w:rtl/>
            </w:rPr>
          </w:pPr>
        </w:p>
        <w:p w:rsidR="00833A9B" w:rsidRPr="00B50DF9" w:rsidRDefault="00833A9B" w:rsidP="00B50DF9">
          <w:pPr>
            <w:pStyle w:val="Header"/>
            <w:jc w:val="center"/>
            <w:rPr>
              <w:b/>
              <w:bCs/>
              <w:rtl/>
            </w:rPr>
          </w:pPr>
          <w:r w:rsidRPr="00B50DF9">
            <w:rPr>
              <w:rFonts w:cs="Times New Roman"/>
              <w:b/>
              <w:bCs/>
              <w:sz w:val="24"/>
              <w:szCs w:val="24"/>
            </w:rPr>
            <w:t>Palestinian Central Bureau of Statistics</w:t>
          </w:r>
        </w:p>
      </w:tc>
    </w:tr>
  </w:tbl>
  <w:p w:rsidR="00833A9B" w:rsidRDefault="00833A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453A"/>
    <w:multiLevelType w:val="hybridMultilevel"/>
    <w:tmpl w:val="6E66A2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3E1"/>
    <w:rsid w:val="00010EAD"/>
    <w:rsid w:val="0002405D"/>
    <w:rsid w:val="000253E1"/>
    <w:rsid w:val="000322CA"/>
    <w:rsid w:val="00053781"/>
    <w:rsid w:val="00060D99"/>
    <w:rsid w:val="0006135B"/>
    <w:rsid w:val="00075BBB"/>
    <w:rsid w:val="00081443"/>
    <w:rsid w:val="0009318E"/>
    <w:rsid w:val="000B02E5"/>
    <w:rsid w:val="000B6D1D"/>
    <w:rsid w:val="000B797A"/>
    <w:rsid w:val="000C2EB2"/>
    <w:rsid w:val="000F3732"/>
    <w:rsid w:val="000F7A72"/>
    <w:rsid w:val="00106277"/>
    <w:rsid w:val="00122F77"/>
    <w:rsid w:val="00140661"/>
    <w:rsid w:val="00165010"/>
    <w:rsid w:val="00166340"/>
    <w:rsid w:val="00194D73"/>
    <w:rsid w:val="001A1D61"/>
    <w:rsid w:val="001A38EB"/>
    <w:rsid w:val="001B201D"/>
    <w:rsid w:val="001C3E00"/>
    <w:rsid w:val="001C6D38"/>
    <w:rsid w:val="001F2E22"/>
    <w:rsid w:val="00245BA1"/>
    <w:rsid w:val="00247482"/>
    <w:rsid w:val="00255937"/>
    <w:rsid w:val="0027097D"/>
    <w:rsid w:val="0028122C"/>
    <w:rsid w:val="00294187"/>
    <w:rsid w:val="002B53D0"/>
    <w:rsid w:val="002D5964"/>
    <w:rsid w:val="0030693A"/>
    <w:rsid w:val="003119F1"/>
    <w:rsid w:val="00313DE6"/>
    <w:rsid w:val="00326965"/>
    <w:rsid w:val="00334EF1"/>
    <w:rsid w:val="00337749"/>
    <w:rsid w:val="0038397C"/>
    <w:rsid w:val="00391F01"/>
    <w:rsid w:val="003A3A8C"/>
    <w:rsid w:val="003A6A8F"/>
    <w:rsid w:val="003B5FF0"/>
    <w:rsid w:val="003C5E36"/>
    <w:rsid w:val="003F6D47"/>
    <w:rsid w:val="004229BA"/>
    <w:rsid w:val="004331CE"/>
    <w:rsid w:val="0047444D"/>
    <w:rsid w:val="004753C7"/>
    <w:rsid w:val="0048605B"/>
    <w:rsid w:val="00486422"/>
    <w:rsid w:val="004B35EF"/>
    <w:rsid w:val="004B381A"/>
    <w:rsid w:val="004B65DA"/>
    <w:rsid w:val="004C0CF7"/>
    <w:rsid w:val="004D3CF4"/>
    <w:rsid w:val="004D4715"/>
    <w:rsid w:val="004E4F88"/>
    <w:rsid w:val="004F0D35"/>
    <w:rsid w:val="00507D9F"/>
    <w:rsid w:val="005126E7"/>
    <w:rsid w:val="00515BE4"/>
    <w:rsid w:val="0052724D"/>
    <w:rsid w:val="00540394"/>
    <w:rsid w:val="0055282D"/>
    <w:rsid w:val="00556985"/>
    <w:rsid w:val="00556F85"/>
    <w:rsid w:val="005675B3"/>
    <w:rsid w:val="0058721D"/>
    <w:rsid w:val="00593E97"/>
    <w:rsid w:val="005A4C7E"/>
    <w:rsid w:val="005B142B"/>
    <w:rsid w:val="005B6E9D"/>
    <w:rsid w:val="005C5401"/>
    <w:rsid w:val="00606244"/>
    <w:rsid w:val="00623748"/>
    <w:rsid w:val="00643B50"/>
    <w:rsid w:val="00655CBA"/>
    <w:rsid w:val="00665C15"/>
    <w:rsid w:val="00684DF3"/>
    <w:rsid w:val="00691559"/>
    <w:rsid w:val="006D125D"/>
    <w:rsid w:val="006D18B2"/>
    <w:rsid w:val="006D66EE"/>
    <w:rsid w:val="006D6BF0"/>
    <w:rsid w:val="006E0776"/>
    <w:rsid w:val="006E7201"/>
    <w:rsid w:val="006F02D9"/>
    <w:rsid w:val="006F4813"/>
    <w:rsid w:val="00700AFC"/>
    <w:rsid w:val="00716213"/>
    <w:rsid w:val="00717322"/>
    <w:rsid w:val="00721E73"/>
    <w:rsid w:val="00724B4B"/>
    <w:rsid w:val="007322A8"/>
    <w:rsid w:val="00746E20"/>
    <w:rsid w:val="00763B45"/>
    <w:rsid w:val="007774E7"/>
    <w:rsid w:val="00785B5B"/>
    <w:rsid w:val="00786E51"/>
    <w:rsid w:val="00791E6D"/>
    <w:rsid w:val="00793240"/>
    <w:rsid w:val="0079782D"/>
    <w:rsid w:val="007A1EF5"/>
    <w:rsid w:val="007B3802"/>
    <w:rsid w:val="007C38E1"/>
    <w:rsid w:val="007C43FA"/>
    <w:rsid w:val="007C5A0D"/>
    <w:rsid w:val="007C734F"/>
    <w:rsid w:val="007D3BAA"/>
    <w:rsid w:val="007F4202"/>
    <w:rsid w:val="00800F69"/>
    <w:rsid w:val="00820E8F"/>
    <w:rsid w:val="00823408"/>
    <w:rsid w:val="00823484"/>
    <w:rsid w:val="00823B23"/>
    <w:rsid w:val="00831A2B"/>
    <w:rsid w:val="00833A9B"/>
    <w:rsid w:val="00837A01"/>
    <w:rsid w:val="00840DD0"/>
    <w:rsid w:val="008458EA"/>
    <w:rsid w:val="00861BBB"/>
    <w:rsid w:val="00871E02"/>
    <w:rsid w:val="00897FBC"/>
    <w:rsid w:val="008A138F"/>
    <w:rsid w:val="008B3D6F"/>
    <w:rsid w:val="008C6573"/>
    <w:rsid w:val="008E429D"/>
    <w:rsid w:val="008E4384"/>
    <w:rsid w:val="008E44FC"/>
    <w:rsid w:val="008F023D"/>
    <w:rsid w:val="00912C17"/>
    <w:rsid w:val="00927EC2"/>
    <w:rsid w:val="009318DA"/>
    <w:rsid w:val="00943D4B"/>
    <w:rsid w:val="0095074A"/>
    <w:rsid w:val="00950E5A"/>
    <w:rsid w:val="00967C09"/>
    <w:rsid w:val="00980C99"/>
    <w:rsid w:val="009974C3"/>
    <w:rsid w:val="009B1D98"/>
    <w:rsid w:val="009E5152"/>
    <w:rsid w:val="00A73770"/>
    <w:rsid w:val="00A817C5"/>
    <w:rsid w:val="00A903BE"/>
    <w:rsid w:val="00A90C81"/>
    <w:rsid w:val="00A934D3"/>
    <w:rsid w:val="00A95650"/>
    <w:rsid w:val="00A971F0"/>
    <w:rsid w:val="00AB3832"/>
    <w:rsid w:val="00AB5091"/>
    <w:rsid w:val="00AD3440"/>
    <w:rsid w:val="00B07372"/>
    <w:rsid w:val="00B15902"/>
    <w:rsid w:val="00B21EDD"/>
    <w:rsid w:val="00B33FE3"/>
    <w:rsid w:val="00B50DF9"/>
    <w:rsid w:val="00B71860"/>
    <w:rsid w:val="00B95503"/>
    <w:rsid w:val="00BA3954"/>
    <w:rsid w:val="00BB32DD"/>
    <w:rsid w:val="00BD5C21"/>
    <w:rsid w:val="00BE296B"/>
    <w:rsid w:val="00BE2BD9"/>
    <w:rsid w:val="00BE300B"/>
    <w:rsid w:val="00C10CD5"/>
    <w:rsid w:val="00C328EA"/>
    <w:rsid w:val="00C55779"/>
    <w:rsid w:val="00C64CE8"/>
    <w:rsid w:val="00C877F0"/>
    <w:rsid w:val="00C94820"/>
    <w:rsid w:val="00CB209C"/>
    <w:rsid w:val="00CB3C1E"/>
    <w:rsid w:val="00CC09B8"/>
    <w:rsid w:val="00CD1313"/>
    <w:rsid w:val="00CD266D"/>
    <w:rsid w:val="00CD4BA5"/>
    <w:rsid w:val="00CE1583"/>
    <w:rsid w:val="00CF64FE"/>
    <w:rsid w:val="00D04DC0"/>
    <w:rsid w:val="00D04FE3"/>
    <w:rsid w:val="00D072B7"/>
    <w:rsid w:val="00D23D54"/>
    <w:rsid w:val="00D27E89"/>
    <w:rsid w:val="00D405D9"/>
    <w:rsid w:val="00D41749"/>
    <w:rsid w:val="00D57D8E"/>
    <w:rsid w:val="00D705A5"/>
    <w:rsid w:val="00D713EC"/>
    <w:rsid w:val="00DA6E59"/>
    <w:rsid w:val="00DC0D60"/>
    <w:rsid w:val="00DC1281"/>
    <w:rsid w:val="00DC6E00"/>
    <w:rsid w:val="00DE5B37"/>
    <w:rsid w:val="00E15C2F"/>
    <w:rsid w:val="00E17580"/>
    <w:rsid w:val="00E219C3"/>
    <w:rsid w:val="00E3231D"/>
    <w:rsid w:val="00E367DC"/>
    <w:rsid w:val="00E521E1"/>
    <w:rsid w:val="00E74985"/>
    <w:rsid w:val="00E80068"/>
    <w:rsid w:val="00E81A4A"/>
    <w:rsid w:val="00E83758"/>
    <w:rsid w:val="00E86352"/>
    <w:rsid w:val="00EC07A6"/>
    <w:rsid w:val="00ED595F"/>
    <w:rsid w:val="00ED5AFA"/>
    <w:rsid w:val="00ED6C9E"/>
    <w:rsid w:val="00ED7CA7"/>
    <w:rsid w:val="00EE5824"/>
    <w:rsid w:val="00EF3FC1"/>
    <w:rsid w:val="00EF5424"/>
    <w:rsid w:val="00F062BE"/>
    <w:rsid w:val="00F1040E"/>
    <w:rsid w:val="00F13CA0"/>
    <w:rsid w:val="00F25AA6"/>
    <w:rsid w:val="00F46FFF"/>
    <w:rsid w:val="00F66D45"/>
    <w:rsid w:val="00F734EC"/>
    <w:rsid w:val="00F82102"/>
    <w:rsid w:val="00F862D8"/>
    <w:rsid w:val="00F96BA5"/>
    <w:rsid w:val="00F9702D"/>
    <w:rsid w:val="00FA4C65"/>
    <w:rsid w:val="00FA7FEC"/>
    <w:rsid w:val="00FB103C"/>
    <w:rsid w:val="00FB65BE"/>
    <w:rsid w:val="00FD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E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38E1"/>
    <w:pPr>
      <w:keepNext/>
      <w:bidi w:val="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9E515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5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C38E1"/>
    <w:pPr>
      <w:bidi w:val="0"/>
      <w:jc w:val="lowKashida"/>
    </w:pPr>
  </w:style>
  <w:style w:type="paragraph" w:styleId="BodyText2">
    <w:name w:val="Body Text 2"/>
    <w:basedOn w:val="Normal"/>
    <w:semiHidden/>
    <w:rsid w:val="007C38E1"/>
    <w:pPr>
      <w:bidi w:val="0"/>
    </w:pPr>
    <w:rPr>
      <w:b/>
      <w:bCs/>
    </w:rPr>
  </w:style>
  <w:style w:type="character" w:customStyle="1" w:styleId="shorttext">
    <w:name w:val="short_text"/>
    <w:basedOn w:val="DefaultParagraphFont"/>
    <w:rsid w:val="007C38E1"/>
  </w:style>
  <w:style w:type="character" w:customStyle="1" w:styleId="hps">
    <w:name w:val="hps"/>
    <w:basedOn w:val="DefaultParagraphFont"/>
    <w:rsid w:val="007C38E1"/>
  </w:style>
  <w:style w:type="paragraph" w:styleId="Header">
    <w:name w:val="header"/>
    <w:basedOn w:val="Normal"/>
    <w:semiHidden/>
    <w:rsid w:val="007C38E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38E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8E1"/>
    <w:rPr>
      <w:vertAlign w:val="superscript"/>
    </w:rPr>
  </w:style>
  <w:style w:type="character" w:styleId="Hyperlink">
    <w:name w:val="Hyperlink"/>
    <w:basedOn w:val="DefaultParagraphFont"/>
    <w:semiHidden/>
    <w:rsid w:val="007C38E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9E5152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52"/>
    <w:rPr>
      <w:rFonts w:ascii="Calibri" w:eastAsia="Times New Roman" w:hAnsi="Calibri" w:cs="Arial"/>
      <w:b/>
      <w:bCs/>
      <w:sz w:val="22"/>
      <w:szCs w:val="22"/>
      <w:lang w:eastAsia="ar-SA"/>
    </w:rPr>
  </w:style>
  <w:style w:type="character" w:customStyle="1" w:styleId="longtext">
    <w:name w:val="long_text"/>
    <w:basedOn w:val="DefaultParagraphFont"/>
    <w:rsid w:val="00655CBA"/>
  </w:style>
  <w:style w:type="table" w:styleId="LightShading-Accent5">
    <w:name w:val="Light Shading Accent 5"/>
    <w:basedOn w:val="TableNormal"/>
    <w:uiPriority w:val="60"/>
    <w:rsid w:val="00897FB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sid w:val="00897FB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1-Accent5">
    <w:name w:val="Medium Grid 1 Accent 5"/>
    <w:basedOn w:val="TableNormal"/>
    <w:uiPriority w:val="67"/>
    <w:rsid w:val="00897FB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5D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50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0737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B0737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2-Accent6">
    <w:name w:val="Medium Grid 2 Accent 6"/>
    <w:basedOn w:val="TableNormal"/>
    <w:uiPriority w:val="68"/>
    <w:rsid w:val="00B07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2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A"/>
    <w:rPr>
      <w:b/>
      <w:bCs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D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F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88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0270270270270272"/>
          <c:y val="5.0209205020920487E-2"/>
          <c:w val="0.89909909909911323"/>
          <c:h val="0.7029288702929006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showVal val="1"/>
          </c:dLbls>
          <c:cat>
            <c:strRef>
              <c:f>Sheet1!$B$1:$F$1</c:f>
              <c:strCache>
                <c:ptCount val="5"/>
                <c:pt idx="0">
                  <c:v>1999</c:v>
                </c:pt>
                <c:pt idx="1">
                  <c:v>2003</c:v>
                </c:pt>
                <c:pt idx="2">
                  <c:v>2007</c:v>
                </c:pt>
                <c:pt idx="3">
                  <c:v>2009-2008</c:v>
                </c:pt>
                <c:pt idx="4">
                  <c:v>2013-2011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 formatCode="0.0">
                  <c:v>5.9</c:v>
                </c:pt>
                <c:pt idx="1">
                  <c:v>4.5999999999999996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4.0999999999999996</c:v>
                </c:pt>
              </c:numCache>
            </c:numRef>
          </c:val>
        </c:ser>
        <c:dLbls>
          <c:showVal val="1"/>
        </c:dLbls>
        <c:axId val="99981952"/>
        <c:axId val="99984896"/>
      </c:barChart>
      <c:catAx>
        <c:axId val="99981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9189189189189958"/>
              <c:y val="0.89121338912131787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9984896"/>
        <c:crosses val="autoZero"/>
        <c:auto val="1"/>
        <c:lblAlgn val="ctr"/>
        <c:lblOffset val="100"/>
        <c:tickLblSkip val="1"/>
        <c:tickMarkSkip val="1"/>
      </c:catAx>
      <c:valAx>
        <c:axId val="99984896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Rate</a:t>
                </a:r>
              </a:p>
            </c:rich>
          </c:tx>
          <c:layout>
            <c:manualLayout>
              <c:xMode val="edge"/>
              <c:yMode val="edge"/>
              <c:x val="0"/>
              <c:y val="0.29707112970711297"/>
            </c:manualLayout>
          </c:layout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9981952"/>
        <c:crosses val="autoZero"/>
        <c:crossBetween val="between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8.4558823529415753E-2"/>
          <c:y val="9.4524670902626187E-2"/>
          <c:w val="0.91727941176470584"/>
          <c:h val="0.7127040201056006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5.2</c:v>
                </c:pt>
                <c:pt idx="1">
                  <c:v>4.9000000000000004</c:v>
                </c:pt>
                <c:pt idx="2" formatCode="#,##0.0">
                  <c:v>5.7</c:v>
                </c:pt>
              </c:numCache>
            </c:numRef>
          </c:val>
        </c:ser>
        <c:dLbls>
          <c:showVal val="1"/>
        </c:dLbls>
        <c:axId val="128496000"/>
        <c:axId val="129323008"/>
      </c:barChart>
      <c:catAx>
        <c:axId val="128496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Ragion</a:t>
                </a:r>
              </a:p>
            </c:rich>
          </c:tx>
          <c:layout>
            <c:manualLayout>
              <c:xMode val="edge"/>
              <c:yMode val="edge"/>
              <c:x val="0.48529411764705882"/>
              <c:y val="0.9116465863453816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29323008"/>
        <c:crosses val="autoZero"/>
        <c:auto val="1"/>
        <c:lblAlgn val="ctr"/>
        <c:lblOffset val="100"/>
        <c:tickLblSkip val="1"/>
        <c:tickMarkSkip val="1"/>
      </c:catAx>
      <c:valAx>
        <c:axId val="129323008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Average</a:t>
                </a:r>
              </a:p>
            </c:rich>
          </c:tx>
          <c:layout>
            <c:manualLayout>
              <c:xMode val="edge"/>
              <c:yMode val="edge"/>
              <c:x val="0"/>
              <c:y val="0.28514056224899598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28496000"/>
        <c:crosses val="autoZero"/>
        <c:crossBetween val="between"/>
        <c:majorUnit val="1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ayout>
        <c:manualLayout>
          <c:xMode val="edge"/>
          <c:yMode val="edge"/>
          <c:x val="0.25631105678577176"/>
          <c:y val="2.296456186219966E-2"/>
          <c:w val="0.35845588235295289"/>
          <c:h val="9.6385542168675245E-2"/>
        </c:manualLayout>
      </c:layout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9.7938144329897045E-2"/>
          <c:y val="5.1948051948051951E-2"/>
          <c:w val="0.89862542955326463"/>
          <c:h val="0.7575757575757693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Palestinians</c:v>
                </c:pt>
              </c:strCache>
            </c:strRef>
          </c:tx>
          <c:marker>
            <c:symbol val="diamond"/>
            <c:size val="9"/>
          </c:marker>
          <c:dLbls>
            <c:dLbl>
              <c:idx val="0"/>
              <c:layout>
                <c:manualLayout>
                  <c:x val="-2.4774774774774896E-2"/>
                  <c:y val="5.6603773584905662E-2"/>
                </c:manualLayout>
              </c:layout>
              <c:showVal val="1"/>
            </c:dLbl>
            <c:dLbl>
              <c:idx val="1"/>
              <c:layout>
                <c:manualLayout>
                  <c:x val="-2.7027027027027323E-2"/>
                  <c:y val="0.1069182389937107"/>
                </c:manualLayout>
              </c:layout>
              <c:showVal val="1"/>
            </c:dLbl>
            <c:dLbl>
              <c:idx val="2"/>
              <c:layout>
                <c:manualLayout>
                  <c:x val="-3.8288288288288286E-2"/>
                  <c:y val="9.4339622641509524E-2"/>
                </c:manualLayout>
              </c:layout>
              <c:showVal val="1"/>
            </c:dLbl>
            <c:dLbl>
              <c:idx val="3"/>
              <c:layout>
                <c:manualLayout>
                  <c:x val="-4.9549726892246924E-2"/>
                  <c:y val="-9.4339622641509524E-2"/>
                </c:manualLayout>
              </c:layout>
              <c:showVal val="1"/>
            </c:dLbl>
            <c:dLbl>
              <c:idx val="4"/>
              <c:layout>
                <c:manualLayout>
                  <c:x val="-3.6036036036036036E-2"/>
                  <c:y val="-9.4339622641509427E-2"/>
                </c:manualLayout>
              </c:layout>
              <c:showVal val="1"/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2020</c:v>
                </c:pt>
              </c:numCache>
            </c:numRef>
          </c:cat>
          <c:val>
            <c:numRef>
              <c:f>Sheet1!$B$2:$F$2</c:f>
              <c:numCache>
                <c:formatCode>0.00</c:formatCode>
                <c:ptCount val="5"/>
                <c:pt idx="0">
                  <c:v>5.4700000000000024</c:v>
                </c:pt>
                <c:pt idx="1">
                  <c:v>6.41</c:v>
                </c:pt>
                <c:pt idx="2">
                  <c:v>6.58</c:v>
                </c:pt>
                <c:pt idx="3">
                  <c:v>6.76</c:v>
                </c:pt>
                <c:pt idx="4">
                  <c:v>7.1199999999999966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Israelis</c:v>
                </c:pt>
              </c:strCache>
            </c:strRef>
          </c:tx>
          <c:dLbls>
            <c:dLbl>
              <c:idx val="0"/>
              <c:layout>
                <c:manualLayout>
                  <c:x val="-4.2792792792792834E-2"/>
                  <c:y val="-9.4339622641509427E-2"/>
                </c:manualLayout>
              </c:layout>
              <c:showVal val="1"/>
            </c:dLbl>
            <c:dLbl>
              <c:idx val="1"/>
              <c:layout>
                <c:manualLayout>
                  <c:x val="-6.3063063063063071E-2"/>
                  <c:y val="-8.8050314465408827E-2"/>
                </c:manualLayout>
              </c:layout>
              <c:showVal val="1"/>
            </c:dLbl>
            <c:dLbl>
              <c:idx val="2"/>
              <c:layout>
                <c:manualLayout>
                  <c:x val="-5.4054054054054092E-2"/>
                  <c:y val="-7.5471698113207544E-2"/>
                </c:manualLayout>
              </c:layout>
              <c:showVal val="1"/>
            </c:dLbl>
            <c:dLbl>
              <c:idx val="3"/>
              <c:layout>
                <c:manualLayout>
                  <c:x val="-5.6306306306306432E-2"/>
                  <c:y val="9.4339622641509524E-2"/>
                </c:manualLayout>
              </c:layout>
              <c:showVal val="1"/>
            </c:dLbl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2020</c:v>
                </c:pt>
              </c:numCache>
            </c:numRef>
          </c:cat>
          <c:val>
            <c:numRef>
              <c:f>Sheet1!$B$3:$F$3</c:f>
              <c:numCache>
                <c:formatCode>0.00</c:formatCode>
                <c:ptCount val="5"/>
                <c:pt idx="0">
                  <c:v>5.7</c:v>
                </c:pt>
                <c:pt idx="1">
                  <c:v>6.45</c:v>
                </c:pt>
                <c:pt idx="2">
                  <c:v>6.58</c:v>
                </c:pt>
                <c:pt idx="3">
                  <c:v>6.7</c:v>
                </c:pt>
                <c:pt idx="4">
                  <c:v>6.96</c:v>
                </c:pt>
              </c:numCache>
            </c:numRef>
          </c:val>
        </c:ser>
        <c:marker val="1"/>
        <c:axId val="139903360"/>
        <c:axId val="139905280"/>
      </c:lineChart>
      <c:catAx>
        <c:axId val="1399033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5360824742268041"/>
              <c:y val="0.90476190476189999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9905280"/>
        <c:crossesAt val="0.1"/>
        <c:auto val="1"/>
        <c:lblAlgn val="ctr"/>
        <c:lblOffset val="100"/>
        <c:tickLblSkip val="1"/>
        <c:tickMarkSkip val="1"/>
      </c:catAx>
      <c:valAx>
        <c:axId val="139905280"/>
        <c:scaling>
          <c:orientation val="minMax"/>
          <c:max val="8"/>
          <c:min val="5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 Population In Million</a:t>
                </a:r>
              </a:p>
            </c:rich>
          </c:tx>
          <c:layout>
            <c:manualLayout>
              <c:xMode val="edge"/>
              <c:yMode val="edge"/>
              <c:x val="1.3513513513513521E-2"/>
              <c:y val="0.12398900609121979"/>
            </c:manualLayout>
          </c:layout>
        </c:title>
        <c:numFmt formatCode="0.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39903360"/>
        <c:crosses val="autoZero"/>
        <c:crossBetween val="between"/>
        <c:majorUnit val="0.4"/>
        <c:minorUnit val="0.2"/>
      </c:valAx>
    </c:plotArea>
    <c:legend>
      <c:legendPos val="r"/>
      <c:layout>
        <c:manualLayout>
          <c:xMode val="edge"/>
          <c:yMode val="edge"/>
          <c:x val="0.1431224728665674"/>
          <c:y val="6.8393502698955111E-2"/>
          <c:w val="0.71003990210683265"/>
          <c:h val="9.3832245328308347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97F88-92C8-490E-B945-AB3DB02A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Palestinians at the end of 2010:</vt:lpstr>
    </vt:vector>
  </TitlesOfParts>
  <Company>pcbs</Company>
  <LinksUpToDate>false</LinksUpToDate>
  <CharactersWithSpaces>3464</CharactersWithSpaces>
  <SharedDoc>false</SharedDoc>
  <HLinks>
    <vt:vector size="12" baseType="variant">
      <vt:variant>
        <vt:i4>2424865</vt:i4>
      </vt:variant>
      <vt:variant>
        <vt:i4>15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12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Palestinians at the end of 2010:</dc:title>
  <dc:subject/>
  <dc:creator>Sufian Abu Harb</dc:creator>
  <cp:keywords/>
  <dc:description/>
  <cp:lastModifiedBy>HANA</cp:lastModifiedBy>
  <cp:revision>84</cp:revision>
  <cp:lastPrinted>2017-01-09T09:00:00Z</cp:lastPrinted>
  <dcterms:created xsi:type="dcterms:W3CDTF">2011-12-19T06:21:00Z</dcterms:created>
  <dcterms:modified xsi:type="dcterms:W3CDTF">2017-01-09T09:00:00Z</dcterms:modified>
</cp:coreProperties>
</file>