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F5" w:rsidRPr="00295FF5" w:rsidRDefault="00295FF5" w:rsidP="00295FF5">
      <w:pPr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295FF5">
        <w:rPr>
          <w:rFonts w:ascii="Times New Roman" w:hAnsi="Times New Roman"/>
          <w:i w:val="0"/>
          <w:iCs/>
          <w:sz w:val="32"/>
          <w:szCs w:val="32"/>
        </w:rPr>
        <w:t>Palestinian Central Bureau of Statistics (PCBS) and the Palestine</w:t>
      </w:r>
    </w:p>
    <w:p w:rsidR="00295FF5" w:rsidRDefault="00295FF5" w:rsidP="00295FF5">
      <w:pPr>
        <w:spacing w:line="480" w:lineRule="exact"/>
        <w:jc w:val="center"/>
        <w:rPr>
          <w:rFonts w:ascii="Times New Roman" w:hAnsi="Times New Roman"/>
          <w:sz w:val="32"/>
          <w:szCs w:val="32"/>
          <w:rtl/>
        </w:rPr>
      </w:pPr>
      <w:r w:rsidRPr="00295FF5">
        <w:rPr>
          <w:rFonts w:ascii="Times New Roman" w:hAnsi="Times New Roman"/>
          <w:i w:val="0"/>
          <w:iCs/>
          <w:sz w:val="32"/>
          <w:szCs w:val="32"/>
        </w:rPr>
        <w:t>Monetary Authority (PMA</w:t>
      </w:r>
      <w:r>
        <w:rPr>
          <w:rFonts w:ascii="Times New Roman" w:hAnsi="Times New Roman" w:hint="cs"/>
          <w:sz w:val="32"/>
          <w:szCs w:val="32"/>
          <w:rtl/>
        </w:rPr>
        <w:t>(</w:t>
      </w:r>
    </w:p>
    <w:p w:rsidR="00BF2A07" w:rsidRPr="00BF2A07" w:rsidRDefault="00BF2A07" w:rsidP="00BF2A07">
      <w:pPr>
        <w:jc w:val="center"/>
        <w:rPr>
          <w:rFonts w:ascii="Times New Roman" w:hAnsi="Times New Roman"/>
          <w:sz w:val="16"/>
          <w:szCs w:val="16"/>
          <w:rtl/>
        </w:rPr>
      </w:pPr>
    </w:p>
    <w:p w:rsidR="00295FF5" w:rsidRPr="00295FF5" w:rsidRDefault="0017537B" w:rsidP="00295FF5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C61873" w:rsidRPr="00295FF5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428</w:t>
      </w:r>
      <w:r w:rsidR="00835713"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 Million </w:t>
      </w:r>
      <w:r w:rsidR="00A36A82" w:rsidRPr="00295FF5">
        <w:rPr>
          <w:rFonts w:asciiTheme="majorBidi" w:hAnsiTheme="majorBidi" w:cstheme="majorBidi"/>
          <w:i w:val="0"/>
          <w:iCs/>
          <w:sz w:val="28"/>
          <w:szCs w:val="28"/>
        </w:rPr>
        <w:t>of</w:t>
      </w:r>
    </w:p>
    <w:p w:rsidR="00E50275" w:rsidRPr="00295FF5" w:rsidRDefault="00A36A82" w:rsidP="00295FF5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 the </w:t>
      </w:r>
      <w:r w:rsidR="00E50275"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B83B40" w:rsidRPr="00295FF5">
        <w:rPr>
          <w:rFonts w:asciiTheme="majorBidi" w:hAnsiTheme="majorBidi" w:cstheme="majorBidi"/>
          <w:i w:val="0"/>
          <w:iCs/>
          <w:sz w:val="28"/>
          <w:szCs w:val="28"/>
        </w:rPr>
        <w:t>First</w:t>
      </w:r>
      <w:r w:rsidR="00EF3090" w:rsidRPr="00295FF5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295FF5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B83B40" w:rsidRPr="00295FF5">
        <w:rPr>
          <w:rFonts w:asciiTheme="majorBidi" w:hAnsiTheme="majorBidi" w:cstheme="majorBidi"/>
          <w:i w:val="0"/>
          <w:iCs/>
          <w:sz w:val="28"/>
          <w:szCs w:val="28"/>
        </w:rPr>
        <w:t>2021</w:t>
      </w:r>
      <w:r w:rsidR="002168F8" w:rsidRPr="00295FF5">
        <w:rPr>
          <w:rFonts w:asciiTheme="majorBidi" w:hAnsiTheme="majorBidi" w:cstheme="majorBidi"/>
          <w:i w:val="0"/>
          <w:iCs/>
          <w:sz w:val="28"/>
          <w:szCs w:val="28"/>
          <w:rtl/>
        </w:rPr>
        <w:tab/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295FF5" w:rsidRDefault="00D8421E" w:rsidP="00B83FB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5FF5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B83B40" w:rsidRPr="00295FF5">
        <w:rPr>
          <w:rFonts w:asciiTheme="majorBidi" w:hAnsiTheme="majorBidi" w:cstheme="majorBidi"/>
          <w:sz w:val="26"/>
          <w:szCs w:val="26"/>
        </w:rPr>
        <w:t>first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Pr="00295FF5">
        <w:rPr>
          <w:rFonts w:asciiTheme="majorBidi" w:hAnsiTheme="majorBidi" w:cstheme="majorBidi"/>
          <w:sz w:val="26"/>
          <w:szCs w:val="26"/>
        </w:rPr>
        <w:t xml:space="preserve">quarter of </w:t>
      </w:r>
      <w:r w:rsidR="00B83B40" w:rsidRPr="00295FF5">
        <w:rPr>
          <w:rFonts w:asciiTheme="majorBidi" w:hAnsiTheme="majorBidi" w:cstheme="majorBidi"/>
          <w:sz w:val="26"/>
          <w:szCs w:val="26"/>
        </w:rPr>
        <w:t>2021</w:t>
      </w:r>
      <w:r w:rsidRPr="00295FF5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295FF5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295FF5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295FF5">
        <w:rPr>
          <w:rFonts w:asciiTheme="majorBidi" w:hAnsiTheme="majorBidi" w:cstheme="majorBidi"/>
          <w:sz w:val="26"/>
          <w:szCs w:val="26"/>
        </w:rPr>
        <w:t>those</w:t>
      </w:r>
      <w:r w:rsidR="007E6926" w:rsidRPr="00295FF5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295FF5">
        <w:rPr>
          <w:rFonts w:asciiTheme="majorBidi" w:hAnsiTheme="majorBidi" w:cstheme="majorBidi"/>
          <w:sz w:val="26"/>
          <w:szCs w:val="26"/>
        </w:rPr>
        <w:t>s</w:t>
      </w:r>
      <w:r w:rsidR="007E6926" w:rsidRPr="00295FF5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295FF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295FF5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295FF5">
        <w:rPr>
          <w:rFonts w:asciiTheme="majorBidi" w:hAnsiTheme="majorBidi" w:cstheme="majorBidi"/>
          <w:sz w:val="26"/>
          <w:szCs w:val="26"/>
        </w:rPr>
        <w:t>were</w:t>
      </w:r>
      <w:r w:rsidR="007E6926" w:rsidRPr="00295FF5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295FF5">
        <w:rPr>
          <w:rFonts w:asciiTheme="majorBidi" w:hAnsiTheme="majorBidi" w:cstheme="majorBidi"/>
          <w:sz w:val="26"/>
          <w:szCs w:val="26"/>
        </w:rPr>
        <w:t>i</w:t>
      </w:r>
      <w:r w:rsidR="007E6926" w:rsidRPr="00295FF5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295FF5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295FF5" w:rsidRDefault="00817F99" w:rsidP="006B3F1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295FF5">
        <w:rPr>
          <w:rFonts w:asciiTheme="majorBidi" w:hAnsiTheme="majorBidi" w:cstheme="majorBidi"/>
          <w:b/>
          <w:bCs/>
          <w:sz w:val="26"/>
          <w:szCs w:val="26"/>
          <w:lang w:val="en-GB"/>
        </w:rPr>
        <w:t>The deficit in trade balance of goods is the main reason for the current account deficit</w:t>
      </w:r>
    </w:p>
    <w:p w:rsidR="004D1601" w:rsidRPr="00295FF5" w:rsidRDefault="003E65F8" w:rsidP="009A741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5FF5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295FF5">
        <w:rPr>
          <w:rFonts w:asciiTheme="majorBidi" w:hAnsiTheme="majorBidi" w:cstheme="majorBidi"/>
          <w:sz w:val="26"/>
          <w:szCs w:val="26"/>
        </w:rPr>
        <w:t>in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295FF5">
        <w:rPr>
          <w:rFonts w:asciiTheme="majorBidi" w:hAnsiTheme="majorBidi" w:cstheme="majorBidi"/>
          <w:sz w:val="26"/>
          <w:szCs w:val="26"/>
        </w:rPr>
        <w:t>g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295FF5">
        <w:rPr>
          <w:rFonts w:asciiTheme="majorBidi" w:hAnsiTheme="majorBidi" w:cstheme="majorBidi"/>
          <w:sz w:val="26"/>
          <w:szCs w:val="26"/>
        </w:rPr>
        <w:t>s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295FF5">
        <w:rPr>
          <w:rFonts w:asciiTheme="majorBidi" w:hAnsiTheme="majorBidi" w:cstheme="majorBidi"/>
          <w:sz w:val="26"/>
          <w:szCs w:val="26"/>
        </w:rPr>
        <w:t>i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295FF5">
        <w:rPr>
          <w:rFonts w:asciiTheme="majorBidi" w:hAnsiTheme="majorBidi" w:cstheme="majorBidi"/>
          <w:sz w:val="26"/>
          <w:szCs w:val="26"/>
        </w:rPr>
        <w:t>c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295FF5">
        <w:rPr>
          <w:rFonts w:asciiTheme="majorBidi" w:hAnsiTheme="majorBidi" w:cstheme="majorBidi"/>
          <w:sz w:val="26"/>
          <w:szCs w:val="26"/>
        </w:rPr>
        <w:t>t</w:t>
      </w:r>
      <w:r w:rsidR="00EE02A9" w:rsidRPr="00295FF5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295FF5">
        <w:rPr>
          <w:rFonts w:asciiTheme="majorBidi" w:hAnsiTheme="majorBidi" w:cstheme="majorBidi"/>
          <w:sz w:val="26"/>
          <w:szCs w:val="26"/>
        </w:rPr>
        <w:t>totaled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USD </w:t>
      </w:r>
      <w:r w:rsidR="00C61873" w:rsidRPr="00295FF5">
        <w:rPr>
          <w:rFonts w:asciiTheme="majorBidi" w:hAnsiTheme="majorBidi" w:cstheme="majorBidi"/>
          <w:sz w:val="26"/>
          <w:szCs w:val="26"/>
        </w:rPr>
        <w:t>428</w:t>
      </w:r>
      <w:r w:rsidR="00817F99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million</w:t>
      </w:r>
      <w:r w:rsidR="006419A4" w:rsidRPr="00295FF5">
        <w:rPr>
          <w:rFonts w:asciiTheme="majorBidi" w:hAnsiTheme="majorBidi" w:cstheme="majorBidi"/>
          <w:sz w:val="26"/>
          <w:szCs w:val="26"/>
        </w:rPr>
        <w:t>.</w:t>
      </w:r>
      <w:r w:rsidR="00ED79EC" w:rsidRPr="00295FF5">
        <w:rPr>
          <w:rFonts w:asciiTheme="majorBidi" w:hAnsiTheme="majorBidi" w:cstheme="majorBidi"/>
          <w:sz w:val="26"/>
          <w:szCs w:val="26"/>
        </w:rPr>
        <w:t xml:space="preserve">  </w:t>
      </w:r>
      <w:r w:rsidR="006419A4" w:rsidRPr="00295FF5">
        <w:rPr>
          <w:rFonts w:asciiTheme="majorBidi" w:hAnsiTheme="majorBidi" w:cstheme="majorBidi"/>
          <w:bCs/>
          <w:iCs/>
          <w:sz w:val="26"/>
          <w:szCs w:val="26"/>
        </w:rPr>
        <w:t>This deficit in current account</w:t>
      </w:r>
      <w:r w:rsidR="00EF3090" w:rsidRPr="00295FF5">
        <w:rPr>
          <w:rFonts w:asciiTheme="majorBidi" w:hAnsiTheme="majorBidi" w:cstheme="majorBidi" w:hint="cs"/>
          <w:bCs/>
          <w:iCs/>
          <w:sz w:val="26"/>
          <w:szCs w:val="26"/>
          <w:rtl/>
        </w:rPr>
        <w:t xml:space="preserve">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mainly triggered </w:t>
      </w:r>
      <w:r w:rsidR="005B47E8" w:rsidRPr="00295FF5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295FF5">
        <w:rPr>
          <w:rFonts w:asciiTheme="majorBidi" w:hAnsiTheme="majorBidi" w:cstheme="majorBidi"/>
          <w:sz w:val="26"/>
          <w:szCs w:val="26"/>
        </w:rPr>
        <w:t>d</w:t>
      </w:r>
      <w:r w:rsidR="0009408F" w:rsidRPr="00295FF5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295FF5">
        <w:rPr>
          <w:rFonts w:asciiTheme="majorBidi" w:hAnsiTheme="majorBidi" w:cstheme="majorBidi"/>
          <w:sz w:val="26"/>
          <w:szCs w:val="26"/>
        </w:rPr>
        <w:t>of</w:t>
      </w:r>
      <w:r w:rsidR="0009408F" w:rsidRPr="00295FF5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295FF5">
        <w:rPr>
          <w:rFonts w:asciiTheme="majorBidi" w:hAnsiTheme="majorBidi" w:cstheme="majorBidi"/>
          <w:sz w:val="26"/>
          <w:szCs w:val="26"/>
        </w:rPr>
        <w:t>oods</w:t>
      </w:r>
      <w:r w:rsidR="00E16D50" w:rsidRPr="00295FF5">
        <w:rPr>
          <w:rFonts w:asciiTheme="majorBidi" w:hAnsiTheme="majorBidi" w:cstheme="majorBidi"/>
          <w:sz w:val="26"/>
          <w:szCs w:val="26"/>
        </w:rPr>
        <w:t>,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295FF5">
        <w:rPr>
          <w:rFonts w:asciiTheme="majorBidi" w:hAnsiTheme="majorBidi" w:cstheme="majorBidi"/>
          <w:sz w:val="26"/>
          <w:szCs w:val="26"/>
        </w:rPr>
        <w:t>USD</w:t>
      </w:r>
      <w:r w:rsidR="00E74CB6" w:rsidRPr="00295FF5">
        <w:rPr>
          <w:rFonts w:asciiTheme="majorBidi" w:hAnsiTheme="majorBidi" w:cstheme="majorBidi"/>
          <w:sz w:val="26"/>
          <w:szCs w:val="26"/>
        </w:rPr>
        <w:t xml:space="preserve"> 1,</w:t>
      </w:r>
      <w:r w:rsidR="00E71FB5" w:rsidRPr="00295FF5">
        <w:rPr>
          <w:rFonts w:asciiTheme="majorBidi" w:hAnsiTheme="majorBidi" w:cstheme="majorBidi"/>
          <w:sz w:val="26"/>
          <w:szCs w:val="26"/>
        </w:rPr>
        <w:t>363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295FF5">
        <w:rPr>
          <w:rFonts w:asciiTheme="majorBidi" w:hAnsiTheme="majorBidi" w:cstheme="majorBidi"/>
          <w:sz w:val="26"/>
          <w:szCs w:val="26"/>
        </w:rPr>
        <w:t>,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295FF5">
        <w:rPr>
          <w:rFonts w:asciiTheme="majorBidi" w:hAnsiTheme="majorBidi" w:cstheme="majorBidi"/>
          <w:sz w:val="26"/>
          <w:szCs w:val="26"/>
        </w:rPr>
        <w:t>a</w:t>
      </w:r>
      <w:r w:rsidR="005B47E8" w:rsidRPr="00295FF5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295FF5">
        <w:rPr>
          <w:rFonts w:asciiTheme="majorBidi" w:hAnsiTheme="majorBidi" w:cstheme="majorBidi"/>
          <w:sz w:val="26"/>
          <w:szCs w:val="26"/>
        </w:rPr>
        <w:t>deficit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295FF5">
        <w:rPr>
          <w:rFonts w:asciiTheme="majorBidi" w:hAnsiTheme="majorBidi" w:cstheme="majorBidi"/>
          <w:sz w:val="26"/>
          <w:szCs w:val="26"/>
        </w:rPr>
        <w:t>,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295FF5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295FF5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9A7419" w:rsidRPr="00295FF5">
        <w:rPr>
          <w:rFonts w:asciiTheme="majorBidi" w:hAnsiTheme="majorBidi" w:cstheme="majorBidi" w:hint="cs"/>
          <w:sz w:val="26"/>
          <w:szCs w:val="26"/>
          <w:rtl/>
        </w:rPr>
        <w:t>237</w:t>
      </w:r>
      <w:r w:rsidR="00ED79E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295FF5">
        <w:rPr>
          <w:rFonts w:asciiTheme="majorBidi" w:hAnsiTheme="majorBidi" w:cstheme="majorBidi"/>
          <w:sz w:val="26"/>
          <w:szCs w:val="26"/>
        </w:rPr>
        <w:t>million</w:t>
      </w:r>
      <w:r w:rsidR="00122B0F" w:rsidRPr="00295FF5">
        <w:rPr>
          <w:rFonts w:asciiTheme="majorBidi" w:hAnsiTheme="majorBidi" w:cstheme="majorBidi"/>
          <w:sz w:val="26"/>
          <w:szCs w:val="26"/>
        </w:rPr>
        <w:t>.</w:t>
      </w:r>
    </w:p>
    <w:p w:rsidR="00835713" w:rsidRPr="00295FF5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295FF5" w:rsidRDefault="005302EF" w:rsidP="00C62E2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95FF5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295FF5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295FF5">
        <w:rPr>
          <w:rFonts w:asciiTheme="majorBidi" w:hAnsiTheme="majorBidi" w:cstheme="majorBidi"/>
          <w:b/>
          <w:bCs/>
          <w:sz w:val="26"/>
          <w:szCs w:val="26"/>
        </w:rPr>
        <w:t xml:space="preserve"> the main reason for the income account surplus</w:t>
      </w:r>
    </w:p>
    <w:p w:rsidR="007440AA" w:rsidRPr="00295FF5" w:rsidRDefault="00710F52" w:rsidP="00C6187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295FF5">
        <w:rPr>
          <w:rFonts w:asciiTheme="majorBidi" w:hAnsiTheme="majorBidi" w:cstheme="majorBidi"/>
          <w:sz w:val="26"/>
          <w:szCs w:val="26"/>
        </w:rPr>
        <w:t>T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295FF5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295FF5">
        <w:rPr>
          <w:rFonts w:asciiTheme="majorBidi" w:hAnsiTheme="majorBidi" w:cstheme="majorBidi"/>
          <w:sz w:val="26"/>
          <w:szCs w:val="26"/>
        </w:rPr>
        <w:t>I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295FF5">
        <w:rPr>
          <w:rFonts w:asciiTheme="majorBidi" w:hAnsiTheme="majorBidi" w:cstheme="majorBidi"/>
          <w:sz w:val="26"/>
          <w:szCs w:val="26"/>
        </w:rPr>
        <w:t>A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295FF5">
        <w:rPr>
          <w:rFonts w:asciiTheme="majorBidi" w:hAnsiTheme="majorBidi" w:cstheme="majorBidi"/>
          <w:sz w:val="26"/>
          <w:szCs w:val="26"/>
        </w:rPr>
        <w:t>amount</w:t>
      </w:r>
      <w:r w:rsidR="00BA47E0" w:rsidRPr="00295FF5">
        <w:rPr>
          <w:rFonts w:asciiTheme="majorBidi" w:hAnsiTheme="majorBidi" w:cstheme="majorBidi"/>
          <w:sz w:val="26"/>
          <w:szCs w:val="26"/>
        </w:rPr>
        <w:t>ed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295FF5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295FF5">
        <w:rPr>
          <w:rFonts w:asciiTheme="majorBidi" w:hAnsiTheme="majorBidi" w:cstheme="majorBidi"/>
          <w:sz w:val="26"/>
          <w:szCs w:val="26"/>
        </w:rPr>
        <w:t>USD</w:t>
      </w:r>
      <w:r w:rsidR="00F747ED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61873" w:rsidRPr="00295FF5">
        <w:rPr>
          <w:rFonts w:asciiTheme="majorBidi" w:hAnsiTheme="majorBidi" w:cstheme="majorBidi"/>
          <w:sz w:val="26"/>
          <w:szCs w:val="26"/>
        </w:rPr>
        <w:t>750</w:t>
      </w:r>
      <w:r w:rsidR="00F747ED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million</w:t>
      </w:r>
      <w:r w:rsidR="00E16D50" w:rsidRPr="00295FF5">
        <w:rPr>
          <w:rFonts w:asciiTheme="majorBidi" w:hAnsiTheme="majorBidi" w:cstheme="majorBidi"/>
          <w:sz w:val="26"/>
          <w:szCs w:val="26"/>
        </w:rPr>
        <w:t>.</w:t>
      </w:r>
      <w:r w:rsidR="00F747ED" w:rsidRPr="00295FF5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295FF5">
        <w:rPr>
          <w:rFonts w:asciiTheme="majorBidi" w:hAnsiTheme="majorBidi" w:cstheme="majorBidi"/>
          <w:sz w:val="26"/>
          <w:szCs w:val="26"/>
        </w:rPr>
        <w:t>This</w:t>
      </w:r>
      <w:r w:rsidR="00EA4DBD" w:rsidRPr="00295FF5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295FF5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295FF5">
        <w:rPr>
          <w:rFonts w:asciiTheme="majorBidi" w:hAnsiTheme="majorBidi" w:cstheme="majorBidi"/>
          <w:sz w:val="26"/>
          <w:szCs w:val="26"/>
        </w:rPr>
        <w:t>e</w:t>
      </w:r>
      <w:r w:rsidR="006239FE" w:rsidRPr="00295FF5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295FF5">
        <w:rPr>
          <w:rFonts w:asciiTheme="majorBidi" w:hAnsiTheme="majorBidi" w:cstheme="majorBidi"/>
          <w:sz w:val="26"/>
          <w:szCs w:val="26"/>
        </w:rPr>
        <w:t>,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295FF5">
        <w:rPr>
          <w:rFonts w:asciiTheme="majorBidi" w:hAnsiTheme="majorBidi" w:cstheme="majorBidi"/>
          <w:sz w:val="26"/>
          <w:szCs w:val="26"/>
        </w:rPr>
        <w:t>which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reached USD </w:t>
      </w:r>
      <w:r w:rsidR="00C61873" w:rsidRPr="00295FF5">
        <w:rPr>
          <w:rFonts w:asciiTheme="majorBidi" w:hAnsiTheme="majorBidi" w:cstheme="majorBidi"/>
          <w:sz w:val="26"/>
          <w:szCs w:val="26"/>
        </w:rPr>
        <w:t>707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million. 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295FF5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295FF5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E71FB5" w:rsidRPr="00295FF5">
        <w:rPr>
          <w:rFonts w:asciiTheme="majorBidi" w:hAnsiTheme="majorBidi" w:cstheme="majorBidi"/>
          <w:sz w:val="26"/>
          <w:szCs w:val="26"/>
        </w:rPr>
        <w:t>83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295FF5">
        <w:rPr>
          <w:rFonts w:asciiTheme="majorBidi" w:hAnsiTheme="majorBidi" w:cstheme="majorBidi"/>
          <w:sz w:val="26"/>
          <w:szCs w:val="26"/>
        </w:rPr>
        <w:t>;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295FF5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295FF5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295FF5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295FF5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295FF5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295FF5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295FF5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295FF5" w:rsidRDefault="005302EF" w:rsidP="00C62E2F">
      <w:pPr>
        <w:pStyle w:val="BodyText"/>
        <w:bidi w:val="0"/>
        <w:spacing w:after="12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295FF5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295FF5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295FF5">
        <w:rPr>
          <w:rFonts w:asciiTheme="majorBidi" w:hAnsiTheme="majorBidi" w:cstheme="majorBidi"/>
          <w:b/>
          <w:iCs/>
          <w:sz w:val="26"/>
          <w:szCs w:val="26"/>
        </w:rPr>
        <w:t xml:space="preserve"> the main reason for the current transfers surplus</w:t>
      </w:r>
    </w:p>
    <w:p w:rsidR="004D1601" w:rsidRPr="00295FF5" w:rsidRDefault="00710F52" w:rsidP="00C6187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5FF5">
        <w:rPr>
          <w:rFonts w:asciiTheme="majorBidi" w:hAnsiTheme="majorBidi" w:cstheme="majorBidi"/>
          <w:sz w:val="26"/>
          <w:szCs w:val="26"/>
        </w:rPr>
        <w:t>T</w:t>
      </w:r>
      <w:r w:rsidR="006239FE" w:rsidRPr="00295FF5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295FF5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295FF5">
        <w:rPr>
          <w:rFonts w:asciiTheme="majorBidi" w:hAnsiTheme="majorBidi" w:cstheme="majorBidi"/>
          <w:sz w:val="26"/>
          <w:szCs w:val="26"/>
        </w:rPr>
        <w:t>ed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to USD</w:t>
      </w:r>
      <w:r w:rsidR="001B23A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61873" w:rsidRPr="00295FF5">
        <w:rPr>
          <w:rFonts w:asciiTheme="majorBidi" w:hAnsiTheme="majorBidi" w:cstheme="majorBidi"/>
          <w:sz w:val="26"/>
          <w:szCs w:val="26"/>
        </w:rPr>
        <w:t>422</w:t>
      </w:r>
      <w:r w:rsidR="001B23A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295FF5">
        <w:rPr>
          <w:rFonts w:asciiTheme="majorBidi" w:hAnsiTheme="majorBidi" w:cstheme="majorBidi"/>
          <w:sz w:val="26"/>
          <w:szCs w:val="26"/>
        </w:rPr>
        <w:t>million with a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E71FB5" w:rsidRPr="00295FF5">
        <w:rPr>
          <w:rFonts w:asciiTheme="majorBidi" w:hAnsiTheme="majorBidi" w:cstheme="majorBidi"/>
          <w:sz w:val="26"/>
          <w:szCs w:val="26"/>
        </w:rPr>
        <w:t>de</w:t>
      </w:r>
      <w:r w:rsidR="006239FE" w:rsidRPr="00295FF5">
        <w:rPr>
          <w:rFonts w:asciiTheme="majorBidi" w:hAnsiTheme="majorBidi" w:cstheme="majorBidi"/>
          <w:sz w:val="26"/>
          <w:szCs w:val="26"/>
        </w:rPr>
        <w:t>crease of</w:t>
      </w:r>
      <w:r w:rsidR="001B23A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61873" w:rsidRPr="00295FF5">
        <w:rPr>
          <w:rFonts w:asciiTheme="majorBidi" w:hAnsiTheme="majorBidi" w:cstheme="majorBidi"/>
          <w:sz w:val="26"/>
          <w:szCs w:val="26"/>
        </w:rPr>
        <w:t>10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% compared </w:t>
      </w:r>
      <w:r w:rsidR="003F2C98" w:rsidRPr="00295FF5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295FF5">
        <w:rPr>
          <w:rFonts w:asciiTheme="majorBidi" w:hAnsiTheme="majorBidi" w:cstheme="majorBidi"/>
          <w:sz w:val="26"/>
          <w:szCs w:val="26"/>
        </w:rPr>
        <w:t>the previous quarter</w:t>
      </w:r>
      <w:r w:rsidR="00382E41" w:rsidRPr="00295FF5">
        <w:rPr>
          <w:rFonts w:asciiTheme="majorBidi" w:hAnsiTheme="majorBidi" w:cstheme="majorBidi"/>
          <w:sz w:val="26"/>
          <w:szCs w:val="26"/>
        </w:rPr>
        <w:t>.</w:t>
      </w:r>
      <w:r w:rsidR="00886ABF" w:rsidRPr="00295FF5">
        <w:rPr>
          <w:rFonts w:asciiTheme="majorBidi" w:hAnsiTheme="majorBidi" w:cstheme="majorBidi"/>
          <w:sz w:val="26"/>
          <w:szCs w:val="26"/>
        </w:rPr>
        <w:t xml:space="preserve"> The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886ABF" w:rsidRPr="00295FF5">
        <w:rPr>
          <w:rFonts w:asciiTheme="majorBidi" w:hAnsiTheme="majorBidi" w:cstheme="majorBidi"/>
          <w:sz w:val="26"/>
          <w:szCs w:val="26"/>
        </w:rPr>
        <w:t xml:space="preserve">total transfers from abroad amounted </w:t>
      </w:r>
      <w:r w:rsidR="00A378CF" w:rsidRPr="00295FF5">
        <w:rPr>
          <w:rFonts w:asciiTheme="majorBidi" w:hAnsiTheme="majorBidi" w:cstheme="majorBidi"/>
          <w:sz w:val="26"/>
          <w:szCs w:val="26"/>
        </w:rPr>
        <w:t xml:space="preserve">to </w:t>
      </w:r>
      <w:r w:rsidR="00886ABF" w:rsidRPr="00295FF5">
        <w:rPr>
          <w:rFonts w:asciiTheme="majorBidi" w:hAnsiTheme="majorBidi" w:cstheme="majorBidi"/>
          <w:sz w:val="26"/>
          <w:szCs w:val="26"/>
        </w:rPr>
        <w:t xml:space="preserve">USD </w:t>
      </w:r>
      <w:r w:rsidR="00C61873" w:rsidRPr="00295FF5">
        <w:rPr>
          <w:rFonts w:asciiTheme="majorBidi" w:hAnsiTheme="majorBidi" w:cstheme="majorBidi"/>
          <w:sz w:val="26"/>
          <w:szCs w:val="26"/>
        </w:rPr>
        <w:t>503</w:t>
      </w:r>
      <w:r w:rsidR="00886ABF" w:rsidRPr="00295FF5">
        <w:rPr>
          <w:rFonts w:asciiTheme="majorBidi" w:hAnsiTheme="majorBidi" w:cstheme="majorBidi"/>
          <w:sz w:val="26"/>
          <w:szCs w:val="26"/>
        </w:rPr>
        <w:t xml:space="preserve"> million, of which </w:t>
      </w:r>
      <w:r w:rsidR="00C61873" w:rsidRPr="00295FF5">
        <w:rPr>
          <w:rFonts w:asciiTheme="majorBidi" w:hAnsiTheme="majorBidi" w:cstheme="majorBidi"/>
          <w:sz w:val="26"/>
          <w:szCs w:val="26"/>
        </w:rPr>
        <w:t>10</w:t>
      </w:r>
      <w:r w:rsidR="00886ABF" w:rsidRPr="00295FF5">
        <w:rPr>
          <w:rFonts w:asciiTheme="majorBidi" w:hAnsiTheme="majorBidi" w:cstheme="majorBidi"/>
          <w:sz w:val="26"/>
          <w:szCs w:val="26"/>
        </w:rPr>
        <w:t xml:space="preserve">% </w:t>
      </w:r>
      <w:r w:rsidR="00A378CF" w:rsidRPr="00295FF5">
        <w:rPr>
          <w:rFonts w:asciiTheme="majorBidi" w:hAnsiTheme="majorBidi" w:cstheme="majorBidi"/>
          <w:sz w:val="26"/>
          <w:szCs w:val="26"/>
        </w:rPr>
        <w:t xml:space="preserve">were </w:t>
      </w:r>
      <w:r w:rsidR="00886ABF" w:rsidRPr="00295FF5">
        <w:rPr>
          <w:rFonts w:asciiTheme="majorBidi" w:hAnsiTheme="majorBidi" w:cstheme="majorBidi"/>
          <w:sz w:val="26"/>
          <w:szCs w:val="26"/>
        </w:rPr>
        <w:t>t</w:t>
      </w:r>
      <w:r w:rsidR="001B7265" w:rsidRPr="00295FF5">
        <w:rPr>
          <w:rFonts w:asciiTheme="majorBidi" w:hAnsiTheme="majorBidi" w:cstheme="majorBidi"/>
          <w:sz w:val="26"/>
          <w:szCs w:val="26"/>
        </w:rPr>
        <w:t>he transfers</w:t>
      </w:r>
      <w:r w:rsidR="007673B4" w:rsidRPr="00295FF5">
        <w:rPr>
          <w:rFonts w:asciiTheme="majorBidi" w:hAnsiTheme="majorBidi" w:cstheme="majorBidi"/>
          <w:sz w:val="26"/>
          <w:szCs w:val="26"/>
        </w:rPr>
        <w:t xml:space="preserve"> to</w:t>
      </w:r>
      <w:r w:rsidR="001B7265" w:rsidRPr="00295FF5">
        <w:rPr>
          <w:rFonts w:asciiTheme="majorBidi" w:hAnsiTheme="majorBidi" w:cstheme="majorBidi"/>
          <w:sz w:val="26"/>
          <w:szCs w:val="26"/>
        </w:rPr>
        <w:t xml:space="preserve"> the government sector</w:t>
      </w:r>
      <w:r w:rsidR="006D6EEF" w:rsidRPr="00295FF5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295FF5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295FF5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295FF5">
        <w:rPr>
          <w:rFonts w:asciiTheme="majorBidi" w:hAnsiTheme="majorBidi" w:cstheme="majorBidi"/>
          <w:sz w:val="26"/>
          <w:szCs w:val="26"/>
        </w:rPr>
        <w:t>reached</w:t>
      </w:r>
      <w:r w:rsidR="001B23AC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61873" w:rsidRPr="00295FF5">
        <w:rPr>
          <w:rFonts w:asciiTheme="majorBidi" w:hAnsiTheme="majorBidi" w:cstheme="majorBidi"/>
          <w:sz w:val="26"/>
          <w:szCs w:val="26"/>
        </w:rPr>
        <w:t>90</w:t>
      </w:r>
      <w:r w:rsidR="0068736E" w:rsidRPr="00295FF5">
        <w:rPr>
          <w:rFonts w:asciiTheme="majorBidi" w:hAnsiTheme="majorBidi" w:cstheme="majorBidi"/>
          <w:sz w:val="26"/>
          <w:szCs w:val="26"/>
        </w:rPr>
        <w:t>%.  T</w:t>
      </w:r>
      <w:r w:rsidR="006239FE" w:rsidRPr="00295FF5">
        <w:rPr>
          <w:rFonts w:asciiTheme="majorBidi" w:hAnsiTheme="majorBidi" w:cstheme="majorBidi"/>
          <w:sz w:val="26"/>
          <w:szCs w:val="26"/>
        </w:rPr>
        <w:t>he donors</w:t>
      </w:r>
      <w:r w:rsidR="00E16D50" w:rsidRPr="00295FF5">
        <w:rPr>
          <w:rFonts w:asciiTheme="majorBidi" w:hAnsiTheme="majorBidi" w:cstheme="majorBidi"/>
          <w:sz w:val="26"/>
          <w:szCs w:val="26"/>
        </w:rPr>
        <w:t>’</w:t>
      </w:r>
      <w:r w:rsidR="0017537B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constituted </w:t>
      </w:r>
      <w:r w:rsidR="00C61873" w:rsidRPr="00295FF5">
        <w:rPr>
          <w:rFonts w:asciiTheme="majorBidi" w:hAnsiTheme="majorBidi" w:cstheme="majorBidi"/>
          <w:sz w:val="26"/>
          <w:szCs w:val="26"/>
        </w:rPr>
        <w:t>7</w:t>
      </w:r>
      <w:r w:rsidR="006239FE" w:rsidRPr="00295FF5">
        <w:rPr>
          <w:rFonts w:asciiTheme="majorBidi" w:hAnsiTheme="majorBidi" w:cstheme="majorBidi"/>
          <w:sz w:val="26"/>
          <w:szCs w:val="26"/>
        </w:rPr>
        <w:t>% of total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295FF5">
        <w:rPr>
          <w:rFonts w:asciiTheme="majorBidi" w:hAnsiTheme="majorBidi" w:cstheme="majorBidi"/>
          <w:sz w:val="26"/>
          <w:szCs w:val="26"/>
        </w:rPr>
        <w:t>transfers</w:t>
      </w:r>
      <w:r w:rsidR="00161954" w:rsidRPr="00295FF5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295FF5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295FF5" w:rsidRDefault="00E007BE" w:rsidP="00C6187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5FF5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295FF5">
        <w:rPr>
          <w:rFonts w:asciiTheme="majorBidi" w:hAnsiTheme="majorBidi" w:cstheme="majorBidi"/>
          <w:sz w:val="26"/>
          <w:szCs w:val="26"/>
        </w:rPr>
        <w:t>preliminary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Pr="00295FF5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295FF5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295FF5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295FF5">
        <w:rPr>
          <w:rFonts w:asciiTheme="majorBidi" w:hAnsiTheme="majorBidi" w:cstheme="majorBidi"/>
          <w:sz w:val="26"/>
          <w:szCs w:val="26"/>
        </w:rPr>
        <w:t>ed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to USD </w:t>
      </w:r>
      <w:r w:rsidR="00C61873" w:rsidRPr="00295FF5">
        <w:rPr>
          <w:rFonts w:asciiTheme="majorBidi" w:hAnsiTheme="majorBidi" w:cstheme="majorBidi"/>
          <w:sz w:val="26"/>
          <w:szCs w:val="26"/>
        </w:rPr>
        <w:t>444</w:t>
      </w:r>
      <w:r w:rsidR="00024CA3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million</w:t>
      </w:r>
      <w:r w:rsidR="0017537B" w:rsidRPr="00295FF5">
        <w:rPr>
          <w:rFonts w:asciiTheme="majorBidi" w:hAnsiTheme="majorBidi" w:cstheme="majorBidi"/>
          <w:sz w:val="26"/>
          <w:szCs w:val="26"/>
        </w:rPr>
        <w:t>,</w:t>
      </w:r>
      <w:r w:rsidR="00024CA3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295FF5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CF4A51" w:rsidRPr="00295FF5">
        <w:rPr>
          <w:rFonts w:asciiTheme="majorBidi" w:hAnsiTheme="majorBidi" w:cstheme="majorBidi"/>
          <w:sz w:val="26"/>
          <w:szCs w:val="26"/>
        </w:rPr>
        <w:t>Financial</w:t>
      </w:r>
      <w:r w:rsidR="00F17FD5" w:rsidRPr="00295FF5">
        <w:rPr>
          <w:rFonts w:asciiTheme="majorBidi" w:hAnsiTheme="majorBidi" w:cstheme="majorBidi"/>
          <w:sz w:val="26"/>
          <w:szCs w:val="26"/>
        </w:rPr>
        <w:t xml:space="preserve"> Account which amounted to USD </w:t>
      </w:r>
      <w:r w:rsidR="00C61873" w:rsidRPr="00295FF5">
        <w:rPr>
          <w:rFonts w:asciiTheme="majorBidi" w:hAnsiTheme="majorBidi" w:cstheme="majorBidi"/>
          <w:sz w:val="26"/>
          <w:szCs w:val="26"/>
        </w:rPr>
        <w:t>369</w:t>
      </w:r>
      <w:r w:rsidR="00F17FD5" w:rsidRPr="00295FF5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295FF5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295FF5">
        <w:rPr>
          <w:rFonts w:asciiTheme="majorBidi" w:hAnsiTheme="majorBidi" w:cstheme="majorBidi"/>
          <w:sz w:val="26"/>
          <w:szCs w:val="26"/>
        </w:rPr>
        <w:t xml:space="preserve">There </w:t>
      </w:r>
      <w:r w:rsidRPr="00295FF5">
        <w:rPr>
          <w:rFonts w:asciiTheme="majorBidi" w:hAnsiTheme="majorBidi" w:cstheme="majorBidi"/>
          <w:sz w:val="26"/>
          <w:szCs w:val="26"/>
        </w:rPr>
        <w:t>was a</w:t>
      </w:r>
      <w:r w:rsidR="00CF4A51" w:rsidRPr="00295FF5">
        <w:rPr>
          <w:rFonts w:asciiTheme="majorBidi" w:hAnsiTheme="majorBidi" w:cstheme="majorBidi"/>
          <w:sz w:val="26"/>
          <w:szCs w:val="26"/>
        </w:rPr>
        <w:t>n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295FF5">
        <w:rPr>
          <w:rFonts w:asciiTheme="majorBidi" w:hAnsiTheme="majorBidi" w:cstheme="majorBidi"/>
          <w:sz w:val="26"/>
          <w:szCs w:val="26"/>
        </w:rPr>
        <w:t>in</w:t>
      </w:r>
      <w:r w:rsidR="00BC6532" w:rsidRPr="00295FF5">
        <w:rPr>
          <w:rFonts w:asciiTheme="majorBidi" w:hAnsiTheme="majorBidi" w:cstheme="majorBidi"/>
          <w:sz w:val="26"/>
          <w:szCs w:val="26"/>
        </w:rPr>
        <w:t>crease</w:t>
      </w:r>
      <w:r w:rsidR="00013A84" w:rsidRPr="00295FF5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295FF5">
        <w:rPr>
          <w:rFonts w:asciiTheme="majorBidi" w:hAnsiTheme="majorBidi" w:cstheme="majorBidi"/>
          <w:sz w:val="26"/>
          <w:szCs w:val="26"/>
        </w:rPr>
        <w:t>r</w:t>
      </w:r>
      <w:r w:rsidR="001862D7" w:rsidRPr="00295FF5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295FF5">
        <w:rPr>
          <w:rFonts w:asciiTheme="majorBidi" w:hAnsiTheme="majorBidi" w:cstheme="majorBidi"/>
          <w:sz w:val="26"/>
          <w:szCs w:val="26"/>
        </w:rPr>
        <w:t>a</w:t>
      </w:r>
      <w:r w:rsidR="001862D7" w:rsidRPr="00295FF5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295FF5">
        <w:rPr>
          <w:rFonts w:asciiTheme="majorBidi" w:hAnsiTheme="majorBidi" w:cstheme="majorBidi"/>
          <w:sz w:val="26"/>
          <w:szCs w:val="26"/>
        </w:rPr>
        <w:t>at PMA</w:t>
      </w:r>
      <w:r w:rsidR="006239FE" w:rsidRPr="00295FF5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295FF5">
        <w:rPr>
          <w:rFonts w:asciiTheme="majorBidi" w:hAnsiTheme="majorBidi" w:cstheme="majorBidi"/>
          <w:sz w:val="26"/>
          <w:szCs w:val="26"/>
        </w:rPr>
        <w:t>ed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to USD</w:t>
      </w:r>
      <w:r w:rsidR="00024CA3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295FF5">
        <w:rPr>
          <w:rFonts w:asciiTheme="majorBidi" w:hAnsiTheme="majorBidi" w:cstheme="majorBidi"/>
          <w:sz w:val="26"/>
          <w:szCs w:val="26"/>
        </w:rPr>
        <w:t>35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295FF5">
        <w:rPr>
          <w:rFonts w:asciiTheme="majorBidi" w:hAnsiTheme="majorBidi" w:cstheme="majorBidi"/>
          <w:sz w:val="26"/>
          <w:szCs w:val="26"/>
        </w:rPr>
        <w:t>million</w:t>
      </w:r>
      <w:r w:rsidR="000C156F" w:rsidRPr="00295FF5">
        <w:rPr>
          <w:rFonts w:asciiTheme="majorBidi" w:hAnsiTheme="majorBidi" w:cstheme="majorBidi"/>
          <w:sz w:val="26"/>
          <w:szCs w:val="26"/>
        </w:rPr>
        <w:t>,</w:t>
      </w:r>
      <w:r w:rsidR="0061614B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295FF5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295FF5">
        <w:rPr>
          <w:rFonts w:asciiTheme="majorBidi" w:hAnsiTheme="majorBidi" w:cstheme="majorBidi"/>
          <w:sz w:val="26"/>
          <w:szCs w:val="26"/>
        </w:rPr>
        <w:t>a</w:t>
      </w:r>
      <w:r w:rsidR="003D5B8B" w:rsidRPr="00295FF5">
        <w:rPr>
          <w:rFonts w:asciiTheme="majorBidi" w:hAnsiTheme="majorBidi" w:cstheme="majorBidi"/>
          <w:sz w:val="26"/>
          <w:szCs w:val="26"/>
        </w:rPr>
        <w:t>n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295FF5">
        <w:rPr>
          <w:rFonts w:asciiTheme="majorBidi" w:hAnsiTheme="majorBidi" w:cstheme="majorBidi"/>
          <w:sz w:val="26"/>
          <w:szCs w:val="26"/>
        </w:rPr>
        <w:t xml:space="preserve">increase </w:t>
      </w:r>
      <w:r w:rsidR="00354CC2" w:rsidRPr="00295FF5">
        <w:rPr>
          <w:rFonts w:asciiTheme="majorBidi" w:hAnsiTheme="majorBidi" w:cstheme="majorBidi"/>
          <w:sz w:val="26"/>
          <w:szCs w:val="26"/>
        </w:rPr>
        <w:t>of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295FF5">
        <w:rPr>
          <w:rFonts w:asciiTheme="majorBidi" w:hAnsiTheme="majorBidi" w:cstheme="majorBidi"/>
          <w:sz w:val="26"/>
          <w:szCs w:val="26"/>
        </w:rPr>
        <w:t>USD</w:t>
      </w:r>
      <w:r w:rsidR="00024CA3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295FF5">
        <w:rPr>
          <w:rFonts w:asciiTheme="majorBidi" w:hAnsiTheme="majorBidi" w:cstheme="majorBidi"/>
          <w:sz w:val="26"/>
          <w:szCs w:val="26"/>
        </w:rPr>
        <w:t>71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295FF5">
        <w:rPr>
          <w:rFonts w:asciiTheme="majorBidi" w:hAnsiTheme="majorBidi" w:cstheme="majorBidi"/>
          <w:sz w:val="26"/>
          <w:szCs w:val="26"/>
        </w:rPr>
        <w:t>million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295FF5">
        <w:rPr>
          <w:rFonts w:asciiTheme="majorBidi" w:hAnsiTheme="majorBidi" w:cstheme="majorBidi"/>
          <w:sz w:val="26"/>
          <w:szCs w:val="26"/>
        </w:rPr>
        <w:t>in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Pr="00295FF5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295FF5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295FF5">
        <w:rPr>
          <w:rFonts w:asciiTheme="majorBidi" w:hAnsiTheme="majorBidi" w:cstheme="majorBidi"/>
          <w:sz w:val="26"/>
          <w:szCs w:val="26"/>
        </w:rPr>
        <w:t>.</w:t>
      </w:r>
    </w:p>
    <w:p w:rsidR="00F8270B" w:rsidRPr="00BF2A07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295FF5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295FF5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295FF5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295FF5">
        <w:rPr>
          <w:rFonts w:asciiTheme="majorBidi" w:hAnsiTheme="majorBidi" w:cstheme="majorBidi"/>
          <w:sz w:val="26"/>
          <w:szCs w:val="26"/>
        </w:rPr>
        <w:t>ts (B</w:t>
      </w:r>
      <w:r w:rsidR="00C5265D" w:rsidRPr="00295FF5">
        <w:rPr>
          <w:rFonts w:asciiTheme="majorBidi" w:hAnsiTheme="majorBidi" w:cstheme="majorBidi"/>
          <w:sz w:val="26"/>
          <w:szCs w:val="26"/>
        </w:rPr>
        <w:t>o</w:t>
      </w:r>
      <w:r w:rsidR="003D6FF3" w:rsidRPr="00295FF5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295FF5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295FF5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295FF5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295FF5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295FF5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295FF5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295FF5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295FF5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295FF5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295FF5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295FF5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295FF5">
        <w:rPr>
          <w:rFonts w:asciiTheme="majorBidi" w:hAnsiTheme="majorBidi" w:cstheme="majorBidi"/>
          <w:sz w:val="26"/>
          <w:szCs w:val="26"/>
        </w:rPr>
        <w:t>This</w:t>
      </w:r>
      <w:r w:rsidR="000042EC" w:rsidRPr="00295FF5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295FF5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295FF5">
        <w:rPr>
          <w:rFonts w:asciiTheme="majorBidi" w:hAnsiTheme="majorBidi" w:cstheme="majorBidi"/>
          <w:sz w:val="26"/>
          <w:szCs w:val="26"/>
        </w:rPr>
        <w:t>to devise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295FF5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295FF5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295FF5">
        <w:rPr>
          <w:rFonts w:asciiTheme="majorBidi" w:hAnsiTheme="majorBidi" w:cstheme="majorBidi"/>
          <w:sz w:val="26"/>
          <w:szCs w:val="26"/>
        </w:rPr>
        <w:t>external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295FF5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295FF5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295FF5">
        <w:rPr>
          <w:rFonts w:asciiTheme="majorBidi" w:hAnsiTheme="majorBidi" w:cstheme="majorBidi"/>
          <w:sz w:val="26"/>
          <w:szCs w:val="26"/>
        </w:rPr>
        <w:t>. B</w:t>
      </w:r>
      <w:r w:rsidR="00C5265D" w:rsidRPr="00295FF5">
        <w:rPr>
          <w:rFonts w:asciiTheme="majorBidi" w:hAnsiTheme="majorBidi" w:cstheme="majorBidi"/>
          <w:sz w:val="26"/>
          <w:szCs w:val="26"/>
        </w:rPr>
        <w:t>o</w:t>
      </w:r>
      <w:r w:rsidR="00F60F15" w:rsidRPr="00295FF5">
        <w:rPr>
          <w:rFonts w:asciiTheme="majorBidi" w:hAnsiTheme="majorBidi" w:cstheme="majorBidi"/>
          <w:sz w:val="26"/>
          <w:szCs w:val="26"/>
        </w:rPr>
        <w:t>P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295FF5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295FF5">
        <w:rPr>
          <w:rFonts w:asciiTheme="majorBidi" w:hAnsiTheme="majorBidi" w:cstheme="majorBidi"/>
          <w:sz w:val="26"/>
          <w:szCs w:val="26"/>
        </w:rPr>
        <w:t>was</w:t>
      </w:r>
      <w:r w:rsidR="00F60F15" w:rsidRPr="00295FF5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295FF5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295FF5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295FF5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295FF5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295FF5">
        <w:rPr>
          <w:rFonts w:asciiTheme="majorBidi" w:hAnsiTheme="majorBidi" w:cstheme="majorBidi"/>
          <w:sz w:val="26"/>
          <w:szCs w:val="26"/>
        </w:rPr>
        <w:t>situation</w:t>
      </w:r>
      <w:r w:rsidR="00613DED" w:rsidRPr="00295FF5">
        <w:rPr>
          <w:rFonts w:asciiTheme="majorBidi" w:hAnsiTheme="majorBidi" w:cstheme="majorBidi"/>
          <w:sz w:val="26"/>
          <w:szCs w:val="26"/>
        </w:rPr>
        <w:t>.</w:t>
      </w:r>
    </w:p>
    <w:p w:rsidR="00613DED" w:rsidRPr="00297E85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295FF5" w:rsidRDefault="00295FF5" w:rsidP="00F91DCF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295FF5" w:rsidRDefault="00295FF5" w:rsidP="00295FF5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295FF5" w:rsidRDefault="00295FF5" w:rsidP="00295FF5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F174A3" w:rsidRDefault="00F174A3" w:rsidP="00F174A3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295FF5" w:rsidRPr="00295FF5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4A3" w:rsidRDefault="00B578D2" w:rsidP="000D6B3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Table 1: Bala</w:t>
            </w:r>
            <w:bookmarkStart w:id="0" w:name="_GoBack"/>
            <w:bookmarkEnd w:id="0"/>
            <w:r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nce of Payments In Palestine* for the </w:t>
            </w:r>
            <w:r w:rsidR="00E2021E"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fourth quarter 2020 </w:t>
            </w:r>
          </w:p>
          <w:p w:rsidR="00B578D2" w:rsidRPr="00295FF5" w:rsidRDefault="00F174A3" w:rsidP="00F174A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</w:t>
            </w:r>
            <w:r w:rsidR="00E2021E"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nd</w:t>
            </w:r>
            <w:r>
              <w:rPr>
                <w:rFonts w:asciiTheme="majorBidi" w:hAnsiTheme="majorBidi" w:cstheme="majorBidi" w:hint="cs"/>
                <w:bCs/>
                <w:i w:val="0"/>
                <w:sz w:val="26"/>
                <w:szCs w:val="26"/>
                <w:rtl/>
              </w:rPr>
              <w:t xml:space="preserve"> </w:t>
            </w:r>
            <w:r w:rsidR="00E2021E" w:rsidRPr="00295FF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first quarter 2021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684" w:type="dxa"/>
        <w:jc w:val="center"/>
        <w:tblLook w:val="04A0" w:firstRow="1" w:lastRow="0" w:firstColumn="1" w:lastColumn="0" w:noHBand="0" w:noVBand="1"/>
      </w:tblPr>
      <w:tblGrid>
        <w:gridCol w:w="5179"/>
        <w:gridCol w:w="1710"/>
        <w:gridCol w:w="1795"/>
      </w:tblGrid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295FF5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5FF5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95FF5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B33" w:rsidRPr="00295FF5" w:rsidRDefault="000D6B33" w:rsidP="000D6B33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95FF5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B33" w:rsidRPr="00295FF5" w:rsidRDefault="000D6B33" w:rsidP="000D6B33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Q4- 2020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B33" w:rsidRPr="00295FF5" w:rsidRDefault="000D6B33" w:rsidP="000D6B33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Q1- 2021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-29</w:t>
            </w:r>
            <w:r w:rsidR="001C6326" w:rsidRPr="00295FF5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</w:t>
            </w:r>
            <w:r w:rsidR="00706393" w:rsidRPr="00295FF5">
              <w:rPr>
                <w:rFonts w:asciiTheme="majorBidi" w:hAnsiTheme="majorBidi" w:cstheme="majorBidi"/>
                <w:bCs/>
                <w:i w:val="0"/>
              </w:rPr>
              <w:t>428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Goods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-1,27</w:t>
            </w:r>
            <w:r w:rsidR="00530101" w:rsidRPr="00295FF5">
              <w:rPr>
                <w:rFonts w:asciiTheme="majorBidi" w:hAnsiTheme="majorBidi" w:cstheme="majorBidi"/>
                <w:bCs/>
                <w:i w:val="0"/>
              </w:rPr>
              <w:t>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-1,363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 (fob)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541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464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 (fob)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1,817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1,827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Services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-228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-23</w:t>
            </w:r>
            <w:r w:rsidR="00706393" w:rsidRPr="00295FF5">
              <w:rPr>
                <w:rFonts w:asciiTheme="majorBidi" w:hAnsiTheme="majorBidi" w:cstheme="majorBidi"/>
                <w:bCs/>
                <w:i w:val="0"/>
              </w:rPr>
              <w:t>7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220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242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448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479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Income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741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750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Receipts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775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803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Compensation of employees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720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</w:rPr>
              <w:t>Of which from Israel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70</w:t>
            </w:r>
            <w:r w:rsidR="001C6326" w:rsidRPr="00295FF5">
              <w:rPr>
                <w:rFonts w:asciiTheme="majorBidi" w:hAnsiTheme="majorBidi" w:cstheme="majorBidi"/>
                <w:b w:val="0"/>
                <w:iCs/>
              </w:rPr>
              <w:t>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707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Investment income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83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Payments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34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i w:val="0"/>
                <w:iCs/>
              </w:rPr>
              <w:t>Current transfers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470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422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556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503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95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50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  <w:lang w:val="en-GB"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5</w:t>
            </w:r>
            <w:r w:rsidR="000202E8" w:rsidRPr="00295FF5">
              <w:rPr>
                <w:rFonts w:asciiTheme="majorBidi" w:hAnsiTheme="majorBidi" w:cstheme="majorBidi"/>
                <w:b w:val="0"/>
                <w:iCs/>
              </w:rPr>
              <w:t>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9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461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453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86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1C6326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81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1C6326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382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70639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444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  <w:iCs/>
              </w:rPr>
              <w:t>Capital account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117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74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Capital transfers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117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117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41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11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41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iCs/>
              </w:rPr>
              <w:t>11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64</w:t>
            </w:r>
          </w:p>
        </w:tc>
      </w:tr>
      <w:tr w:rsidR="00297E85" w:rsidRPr="00295FF5" w:rsidTr="00295FF5">
        <w:trPr>
          <w:trHeight w:val="330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D6B33" w:rsidRPr="00295FF5" w:rsidRDefault="000D6B33" w:rsidP="00295FF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0D6B33" w:rsidRPr="00295FF5" w:rsidTr="00295FF5">
        <w:trPr>
          <w:trHeight w:val="337"/>
          <w:jc w:val="center"/>
        </w:trPr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33" w:rsidRPr="00295FF5" w:rsidRDefault="000D6B33" w:rsidP="00295FF5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95FF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295FF5" w:rsidRDefault="000D6B33" w:rsidP="00295FF5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95FF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297E85" w:rsidRDefault="00295C09" w:rsidP="00295FF5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F2A07" w:rsidRPr="00297E85" w:rsidRDefault="00BF2A07" w:rsidP="00BF2A07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Pr="00297E85" w:rsidRDefault="00DE4396" w:rsidP="00DE4396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295FF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4A3" w:rsidRDefault="00B578D2" w:rsidP="00E2021E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 xml:space="preserve">Table 1 (Cont.): Balance of Payments In Palestine* for the </w:t>
            </w:r>
            <w:r w:rsidR="000D6B33" w:rsidRPr="00295FF5">
              <w:rPr>
                <w:rFonts w:asciiTheme="majorBidi" w:hAnsiTheme="majorBidi" w:cstheme="majorBidi"/>
                <w:bCs/>
                <w:i w:val="0"/>
              </w:rPr>
              <w:t>fourth</w:t>
            </w:r>
            <w:r w:rsidR="00E2021E" w:rsidRPr="00295FF5">
              <w:rPr>
                <w:rFonts w:asciiTheme="majorBidi" w:hAnsiTheme="majorBidi" w:cstheme="majorBidi"/>
                <w:bCs/>
                <w:i w:val="0"/>
              </w:rPr>
              <w:t xml:space="preserve"> quarter 2020</w:t>
            </w:r>
            <w:r w:rsidR="000D6B33" w:rsidRPr="00295FF5">
              <w:rPr>
                <w:rFonts w:asciiTheme="majorBidi" w:hAnsiTheme="majorBidi" w:cstheme="majorBidi"/>
                <w:bCs/>
                <w:i w:val="0"/>
              </w:rPr>
              <w:t xml:space="preserve"> </w:t>
            </w:r>
          </w:p>
          <w:p w:rsidR="00B578D2" w:rsidRPr="00295FF5" w:rsidRDefault="00F174A3" w:rsidP="00F174A3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95FF5">
              <w:rPr>
                <w:rFonts w:asciiTheme="majorBidi" w:hAnsiTheme="majorBidi" w:cstheme="majorBidi"/>
                <w:bCs/>
                <w:i w:val="0"/>
              </w:rPr>
              <w:t>A</w:t>
            </w:r>
            <w:r w:rsidR="00B578D2" w:rsidRPr="00295FF5">
              <w:rPr>
                <w:rFonts w:asciiTheme="majorBidi" w:hAnsiTheme="majorBidi" w:cstheme="majorBidi"/>
                <w:bCs/>
                <w:i w:val="0"/>
              </w:rPr>
              <w:t>nd</w:t>
            </w:r>
            <w:r>
              <w:rPr>
                <w:rFonts w:asciiTheme="majorBidi" w:hAnsiTheme="majorBidi" w:cstheme="majorBidi" w:hint="cs"/>
                <w:bCs/>
                <w:i w:val="0"/>
                <w:rtl/>
              </w:rPr>
              <w:t xml:space="preserve"> </w:t>
            </w:r>
            <w:r w:rsidR="000D6B33" w:rsidRPr="00295FF5">
              <w:rPr>
                <w:rFonts w:asciiTheme="majorBidi" w:hAnsiTheme="majorBidi" w:cstheme="majorBidi"/>
                <w:bCs/>
                <w:i w:val="0"/>
              </w:rPr>
              <w:t>first</w:t>
            </w:r>
            <w:r w:rsidR="00E2021E" w:rsidRPr="00295FF5">
              <w:rPr>
                <w:rFonts w:asciiTheme="majorBidi" w:hAnsiTheme="majorBidi" w:cstheme="majorBidi"/>
                <w:bCs/>
                <w:i w:val="0"/>
              </w:rPr>
              <w:t xml:space="preserve"> quarter</w:t>
            </w:r>
            <w:r w:rsidR="00B578D2" w:rsidRPr="00295FF5">
              <w:rPr>
                <w:rFonts w:asciiTheme="majorBidi" w:hAnsiTheme="majorBidi" w:cstheme="majorBidi"/>
                <w:bCs/>
                <w:i w:val="0"/>
              </w:rPr>
              <w:t xml:space="preserve"> </w:t>
            </w:r>
            <w:r w:rsidR="00E2021E" w:rsidRPr="00295FF5">
              <w:rPr>
                <w:rFonts w:asciiTheme="majorBidi" w:hAnsiTheme="majorBidi" w:cstheme="majorBidi"/>
                <w:bCs/>
                <w:i w:val="0"/>
              </w:rPr>
              <w:t>2021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8658" w:type="dxa"/>
        <w:jc w:val="center"/>
        <w:tblLook w:val="04A0" w:firstRow="1" w:lastRow="0" w:firstColumn="1" w:lastColumn="0" w:noHBand="0" w:noVBand="1"/>
      </w:tblPr>
      <w:tblGrid>
        <w:gridCol w:w="5148"/>
        <w:gridCol w:w="1710"/>
        <w:gridCol w:w="1800"/>
      </w:tblGrid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F174A3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F174A3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F174A3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7E85" w:rsidRPr="00F174A3" w:rsidTr="00F174A3">
        <w:trPr>
          <w:trHeight w:val="64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B33" w:rsidRPr="00F174A3" w:rsidRDefault="000D6B33" w:rsidP="000D6B3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33" w:rsidRPr="00F174A3" w:rsidRDefault="000D6B33" w:rsidP="000D6B33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lang w:val="en-GB"/>
              </w:rPr>
              <w:t>Q4- 2020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F174A3" w:rsidRDefault="000D6B33" w:rsidP="000D6B33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lang w:val="en-GB"/>
              </w:rPr>
              <w:t>Q1- 202</w:t>
            </w:r>
            <w:r w:rsidRPr="00F174A3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Financial account (net)**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33" w:rsidRPr="00F174A3" w:rsidRDefault="001C6326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265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70639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  <w:rtl/>
              </w:rPr>
              <w:t>369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Foreign Direct investment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-59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rtl/>
              </w:rPr>
              <w:t>43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abroad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in Palestine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174A3">
              <w:rPr>
                <w:rFonts w:asciiTheme="majorBidi" w:hAnsiTheme="majorBidi" w:cstheme="majorBidi"/>
                <w:rtl/>
              </w:rPr>
              <w:t>44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Foreign  Portfolio investment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-39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-21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-18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Foreign Other investment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325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70639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400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70639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423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Of which Currency and deposits***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-48</w:t>
            </w:r>
            <w:r w:rsidR="001C6326" w:rsidRPr="00F174A3">
              <w:rPr>
                <w:rFonts w:asciiTheme="majorBidi" w:hAnsiTheme="majorBidi" w:cstheme="majorBidi"/>
                <w:b w:val="0"/>
                <w:bCs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B33" w:rsidRPr="00F174A3" w:rsidRDefault="0070639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  <w:rtl/>
              </w:rPr>
              <w:t>421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Of which Loans nonresidents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Of which Currency and deposits****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1C6326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</w:rPr>
              <w:t>-14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</w:t>
            </w:r>
            <w:r w:rsidR="00706393" w:rsidRPr="00F174A3">
              <w:rPr>
                <w:rFonts w:asciiTheme="majorBidi" w:hAnsiTheme="majorBidi" w:cstheme="majorBidi"/>
                <w:i w:val="0"/>
                <w:iCs/>
              </w:rPr>
              <w:t>16</w:t>
            </w:r>
          </w:p>
        </w:tc>
      </w:tr>
      <w:tr w:rsidR="00297E85" w:rsidRPr="00F174A3" w:rsidTr="00F174A3">
        <w:trPr>
          <w:trHeight w:val="406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B33" w:rsidRPr="00F174A3" w:rsidRDefault="002004E9" w:rsidP="00F174A3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174A3">
              <w:rPr>
                <w:rFonts w:asciiTheme="majorBidi" w:hAnsiTheme="majorBidi" w:cstheme="majorBidi"/>
                <w:rtl/>
              </w:rPr>
              <w:t>35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Financing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-35</w:t>
            </w:r>
          </w:p>
        </w:tc>
      </w:tr>
      <w:tr w:rsidR="00297E85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0D6B33" w:rsidRPr="00F174A3" w:rsidTr="00F174A3">
        <w:trPr>
          <w:trHeight w:val="330"/>
          <w:jc w:val="center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33" w:rsidRPr="00F174A3" w:rsidRDefault="000D6B33" w:rsidP="00F174A3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174A3">
              <w:rPr>
                <w:rFonts w:asciiTheme="majorBidi" w:hAnsiTheme="majorBidi" w:cstheme="majorBidi"/>
                <w:i w:val="0"/>
                <w:iCs/>
              </w:rPr>
              <w:t>-35</w:t>
            </w:r>
          </w:p>
        </w:tc>
      </w:tr>
    </w:tbl>
    <w:p w:rsidR="00021DB6" w:rsidRDefault="00021DB6">
      <w:pPr>
        <w:rPr>
          <w:b w:val="0"/>
          <w:bCs/>
          <w:i w:val="0"/>
          <w:iCs/>
          <w:sz w:val="18"/>
          <w:szCs w:val="18"/>
          <w:rtl/>
        </w:rPr>
      </w:pPr>
    </w:p>
    <w:p w:rsidR="00F174A3" w:rsidRDefault="00F174A3">
      <w:pPr>
        <w:rPr>
          <w:b w:val="0"/>
          <w:bCs/>
          <w:i w:val="0"/>
          <w:iCs/>
          <w:sz w:val="18"/>
          <w:szCs w:val="18"/>
          <w:rtl/>
        </w:rPr>
      </w:pPr>
    </w:p>
    <w:p w:rsidR="00F174A3" w:rsidRPr="00297E85" w:rsidRDefault="00F174A3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681" w:type="dxa"/>
        <w:jc w:val="center"/>
        <w:tblLayout w:type="fixed"/>
        <w:tblLook w:val="0000" w:firstRow="0" w:lastRow="0" w:firstColumn="0" w:lastColumn="0" w:noHBand="0" w:noVBand="0"/>
      </w:tblPr>
      <w:tblGrid>
        <w:gridCol w:w="8681"/>
      </w:tblGrid>
      <w:tr w:rsidR="00297E85" w:rsidRPr="00297E85" w:rsidTr="00F174A3">
        <w:trPr>
          <w:trHeight w:val="603"/>
          <w:jc w:val="center"/>
        </w:trPr>
        <w:tc>
          <w:tcPr>
            <w:tcW w:w="8681" w:type="dxa"/>
            <w:vAlign w:val="center"/>
          </w:tcPr>
          <w:p w:rsidR="00327CC3" w:rsidRPr="00F174A3" w:rsidRDefault="00327CC3" w:rsidP="00F174A3">
            <w:pPr>
              <w:pStyle w:val="FootnoteText"/>
              <w:rPr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F174A3">
              <w:rPr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</w:t>
            </w:r>
            <w:r w:rsidR="00F174A3" w:rsidRPr="00F174A3">
              <w:rPr>
                <w:b w:val="0"/>
                <w:bCs/>
                <w:i w:val="0"/>
                <w:iCs/>
                <w:noProof/>
                <w:sz w:val="22"/>
                <w:szCs w:val="22"/>
              </w:rPr>
              <w:t>nnexed by Israeli occupation in</w:t>
            </w:r>
            <w:r w:rsidR="00F174A3" w:rsidRPr="00F174A3">
              <w:rPr>
                <w:rFonts w:hint="cs"/>
                <w:b w:val="0"/>
                <w:bCs/>
                <w:i w:val="0"/>
                <w:iCs/>
                <w:noProof/>
                <w:sz w:val="22"/>
                <w:szCs w:val="22"/>
                <w:rtl/>
              </w:rPr>
              <w:t xml:space="preserve"> </w:t>
            </w:r>
            <w:r w:rsidRPr="00F174A3">
              <w:rPr>
                <w:b w:val="0"/>
                <w:bCs/>
                <w:i w:val="0"/>
                <w:iCs/>
                <w:noProof/>
                <w:sz w:val="22"/>
                <w:szCs w:val="22"/>
              </w:rPr>
              <w:t>1967.</w:t>
            </w:r>
          </w:p>
        </w:tc>
      </w:tr>
      <w:tr w:rsidR="00297E85" w:rsidRPr="00297E85" w:rsidTr="00F174A3">
        <w:trPr>
          <w:trHeight w:val="292"/>
          <w:jc w:val="center"/>
        </w:trPr>
        <w:tc>
          <w:tcPr>
            <w:tcW w:w="8681" w:type="dxa"/>
            <w:vAlign w:val="center"/>
          </w:tcPr>
          <w:p w:rsidR="00327CC3" w:rsidRPr="00F174A3" w:rsidRDefault="00327CC3" w:rsidP="00F174A3">
            <w:pPr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174A3">
              <w:rPr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297E85" w:rsidTr="00F174A3">
        <w:trPr>
          <w:trHeight w:val="292"/>
          <w:jc w:val="center"/>
        </w:trPr>
        <w:tc>
          <w:tcPr>
            <w:tcW w:w="8681" w:type="dxa"/>
            <w:vAlign w:val="center"/>
          </w:tcPr>
          <w:p w:rsidR="00327CC3" w:rsidRPr="00F174A3" w:rsidRDefault="00327CC3" w:rsidP="00F174A3">
            <w:pPr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174A3">
              <w:rPr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F174A3" w:rsidRDefault="00327CC3" w:rsidP="00F174A3">
            <w:pPr>
              <w:jc w:val="lowKashida"/>
              <w:rPr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r w:rsidRPr="00F174A3">
              <w:rPr>
                <w:b w:val="0"/>
                <w:bCs/>
                <w:i w:val="0"/>
                <w:iCs/>
                <w:sz w:val="22"/>
                <w:szCs w:val="22"/>
              </w:rPr>
              <w:t>of the Palestinian institutions deposited abroad.</w:t>
            </w:r>
          </w:p>
        </w:tc>
      </w:tr>
      <w:tr w:rsidR="00327CC3" w:rsidRPr="00297E85" w:rsidTr="00F174A3">
        <w:trPr>
          <w:trHeight w:val="345"/>
          <w:jc w:val="center"/>
        </w:trPr>
        <w:tc>
          <w:tcPr>
            <w:tcW w:w="8681" w:type="dxa"/>
            <w:vAlign w:val="center"/>
          </w:tcPr>
          <w:p w:rsidR="00327CC3" w:rsidRPr="00F174A3" w:rsidRDefault="00327CC3" w:rsidP="00F174A3">
            <w:pPr>
              <w:ind w:right="209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F174A3">
              <w:rPr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F174A3">
      <w:headerReference w:type="default" r:id="rId8"/>
      <w:footerReference w:type="default" r:id="rId9"/>
      <w:pgSz w:w="11907" w:h="16839" w:code="9"/>
      <w:pgMar w:top="850" w:right="850" w:bottom="850" w:left="850" w:header="1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36" w:rsidRDefault="00A11536" w:rsidP="00885BEC">
      <w:r>
        <w:separator/>
      </w:r>
    </w:p>
  </w:endnote>
  <w:endnote w:type="continuationSeparator" w:id="0">
    <w:p w:rsidR="00A11536" w:rsidRDefault="00A11536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5362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F174A3" w:rsidRPr="00F174A3" w:rsidRDefault="00F174A3">
        <w:pPr>
          <w:pStyle w:val="Footer"/>
          <w:jc w:val="center"/>
          <w:rPr>
            <w:i w:val="0"/>
            <w:iCs/>
          </w:rPr>
        </w:pPr>
        <w:r w:rsidRPr="00F174A3">
          <w:rPr>
            <w:i w:val="0"/>
            <w:iCs/>
          </w:rPr>
          <w:fldChar w:fldCharType="begin"/>
        </w:r>
        <w:r w:rsidRPr="00F174A3">
          <w:rPr>
            <w:i w:val="0"/>
            <w:iCs/>
          </w:rPr>
          <w:instrText xml:space="preserve"> PAGE   \* MERGEFORMAT </w:instrText>
        </w:r>
        <w:r w:rsidRPr="00F174A3">
          <w:rPr>
            <w:i w:val="0"/>
            <w:iCs/>
          </w:rPr>
          <w:fldChar w:fldCharType="separate"/>
        </w:r>
        <w:r w:rsidR="003C69BD">
          <w:rPr>
            <w:i w:val="0"/>
            <w:iCs/>
            <w:noProof/>
          </w:rPr>
          <w:t>3</w:t>
        </w:r>
        <w:r w:rsidRPr="00F174A3">
          <w:rPr>
            <w:i w:val="0"/>
            <w:iCs/>
            <w:noProof/>
          </w:rPr>
          <w:fldChar w:fldCharType="end"/>
        </w:r>
      </w:p>
    </w:sdtContent>
  </w:sdt>
  <w:p w:rsidR="00F174A3" w:rsidRDefault="00F1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36" w:rsidRDefault="00A11536" w:rsidP="00885BEC">
      <w:r>
        <w:separator/>
      </w:r>
    </w:p>
  </w:footnote>
  <w:footnote w:type="continuationSeparator" w:id="0">
    <w:p w:rsidR="00A11536" w:rsidRDefault="00A11536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F5" w:rsidRDefault="00295FF5" w:rsidP="00295FF5">
    <w:pPr>
      <w:pStyle w:val="Footer"/>
      <w:rPr>
        <w:rFonts w:asciiTheme="majorBidi" w:hAnsiTheme="majorBidi" w:cstheme="majorBidi"/>
        <w:b w:val="0"/>
        <w:bCs/>
        <w:i w:val="0"/>
        <w:iCs/>
        <w:sz w:val="20"/>
        <w:szCs w:val="20"/>
        <w:rtl/>
      </w:rPr>
    </w:pPr>
  </w:p>
  <w:p w:rsidR="00295FF5" w:rsidRPr="00295FF5" w:rsidRDefault="00295FF5" w:rsidP="00295FF5">
    <w:pPr>
      <w:pStyle w:val="Footer"/>
      <w:rPr>
        <w:b w:val="0"/>
        <w:bCs/>
        <w:i w:val="0"/>
        <w:i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5FF5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69BD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3A03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481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4AB2"/>
    <w:rsid w:val="00A05211"/>
    <w:rsid w:val="00A06561"/>
    <w:rsid w:val="00A11536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2A07"/>
    <w:rsid w:val="00BF4261"/>
    <w:rsid w:val="00BF46C5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4A3"/>
    <w:rsid w:val="00F17FD5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F28B-6CB6-40ED-A738-0DE86875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4</cp:revision>
  <cp:lastPrinted>2021-06-24T09:49:00Z</cp:lastPrinted>
  <dcterms:created xsi:type="dcterms:W3CDTF">2021-06-28T10:58:00Z</dcterms:created>
  <dcterms:modified xsi:type="dcterms:W3CDTF">2021-06-28T11:12:00Z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