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8D" w:rsidRDefault="00342F8D" w:rsidP="00342F8D">
      <w:pPr>
        <w:pStyle w:val="Title"/>
        <w:bidi w:val="0"/>
        <w:rPr>
          <w:sz w:val="26"/>
          <w:szCs w:val="26"/>
        </w:rPr>
      </w:pPr>
    </w:p>
    <w:p w:rsidR="000D60BB" w:rsidRPr="000D60BB" w:rsidRDefault="00342F8D" w:rsidP="000D60BB">
      <w:pPr>
        <w:pStyle w:val="Title"/>
        <w:bidi w:val="0"/>
        <w:rPr>
          <w:sz w:val="32"/>
          <w:szCs w:val="32"/>
        </w:rPr>
      </w:pPr>
      <w:r w:rsidRPr="000D60BB">
        <w:rPr>
          <w:sz w:val="32"/>
          <w:szCs w:val="32"/>
        </w:rPr>
        <w:t xml:space="preserve">Palestinian Central Bureau of Statistics (PCBS) </w:t>
      </w:r>
      <w:r w:rsidR="000D60BB">
        <w:rPr>
          <w:sz w:val="32"/>
          <w:szCs w:val="32"/>
        </w:rPr>
        <w:t>&amp;</w:t>
      </w:r>
    </w:p>
    <w:p w:rsidR="000D60BB" w:rsidRPr="000D60BB" w:rsidRDefault="00342F8D" w:rsidP="000D60BB">
      <w:pPr>
        <w:pStyle w:val="Title"/>
        <w:bidi w:val="0"/>
        <w:rPr>
          <w:sz w:val="32"/>
          <w:szCs w:val="32"/>
        </w:rPr>
      </w:pPr>
      <w:r w:rsidRPr="000D60BB">
        <w:rPr>
          <w:sz w:val="32"/>
          <w:szCs w:val="32"/>
        </w:rPr>
        <w:t>Ministry of Education and Higher(MOEHE)</w:t>
      </w:r>
    </w:p>
    <w:p w:rsidR="00342F8D" w:rsidRPr="000D60BB" w:rsidRDefault="00342F8D" w:rsidP="000D60BB">
      <w:pPr>
        <w:pStyle w:val="Title"/>
        <w:bidi w:val="0"/>
        <w:rPr>
          <w:sz w:val="28"/>
          <w:szCs w:val="28"/>
        </w:rPr>
      </w:pPr>
      <w:r w:rsidRPr="000D60BB">
        <w:rPr>
          <w:sz w:val="28"/>
          <w:szCs w:val="28"/>
        </w:rPr>
        <w:t xml:space="preserve"> </w:t>
      </w:r>
    </w:p>
    <w:p w:rsidR="00342F8D" w:rsidRPr="000D60BB" w:rsidRDefault="00342F8D" w:rsidP="00342F8D">
      <w:pPr>
        <w:pStyle w:val="Title"/>
        <w:bidi w:val="0"/>
        <w:rPr>
          <w:sz w:val="32"/>
          <w:szCs w:val="32"/>
        </w:rPr>
      </w:pPr>
      <w:r w:rsidRPr="000D60BB">
        <w:rPr>
          <w:sz w:val="32"/>
          <w:szCs w:val="32"/>
        </w:rPr>
        <w:t>Education release Statistical Report on Environmental Survey of Educational Sector, 2016</w:t>
      </w:r>
    </w:p>
    <w:p w:rsidR="008D7229" w:rsidRDefault="008D7229" w:rsidP="00342F8D">
      <w:pPr>
        <w:pStyle w:val="Title"/>
        <w:bidi w:val="0"/>
        <w:ind w:right="-73"/>
        <w:jc w:val="lowKashida"/>
        <w:rPr>
          <w:b w:val="0"/>
          <w:bCs w:val="0"/>
          <w:sz w:val="16"/>
          <w:szCs w:val="16"/>
        </w:rPr>
      </w:pPr>
    </w:p>
    <w:p w:rsidR="008D7229" w:rsidRDefault="008D7229" w:rsidP="008D7229">
      <w:pPr>
        <w:pStyle w:val="Title"/>
        <w:bidi w:val="0"/>
        <w:ind w:right="-73"/>
        <w:jc w:val="lowKashida"/>
        <w:rPr>
          <w:b w:val="0"/>
          <w:bCs w:val="0"/>
          <w:sz w:val="16"/>
          <w:szCs w:val="16"/>
        </w:rPr>
      </w:pPr>
    </w:p>
    <w:p w:rsidR="00342F8D" w:rsidRPr="00342F8D" w:rsidRDefault="00342F8D" w:rsidP="008D7229">
      <w:pPr>
        <w:pStyle w:val="Title"/>
        <w:bidi w:val="0"/>
        <w:ind w:right="-73"/>
        <w:jc w:val="lowKashida"/>
        <w:rPr>
          <w:rFonts w:asciiTheme="majorBidi" w:hAnsiTheme="majorBidi" w:cstheme="majorBidi"/>
          <w:sz w:val="25"/>
          <w:szCs w:val="25"/>
        </w:rPr>
      </w:pPr>
      <w:r w:rsidRPr="00342F8D">
        <w:rPr>
          <w:rFonts w:asciiTheme="majorBidi" w:hAnsiTheme="majorBidi" w:cstheme="majorBidi"/>
          <w:sz w:val="25"/>
          <w:szCs w:val="25"/>
        </w:rPr>
        <w:t>More than 40% of schools in Palestine are exposed to noise very often and sometimes</w:t>
      </w:r>
    </w:p>
    <w:p w:rsidR="00342F8D" w:rsidRDefault="00342F8D" w:rsidP="00342F8D">
      <w:pPr>
        <w:pStyle w:val="Title"/>
        <w:bidi w:val="0"/>
        <w:ind w:right="-73"/>
        <w:jc w:val="lowKashida"/>
        <w:rPr>
          <w:b w:val="0"/>
          <w:bCs w:val="0"/>
        </w:rPr>
      </w:pPr>
      <w:r>
        <w:rPr>
          <w:b w:val="0"/>
          <w:bCs w:val="0"/>
        </w:rPr>
        <w:t>The r</w:t>
      </w:r>
      <w:r w:rsidRPr="00A2180B">
        <w:rPr>
          <w:b w:val="0"/>
          <w:bCs w:val="0"/>
        </w:rPr>
        <w:t xml:space="preserve">esults of the survey </w:t>
      </w:r>
      <w:r>
        <w:rPr>
          <w:b w:val="0"/>
          <w:bCs w:val="0"/>
        </w:rPr>
        <w:t>for 2016</w:t>
      </w:r>
      <w:r w:rsidRPr="00A2180B">
        <w:rPr>
          <w:b w:val="0"/>
          <w:bCs w:val="0"/>
        </w:rPr>
        <w:t xml:space="preserve"> showed that </w:t>
      </w:r>
      <w:r>
        <w:rPr>
          <w:b w:val="0"/>
          <w:bCs w:val="0"/>
        </w:rPr>
        <w:t>41.3</w:t>
      </w:r>
      <w:r w:rsidRPr="00A2180B">
        <w:rPr>
          <w:b w:val="0"/>
          <w:bCs w:val="0"/>
        </w:rPr>
        <w:t xml:space="preserve">% of </w:t>
      </w:r>
      <w:r>
        <w:rPr>
          <w:b w:val="0"/>
          <w:bCs w:val="0"/>
        </w:rPr>
        <w:t>schools</w:t>
      </w:r>
      <w:r w:rsidRPr="00A2180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58.7% </w:t>
      </w:r>
      <w:r w:rsidRPr="00A2180B">
        <w:rPr>
          <w:b w:val="0"/>
          <w:bCs w:val="0"/>
        </w:rPr>
        <w:t xml:space="preserve">of </w:t>
      </w:r>
      <w:r>
        <w:rPr>
          <w:b w:val="0"/>
          <w:bCs w:val="0"/>
        </w:rPr>
        <w:t>higher education establishments</w:t>
      </w:r>
      <w:r w:rsidRPr="00A2180B">
        <w:rPr>
          <w:b w:val="0"/>
          <w:bCs w:val="0"/>
        </w:rPr>
        <w:t xml:space="preserve">, and </w:t>
      </w:r>
      <w:r>
        <w:rPr>
          <w:b w:val="0"/>
          <w:bCs w:val="0"/>
        </w:rPr>
        <w:t>27.6</w:t>
      </w:r>
      <w:r w:rsidRPr="00A2180B">
        <w:rPr>
          <w:b w:val="0"/>
          <w:bCs w:val="0"/>
        </w:rPr>
        <w:t xml:space="preserve">% of kindergartens are </w:t>
      </w:r>
      <w:r>
        <w:rPr>
          <w:b w:val="0"/>
          <w:bCs w:val="0"/>
        </w:rPr>
        <w:t xml:space="preserve">very often and sometimes </w:t>
      </w:r>
      <w:r w:rsidRPr="00A2180B">
        <w:rPr>
          <w:b w:val="0"/>
          <w:bCs w:val="0"/>
        </w:rPr>
        <w:t>exposed to noise</w:t>
      </w:r>
      <w:r>
        <w:rPr>
          <w:b w:val="0"/>
          <w:bCs w:val="0"/>
        </w:rPr>
        <w:t>. Also, 36.5</w:t>
      </w:r>
      <w:r w:rsidRPr="00A2180B">
        <w:rPr>
          <w:b w:val="0"/>
          <w:bCs w:val="0"/>
        </w:rPr>
        <w:t xml:space="preserve">% of </w:t>
      </w:r>
      <w:r>
        <w:rPr>
          <w:b w:val="0"/>
          <w:bCs w:val="0"/>
        </w:rPr>
        <w:t>schools</w:t>
      </w:r>
      <w:r w:rsidRPr="00A2180B">
        <w:rPr>
          <w:b w:val="0"/>
          <w:bCs w:val="0"/>
        </w:rPr>
        <w:t xml:space="preserve">, </w:t>
      </w:r>
      <w:r>
        <w:rPr>
          <w:b w:val="0"/>
          <w:bCs w:val="0"/>
        </w:rPr>
        <w:t>41.3</w:t>
      </w:r>
      <w:r w:rsidRPr="00A2180B">
        <w:rPr>
          <w:b w:val="0"/>
          <w:bCs w:val="0"/>
        </w:rPr>
        <w:t xml:space="preserve">% of </w:t>
      </w:r>
      <w:r>
        <w:rPr>
          <w:b w:val="0"/>
          <w:bCs w:val="0"/>
        </w:rPr>
        <w:t>higher education establishments</w:t>
      </w:r>
      <w:r w:rsidRPr="00A2180B">
        <w:rPr>
          <w:b w:val="0"/>
          <w:bCs w:val="0"/>
        </w:rPr>
        <w:t xml:space="preserve">, and </w:t>
      </w:r>
      <w:r>
        <w:rPr>
          <w:b w:val="0"/>
          <w:bCs w:val="0"/>
        </w:rPr>
        <w:t>22.5</w:t>
      </w:r>
      <w:r w:rsidRPr="00A2180B">
        <w:rPr>
          <w:b w:val="0"/>
          <w:bCs w:val="0"/>
        </w:rPr>
        <w:t xml:space="preserve">% of kindergartens are </w:t>
      </w:r>
      <w:r>
        <w:rPr>
          <w:b w:val="0"/>
          <w:bCs w:val="0"/>
        </w:rPr>
        <w:t xml:space="preserve">very often and sometimes </w:t>
      </w:r>
      <w:r w:rsidRPr="00A2180B">
        <w:rPr>
          <w:b w:val="0"/>
          <w:bCs w:val="0"/>
        </w:rPr>
        <w:t>exposed to smells.</w:t>
      </w:r>
    </w:p>
    <w:p w:rsidR="00342F8D" w:rsidRPr="00342F8D" w:rsidRDefault="00342F8D" w:rsidP="00342F8D">
      <w:pPr>
        <w:pStyle w:val="Title"/>
        <w:bidi w:val="0"/>
        <w:ind w:right="-73"/>
        <w:jc w:val="lowKashida"/>
        <w:rPr>
          <w:b w:val="0"/>
          <w:bCs w:val="0"/>
          <w:sz w:val="16"/>
          <w:szCs w:val="16"/>
        </w:rPr>
      </w:pPr>
    </w:p>
    <w:p w:rsidR="00342F8D" w:rsidRDefault="00342F8D" w:rsidP="000D60BB">
      <w:pPr>
        <w:bidi w:val="0"/>
        <w:ind w:left="69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342F8D">
        <w:rPr>
          <w:rFonts w:asciiTheme="majorBidi" w:hAnsiTheme="majorBidi" w:cstheme="majorBidi"/>
          <w:b/>
          <w:bCs/>
          <w:sz w:val="25"/>
          <w:szCs w:val="25"/>
        </w:rPr>
        <w:t>Percentage of Educational Establishments in Palestine that Exposed Very Often and Sometimes to Noise and Smells by Sector, 2016</w:t>
      </w:r>
    </w:p>
    <w:p w:rsidR="000D60BB" w:rsidRPr="000D60BB" w:rsidRDefault="000D60BB" w:rsidP="000D60BB">
      <w:pPr>
        <w:bidi w:val="0"/>
        <w:ind w:left="69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p w:rsidR="00342F8D" w:rsidRPr="00C32491" w:rsidRDefault="00342F8D" w:rsidP="00342F8D">
      <w:pPr>
        <w:bidi w:val="0"/>
        <w:jc w:val="center"/>
        <w:rPr>
          <w:rFonts w:ascii="Arial" w:hAnsi="Arial" w:cs="Arial"/>
          <w:b/>
          <w:bCs/>
          <w:sz w:val="2"/>
          <w:szCs w:val="2"/>
        </w:rPr>
      </w:pPr>
    </w:p>
    <w:tbl>
      <w:tblPr>
        <w:tblW w:w="0" w:type="auto"/>
        <w:jc w:val="center"/>
        <w:tblInd w:w="2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3"/>
      </w:tblGrid>
      <w:tr w:rsidR="00342F8D" w:rsidTr="00342F8D">
        <w:trPr>
          <w:trHeight w:val="3932"/>
          <w:jc w:val="center"/>
        </w:trPr>
        <w:tc>
          <w:tcPr>
            <w:tcW w:w="5773" w:type="dxa"/>
          </w:tcPr>
          <w:p w:rsidR="00342F8D" w:rsidRPr="00244C0E" w:rsidRDefault="00342F8D" w:rsidP="00326EFF">
            <w:pPr>
              <w:pStyle w:val="Heading2"/>
              <w:rPr>
                <w:rFonts w:cs="Simplified Arabic"/>
                <w:sz w:val="16"/>
                <w:szCs w:val="16"/>
                <w:rtl/>
              </w:rPr>
            </w:pPr>
            <w:r>
              <w:rPr>
                <w:rFonts w:cs="Simplified Arabic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2628900" cy="2438400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342F8D" w:rsidRPr="00244C0E" w:rsidRDefault="00342F8D" w:rsidP="00326EFF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0D60BB" w:rsidRDefault="000D60BB" w:rsidP="00342F8D">
      <w:pPr>
        <w:pStyle w:val="Title"/>
        <w:bidi w:val="0"/>
        <w:jc w:val="lowKashida"/>
        <w:rPr>
          <w:rFonts w:asciiTheme="majorBidi" w:hAnsiTheme="majorBidi" w:cstheme="majorBidi"/>
          <w:sz w:val="25"/>
          <w:szCs w:val="25"/>
        </w:rPr>
      </w:pPr>
    </w:p>
    <w:p w:rsidR="00342F8D" w:rsidRPr="00342F8D" w:rsidRDefault="00342F8D" w:rsidP="000D60BB">
      <w:pPr>
        <w:pStyle w:val="Title"/>
        <w:bidi w:val="0"/>
        <w:jc w:val="lowKashida"/>
        <w:rPr>
          <w:rFonts w:asciiTheme="majorBidi" w:hAnsiTheme="majorBidi" w:cstheme="majorBidi"/>
          <w:b w:val="0"/>
          <w:bCs w:val="0"/>
          <w:sz w:val="25"/>
          <w:szCs w:val="25"/>
        </w:rPr>
      </w:pPr>
      <w:r w:rsidRPr="00342F8D">
        <w:rPr>
          <w:rFonts w:asciiTheme="majorBidi" w:hAnsiTheme="majorBidi" w:cstheme="majorBidi"/>
          <w:sz w:val="25"/>
          <w:szCs w:val="25"/>
        </w:rPr>
        <w:t>Around 314 thousand cubic meters of water are consumed monthly by educational establishments in Palestine</w:t>
      </w:r>
      <w:r w:rsidRPr="00342F8D">
        <w:rPr>
          <w:rFonts w:asciiTheme="majorBidi" w:hAnsiTheme="majorBidi" w:cstheme="majorBidi"/>
          <w:b w:val="0"/>
          <w:bCs w:val="0"/>
          <w:sz w:val="25"/>
          <w:szCs w:val="25"/>
        </w:rPr>
        <w:t xml:space="preserve"> </w:t>
      </w:r>
    </w:p>
    <w:p w:rsidR="00342F8D" w:rsidRPr="002643F7" w:rsidRDefault="00342F8D" w:rsidP="00342F8D">
      <w:pPr>
        <w:pStyle w:val="Title"/>
        <w:bidi w:val="0"/>
        <w:jc w:val="lowKashida"/>
        <w:rPr>
          <w:b w:val="0"/>
          <w:bCs w:val="0"/>
          <w:sz w:val="26"/>
          <w:szCs w:val="26"/>
        </w:rPr>
      </w:pPr>
      <w:r>
        <w:rPr>
          <w:b w:val="0"/>
          <w:bCs w:val="0"/>
        </w:rPr>
        <w:t>Data revealed that t</w:t>
      </w:r>
      <w:r w:rsidRPr="002643F7">
        <w:rPr>
          <w:b w:val="0"/>
          <w:bCs w:val="0"/>
        </w:rPr>
        <w:t xml:space="preserve">he total amount of water consumed in the </w:t>
      </w:r>
      <w:r>
        <w:rPr>
          <w:b w:val="0"/>
          <w:bCs w:val="0"/>
        </w:rPr>
        <w:t>educational sector in Palestine was 313.5</w:t>
      </w:r>
      <w:r w:rsidRPr="002643F7">
        <w:rPr>
          <w:b w:val="0"/>
          <w:bCs w:val="0"/>
        </w:rPr>
        <w:t xml:space="preserve"> thousand cubic meters per month.</w:t>
      </w:r>
    </w:p>
    <w:p w:rsidR="00342F8D" w:rsidRPr="00342F8D" w:rsidRDefault="00342F8D" w:rsidP="00342F8D">
      <w:pPr>
        <w:pStyle w:val="Title"/>
        <w:bidi w:val="0"/>
        <w:jc w:val="lowKashida"/>
        <w:rPr>
          <w:rFonts w:asciiTheme="majorBidi" w:hAnsiTheme="majorBidi" w:cstheme="majorBidi"/>
          <w:b w:val="0"/>
          <w:bCs w:val="0"/>
          <w:sz w:val="16"/>
          <w:szCs w:val="16"/>
        </w:rPr>
      </w:pPr>
    </w:p>
    <w:p w:rsidR="00342F8D" w:rsidRDefault="00342F8D" w:rsidP="00342F8D">
      <w:pPr>
        <w:pStyle w:val="Title"/>
        <w:bidi w:val="0"/>
        <w:jc w:val="lowKashida"/>
        <w:rPr>
          <w:b w:val="0"/>
          <w:bCs w:val="0"/>
          <w:sz w:val="26"/>
          <w:szCs w:val="26"/>
        </w:rPr>
      </w:pPr>
      <w:r>
        <w:rPr>
          <w:b w:val="0"/>
          <w:bCs w:val="0"/>
        </w:rPr>
        <w:t>Also, t</w:t>
      </w:r>
      <w:r w:rsidRPr="002643F7">
        <w:rPr>
          <w:b w:val="0"/>
          <w:bCs w:val="0"/>
        </w:rPr>
        <w:t>he monthly ave</w:t>
      </w:r>
      <w:r>
        <w:rPr>
          <w:b w:val="0"/>
          <w:bCs w:val="0"/>
        </w:rPr>
        <w:t xml:space="preserve">rage quantity of water consumed </w:t>
      </w:r>
      <w:r w:rsidRPr="002643F7">
        <w:rPr>
          <w:b w:val="0"/>
          <w:bCs w:val="0"/>
        </w:rPr>
        <w:t>in</w:t>
      </w:r>
      <w:r>
        <w:rPr>
          <w:b w:val="0"/>
          <w:bCs w:val="0"/>
        </w:rPr>
        <w:t xml:space="preserve"> higher education establishment in</w:t>
      </w:r>
      <w:r w:rsidRPr="002643F7">
        <w:rPr>
          <w:b w:val="0"/>
          <w:bCs w:val="0"/>
        </w:rPr>
        <w:t xml:space="preserve"> </w:t>
      </w:r>
      <w:r>
        <w:rPr>
          <w:b w:val="0"/>
          <w:bCs w:val="0"/>
        </w:rPr>
        <w:t>2016</w:t>
      </w:r>
      <w:r w:rsidRPr="002643F7">
        <w:rPr>
          <w:b w:val="0"/>
          <w:bCs w:val="0"/>
        </w:rPr>
        <w:t xml:space="preserve"> was</w:t>
      </w:r>
      <w:r>
        <w:rPr>
          <w:b w:val="0"/>
          <w:bCs w:val="0"/>
        </w:rPr>
        <w:t xml:space="preserve"> 557 cubic meters per higher education establishment, while was</w:t>
      </w:r>
      <w:r w:rsidRPr="002643F7">
        <w:rPr>
          <w:b w:val="0"/>
          <w:bCs w:val="0"/>
        </w:rPr>
        <w:t xml:space="preserve"> </w:t>
      </w:r>
      <w:r>
        <w:rPr>
          <w:b w:val="0"/>
          <w:bCs w:val="0"/>
        </w:rPr>
        <w:t>95</w:t>
      </w:r>
      <w:r w:rsidRPr="002643F7">
        <w:rPr>
          <w:b w:val="0"/>
          <w:bCs w:val="0"/>
        </w:rPr>
        <w:t xml:space="preserve"> cubic meters</w:t>
      </w:r>
      <w:r>
        <w:rPr>
          <w:b w:val="0"/>
          <w:bCs w:val="0"/>
        </w:rPr>
        <w:t xml:space="preserve"> per school, and 22</w:t>
      </w:r>
      <w:r w:rsidRPr="002643F7">
        <w:rPr>
          <w:b w:val="0"/>
          <w:bCs w:val="0"/>
        </w:rPr>
        <w:t xml:space="preserve"> cubic meters </w:t>
      </w:r>
      <w:r>
        <w:rPr>
          <w:b w:val="0"/>
          <w:bCs w:val="0"/>
        </w:rPr>
        <w:t>per</w:t>
      </w:r>
      <w:r w:rsidRPr="002643F7">
        <w:rPr>
          <w:b w:val="0"/>
          <w:bCs w:val="0"/>
        </w:rPr>
        <w:t xml:space="preserve"> kindergarten in Palestine. </w:t>
      </w:r>
    </w:p>
    <w:p w:rsidR="00342F8D" w:rsidRPr="00342F8D" w:rsidRDefault="00342F8D" w:rsidP="00342F8D">
      <w:pPr>
        <w:pStyle w:val="Title"/>
        <w:bidi w:val="0"/>
        <w:jc w:val="lowKashida"/>
        <w:rPr>
          <w:rFonts w:asciiTheme="majorBidi" w:hAnsiTheme="majorBidi" w:cstheme="majorBidi"/>
          <w:b w:val="0"/>
          <w:bCs w:val="0"/>
          <w:sz w:val="16"/>
          <w:szCs w:val="16"/>
          <w:rtl/>
          <w:lang w:eastAsia="en-US"/>
        </w:rPr>
      </w:pPr>
    </w:p>
    <w:p w:rsidR="00342F8D" w:rsidRPr="004B716E" w:rsidRDefault="00342F8D" w:rsidP="00342F8D">
      <w:pPr>
        <w:pStyle w:val="Title"/>
        <w:bidi w:val="0"/>
        <w:jc w:val="both"/>
        <w:rPr>
          <w:rStyle w:val="Emphasis"/>
          <w:b w:val="0"/>
          <w:bCs w:val="0"/>
        </w:rPr>
      </w:pPr>
      <w:r w:rsidRPr="004B716E">
        <w:rPr>
          <w:b w:val="0"/>
          <w:bCs w:val="0"/>
        </w:rPr>
        <w:t xml:space="preserve">Data revealed that </w:t>
      </w:r>
      <w:r>
        <w:rPr>
          <w:b w:val="0"/>
          <w:bCs w:val="0"/>
        </w:rPr>
        <w:t>93.7</w:t>
      </w:r>
      <w:r w:rsidRPr="004B716E">
        <w:rPr>
          <w:b w:val="0"/>
          <w:bCs w:val="0"/>
        </w:rPr>
        <w:t xml:space="preserve">% of higher education establishments, </w:t>
      </w:r>
      <w:r>
        <w:rPr>
          <w:b w:val="0"/>
          <w:bCs w:val="0"/>
        </w:rPr>
        <w:t>95.9</w:t>
      </w:r>
      <w:r w:rsidRPr="004B716E">
        <w:rPr>
          <w:b w:val="0"/>
          <w:bCs w:val="0"/>
        </w:rPr>
        <w:t>% of schools</w:t>
      </w:r>
      <w:r>
        <w:rPr>
          <w:b w:val="0"/>
          <w:bCs w:val="0"/>
        </w:rPr>
        <w:t>,</w:t>
      </w:r>
      <w:r w:rsidRPr="004B716E">
        <w:rPr>
          <w:b w:val="0"/>
          <w:bCs w:val="0"/>
        </w:rPr>
        <w:t xml:space="preserve"> and </w:t>
      </w:r>
      <w:r>
        <w:rPr>
          <w:b w:val="0"/>
          <w:bCs w:val="0"/>
        </w:rPr>
        <w:t>95.2</w:t>
      </w:r>
      <w:r w:rsidRPr="004B716E">
        <w:rPr>
          <w:b w:val="0"/>
          <w:bCs w:val="0"/>
        </w:rPr>
        <w:t>% of kindergartens in Palestine are supplied with water from a water network</w:t>
      </w:r>
      <w:r w:rsidRPr="004B716E">
        <w:rPr>
          <w:rStyle w:val="Emphasis"/>
          <w:b w:val="0"/>
          <w:bCs w:val="0"/>
        </w:rPr>
        <w:t>.</w:t>
      </w: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Pr="00342F8D" w:rsidRDefault="00342F8D" w:rsidP="00342F8D">
      <w:pPr>
        <w:bidi w:val="0"/>
        <w:ind w:left="1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342F8D">
        <w:rPr>
          <w:rFonts w:asciiTheme="majorBidi" w:hAnsiTheme="majorBidi" w:cstheme="majorBidi"/>
          <w:b/>
          <w:bCs/>
          <w:sz w:val="25"/>
          <w:szCs w:val="25"/>
        </w:rPr>
        <w:t>Percentage of Educational Establishments in Palestine by Some Sources of Obtaining Water and Sector, 2016</w:t>
      </w:r>
    </w:p>
    <w:p w:rsidR="00342F8D" w:rsidRPr="00342F8D" w:rsidRDefault="00342F8D" w:rsidP="00342F8D">
      <w:pPr>
        <w:bidi w:val="0"/>
        <w:ind w:left="1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W w:w="0" w:type="auto"/>
        <w:jc w:val="center"/>
        <w:tblInd w:w="2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2"/>
      </w:tblGrid>
      <w:tr w:rsidR="00342F8D" w:rsidTr="00342F8D">
        <w:trPr>
          <w:jc w:val="center"/>
        </w:trPr>
        <w:tc>
          <w:tcPr>
            <w:tcW w:w="5412" w:type="dxa"/>
          </w:tcPr>
          <w:p w:rsidR="00342F8D" w:rsidRPr="002643F7" w:rsidRDefault="00342F8D" w:rsidP="00342F8D">
            <w:pPr>
              <w:bidi w:val="0"/>
              <w:jc w:val="center"/>
              <w:rPr>
                <w:rFonts w:cs="Simplified Arabic"/>
                <w:sz w:val="16"/>
                <w:szCs w:val="16"/>
              </w:rPr>
            </w:pPr>
            <w:r>
              <w:rPr>
                <w:rFonts w:cs="Simplified Arabic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2943225" cy="2362200"/>
                  <wp:effectExtent l="0" t="0" r="0" b="0"/>
                  <wp:docPr id="2" name="Objec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342F8D" w:rsidRPr="00342F8D" w:rsidRDefault="00342F8D" w:rsidP="00342F8D">
      <w:pPr>
        <w:bidi w:val="0"/>
        <w:jc w:val="both"/>
        <w:rPr>
          <w:b/>
          <w:bCs/>
          <w:sz w:val="16"/>
          <w:szCs w:val="16"/>
        </w:rPr>
      </w:pPr>
    </w:p>
    <w:p w:rsidR="00342F8D" w:rsidRPr="00342F8D" w:rsidRDefault="00342F8D" w:rsidP="00342F8D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342F8D">
        <w:rPr>
          <w:rFonts w:asciiTheme="majorBidi" w:hAnsiTheme="majorBidi" w:cstheme="majorBidi"/>
          <w:b/>
          <w:bCs/>
          <w:sz w:val="25"/>
          <w:szCs w:val="25"/>
        </w:rPr>
        <w:t>More than half of schools in Palestine are not connected to wastewater network</w:t>
      </w:r>
    </w:p>
    <w:p w:rsidR="00342F8D" w:rsidRDefault="00342F8D" w:rsidP="00342F8D">
      <w:pPr>
        <w:pStyle w:val="BodyText2"/>
        <w:tabs>
          <w:tab w:val="left" w:pos="7183"/>
        </w:tabs>
        <w:bidi w:val="0"/>
        <w:spacing w:after="0" w:line="240" w:lineRule="auto"/>
        <w:jc w:val="both"/>
      </w:pPr>
      <w:r>
        <w:t>The survey r</w:t>
      </w:r>
      <w:r w:rsidRPr="008C6565">
        <w:t xml:space="preserve">esults showed that </w:t>
      </w:r>
      <w:r>
        <w:t>48.1</w:t>
      </w:r>
      <w:r w:rsidRPr="008C6565">
        <w:t xml:space="preserve">% of </w:t>
      </w:r>
      <w:r>
        <w:t>schools</w:t>
      </w:r>
      <w:r w:rsidRPr="008C6565">
        <w:t xml:space="preserve"> in </w:t>
      </w:r>
      <w:r>
        <w:t>Palestine</w:t>
      </w:r>
      <w:r w:rsidRPr="008C6565">
        <w:t xml:space="preserve"> dispose </w:t>
      </w:r>
      <w:r>
        <w:t xml:space="preserve">of </w:t>
      </w:r>
      <w:r w:rsidRPr="008C6565">
        <w:t xml:space="preserve">wastewater through the </w:t>
      </w:r>
      <w:r>
        <w:t>wastewater</w:t>
      </w:r>
      <w:r w:rsidRPr="008C6565">
        <w:t xml:space="preserve"> network</w:t>
      </w:r>
      <w:r>
        <w:t xml:space="preserve"> and</w:t>
      </w:r>
      <w:r w:rsidRPr="008C6565">
        <w:t xml:space="preserve"> </w:t>
      </w:r>
      <w:r>
        <w:t>39.4</w:t>
      </w:r>
      <w:r w:rsidRPr="008C6565">
        <w:t xml:space="preserve">% use </w:t>
      </w:r>
      <w:r>
        <w:t xml:space="preserve">a </w:t>
      </w:r>
      <w:r w:rsidRPr="008C6565">
        <w:t>porous cesspit</w:t>
      </w:r>
      <w:r>
        <w:t xml:space="preserve">.  Data showed that 58.6% of kindergartens in Palestine </w:t>
      </w:r>
      <w:r w:rsidRPr="008C6565">
        <w:t xml:space="preserve">dispose </w:t>
      </w:r>
      <w:r>
        <w:t xml:space="preserve">of </w:t>
      </w:r>
      <w:r w:rsidRPr="008C6565">
        <w:t xml:space="preserve">wastewater through the </w:t>
      </w:r>
      <w:r>
        <w:t>wastewater</w:t>
      </w:r>
      <w:r w:rsidRPr="008C6565">
        <w:t xml:space="preserve"> network</w:t>
      </w:r>
      <w:r>
        <w:t>. In higher education</w:t>
      </w:r>
      <w:r w:rsidRPr="008C6565">
        <w:t xml:space="preserve"> establishments in </w:t>
      </w:r>
      <w:r>
        <w:t>Palestine, 90.5%</w:t>
      </w:r>
      <w:r w:rsidRPr="008C6565">
        <w:t xml:space="preserve"> dispose </w:t>
      </w:r>
      <w:r>
        <w:t xml:space="preserve">of </w:t>
      </w:r>
      <w:r w:rsidRPr="008C6565">
        <w:t xml:space="preserve">wastewater through the </w:t>
      </w:r>
      <w:r>
        <w:t>wastewater</w:t>
      </w:r>
      <w:r w:rsidRPr="008C6565">
        <w:t xml:space="preserve"> network</w:t>
      </w:r>
      <w:r>
        <w:t xml:space="preserve"> and 7.9</w:t>
      </w:r>
      <w:r w:rsidRPr="008C6565">
        <w:t xml:space="preserve">% use </w:t>
      </w:r>
      <w:r>
        <w:t xml:space="preserve">a </w:t>
      </w:r>
      <w:r w:rsidRPr="008C6565">
        <w:t>porous cesspit</w:t>
      </w:r>
      <w:r>
        <w:t>.</w:t>
      </w:r>
    </w:p>
    <w:p w:rsidR="00342F8D" w:rsidRPr="00342F8D" w:rsidRDefault="00342F8D" w:rsidP="00342F8D">
      <w:pPr>
        <w:bidi w:val="0"/>
        <w:rPr>
          <w:rFonts w:asciiTheme="majorBidi" w:hAnsiTheme="majorBidi" w:cstheme="majorBidi"/>
          <w:b/>
          <w:bCs/>
          <w:sz w:val="16"/>
          <w:szCs w:val="16"/>
        </w:rPr>
      </w:pPr>
    </w:p>
    <w:p w:rsidR="00342F8D" w:rsidRDefault="00342F8D" w:rsidP="00342F8D">
      <w:pPr>
        <w:bidi w:val="0"/>
        <w:jc w:val="center"/>
        <w:rPr>
          <w:rFonts w:asciiTheme="majorBidi" w:hAnsiTheme="majorBidi" w:cstheme="majorBidi"/>
          <w:b/>
          <w:bCs/>
          <w:sz w:val="25"/>
          <w:szCs w:val="25"/>
        </w:rPr>
      </w:pPr>
      <w:r w:rsidRPr="00342F8D">
        <w:rPr>
          <w:rFonts w:asciiTheme="majorBidi" w:hAnsiTheme="majorBidi" w:cstheme="majorBidi"/>
          <w:b/>
          <w:bCs/>
          <w:sz w:val="25"/>
          <w:szCs w:val="25"/>
        </w:rPr>
        <w:t>Percentage of Educational Establishments in Palestine by Some Wastewater Disposal Methods and Sector, 2016</w:t>
      </w:r>
    </w:p>
    <w:p w:rsidR="00342F8D" w:rsidRPr="00342F8D" w:rsidRDefault="00342F8D" w:rsidP="00342F8D">
      <w:pPr>
        <w:bidi w:val="0"/>
        <w:jc w:val="center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W w:w="0" w:type="auto"/>
        <w:jc w:val="center"/>
        <w:tblInd w:w="2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1"/>
      </w:tblGrid>
      <w:tr w:rsidR="00342F8D" w:rsidTr="00342F8D">
        <w:trPr>
          <w:trHeight w:val="3932"/>
          <w:jc w:val="center"/>
        </w:trPr>
        <w:tc>
          <w:tcPr>
            <w:tcW w:w="5495" w:type="dxa"/>
          </w:tcPr>
          <w:p w:rsidR="00342F8D" w:rsidRPr="00F47FDA" w:rsidRDefault="00342F8D" w:rsidP="00326EFF">
            <w:pPr>
              <w:bidi w:val="0"/>
              <w:jc w:val="center"/>
              <w:rPr>
                <w:rFonts w:cs="Simplified Arabic"/>
                <w:sz w:val="16"/>
                <w:szCs w:val="16"/>
              </w:rPr>
            </w:pPr>
            <w:r>
              <w:rPr>
                <w:rFonts w:cs="Simplified Arabic"/>
                <w:noProof/>
                <w:sz w:val="16"/>
                <w:szCs w:val="16"/>
                <w:lang w:eastAsia="en-US"/>
              </w:rPr>
              <w:drawing>
                <wp:inline distT="0" distB="0" distL="0" distR="0">
                  <wp:extent cx="3381375" cy="2466975"/>
                  <wp:effectExtent l="0" t="0" r="0" b="0"/>
                  <wp:docPr id="3" name="Objec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42F8D" w:rsidRPr="000D60BB" w:rsidRDefault="00342F8D" w:rsidP="00342F8D">
      <w:pPr>
        <w:bidi w:val="0"/>
        <w:jc w:val="both"/>
        <w:rPr>
          <w:b/>
          <w:bCs/>
          <w:sz w:val="16"/>
          <w:szCs w:val="16"/>
        </w:rPr>
      </w:pPr>
    </w:p>
    <w:p w:rsidR="00342F8D" w:rsidRPr="00342F8D" w:rsidRDefault="00342F8D" w:rsidP="00342F8D">
      <w:pPr>
        <w:bidi w:val="0"/>
        <w:jc w:val="both"/>
        <w:rPr>
          <w:rFonts w:asciiTheme="majorBidi" w:hAnsiTheme="majorBidi" w:cstheme="majorBidi"/>
          <w:b/>
          <w:bCs/>
          <w:sz w:val="25"/>
          <w:szCs w:val="25"/>
        </w:rPr>
      </w:pPr>
      <w:r w:rsidRPr="00342F8D">
        <w:rPr>
          <w:rFonts w:asciiTheme="majorBidi" w:hAnsiTheme="majorBidi" w:cstheme="majorBidi"/>
          <w:b/>
          <w:bCs/>
          <w:sz w:val="25"/>
          <w:szCs w:val="25"/>
        </w:rPr>
        <w:t>Around 87 tons of solid waste are produced daily in educational establishments in Palestine</w:t>
      </w:r>
    </w:p>
    <w:p w:rsidR="00342F8D" w:rsidRDefault="00342F8D" w:rsidP="00342F8D">
      <w:pPr>
        <w:pStyle w:val="Title"/>
        <w:bidi w:val="0"/>
        <w:jc w:val="both"/>
      </w:pPr>
      <w:r w:rsidRPr="004B716E">
        <w:rPr>
          <w:b w:val="0"/>
          <w:bCs w:val="0"/>
        </w:rPr>
        <w:t>The daily</w:t>
      </w:r>
      <w:r w:rsidRPr="00884252">
        <w:t xml:space="preserve"> </w:t>
      </w:r>
      <w:r w:rsidRPr="004B716E">
        <w:rPr>
          <w:b w:val="0"/>
          <w:bCs w:val="0"/>
        </w:rPr>
        <w:t xml:space="preserve">total of solid waste generated from educational establishments in Palestine was </w:t>
      </w:r>
      <w:r>
        <w:rPr>
          <w:b w:val="0"/>
          <w:bCs w:val="0"/>
        </w:rPr>
        <w:t>86.9</w:t>
      </w:r>
      <w:r w:rsidRPr="004B716E">
        <w:rPr>
          <w:b w:val="0"/>
          <w:bCs w:val="0"/>
        </w:rPr>
        <w:t xml:space="preserve"> tons: </w:t>
      </w:r>
      <w:r>
        <w:rPr>
          <w:b w:val="0"/>
          <w:bCs w:val="0"/>
        </w:rPr>
        <w:t>61.1</w:t>
      </w:r>
      <w:r w:rsidRPr="004B716E">
        <w:rPr>
          <w:b w:val="0"/>
          <w:bCs w:val="0"/>
        </w:rPr>
        <w:t xml:space="preserve"> tons per day in the West Bank and </w:t>
      </w:r>
      <w:r>
        <w:rPr>
          <w:b w:val="0"/>
          <w:bCs w:val="0"/>
        </w:rPr>
        <w:t>25.8</w:t>
      </w:r>
      <w:r w:rsidRPr="004B716E">
        <w:rPr>
          <w:b w:val="0"/>
          <w:bCs w:val="0"/>
        </w:rPr>
        <w:t xml:space="preserve"> tons per day in Gaza Strip.</w:t>
      </w:r>
    </w:p>
    <w:p w:rsidR="00342F8D" w:rsidRDefault="00342F8D" w:rsidP="00342F8D">
      <w:pPr>
        <w:autoSpaceDE w:val="0"/>
        <w:autoSpaceDN w:val="0"/>
        <w:bidi w:val="0"/>
      </w:pPr>
    </w:p>
    <w:p w:rsidR="00342F8D" w:rsidRDefault="00342F8D" w:rsidP="00342F8D">
      <w:pPr>
        <w:bidi w:val="0"/>
        <w:jc w:val="both"/>
      </w:pPr>
    </w:p>
    <w:p w:rsidR="00342F8D" w:rsidRDefault="00342F8D" w:rsidP="00342F8D">
      <w:pPr>
        <w:bidi w:val="0"/>
        <w:jc w:val="both"/>
      </w:pPr>
    </w:p>
    <w:p w:rsidR="00342F8D" w:rsidRDefault="00342F8D" w:rsidP="00342F8D">
      <w:pPr>
        <w:bidi w:val="0"/>
        <w:jc w:val="both"/>
      </w:pPr>
    </w:p>
    <w:p w:rsidR="00342F8D" w:rsidRDefault="00342F8D" w:rsidP="00342F8D">
      <w:pPr>
        <w:autoSpaceDE w:val="0"/>
        <w:autoSpaceDN w:val="0"/>
        <w:bidi w:val="0"/>
        <w:rPr>
          <w:b/>
          <w:bCs/>
          <w:color w:val="000000"/>
          <w:sz w:val="23"/>
          <w:szCs w:val="23"/>
        </w:rPr>
      </w:pPr>
    </w:p>
    <w:p w:rsidR="00177248" w:rsidRDefault="00177248" w:rsidP="00342F8D">
      <w:pPr>
        <w:bidi w:val="0"/>
        <w:rPr>
          <w:rFonts w:hint="cs"/>
        </w:rPr>
      </w:pPr>
    </w:p>
    <w:sectPr w:rsidR="00177248" w:rsidSect="00342F8D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875" w:rsidRDefault="00743875" w:rsidP="00342F8D">
      <w:r>
        <w:separator/>
      </w:r>
    </w:p>
  </w:endnote>
  <w:endnote w:type="continuationSeparator" w:id="0">
    <w:p w:rsidR="00743875" w:rsidRDefault="00743875" w:rsidP="0034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40B" w:rsidRDefault="00743875" w:rsidP="00C9569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7740B" w:rsidRDefault="0074387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40B" w:rsidRDefault="00743875" w:rsidP="00C9569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D7229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57740B" w:rsidRDefault="007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875" w:rsidRDefault="00743875" w:rsidP="00342F8D">
      <w:r>
        <w:separator/>
      </w:r>
    </w:p>
  </w:footnote>
  <w:footnote w:type="continuationSeparator" w:id="0">
    <w:p w:rsidR="00743875" w:rsidRDefault="00743875" w:rsidP="00342F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F8D"/>
    <w:rsid w:val="000D60BB"/>
    <w:rsid w:val="00177248"/>
    <w:rsid w:val="00342F8D"/>
    <w:rsid w:val="005E7849"/>
    <w:rsid w:val="00743875"/>
    <w:rsid w:val="008D7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8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42F8D"/>
    <w:pPr>
      <w:keepNext/>
      <w:bidi w:val="0"/>
      <w:jc w:val="center"/>
      <w:outlineLvl w:val="1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F8D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342F8D"/>
    <w:pPr>
      <w:jc w:val="center"/>
    </w:pPr>
    <w:rPr>
      <w:rFonts w:cs="Simplified Arabic"/>
      <w:b/>
      <w:bCs/>
    </w:rPr>
  </w:style>
  <w:style w:type="character" w:customStyle="1" w:styleId="TitleChar">
    <w:name w:val="Title Char"/>
    <w:basedOn w:val="DefaultParagraphFont"/>
    <w:link w:val="Title"/>
    <w:rsid w:val="00342F8D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342F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42F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DefaultParagraphFont"/>
    <w:rsid w:val="00342F8D"/>
    <w:rPr>
      <w:strike w:val="0"/>
      <w:dstrike w:val="0"/>
      <w:color w:val="C9581E"/>
      <w:u w:val="none"/>
      <w:effect w:val="none"/>
    </w:rPr>
  </w:style>
  <w:style w:type="paragraph" w:styleId="Footer">
    <w:name w:val="footer"/>
    <w:basedOn w:val="Normal"/>
    <w:link w:val="FooterChar"/>
    <w:rsid w:val="00342F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342F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342F8D"/>
  </w:style>
  <w:style w:type="paragraph" w:styleId="BodyText2">
    <w:name w:val="Body Text 2"/>
    <w:basedOn w:val="Normal"/>
    <w:link w:val="BodyText2Char"/>
    <w:rsid w:val="00342F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2F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qFormat/>
    <w:rsid w:val="00342F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F8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776533488869459"/>
          <c:y val="5.2419179309903349E-2"/>
          <c:w val="0.78511130553125286"/>
          <c:h val="0.70108827859932155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Noise</c:v>
                </c:pt>
              </c:strCache>
            </c:strRef>
          </c:tx>
          <c:spPr>
            <a:solidFill>
              <a:schemeClr val="bg1"/>
            </a:solidFill>
            <a:ln w="11982">
              <a:solidFill>
                <a:srgbClr val="000000"/>
              </a:solidFill>
              <a:prstDash val="solid"/>
            </a:ln>
          </c:spPr>
          <c:dLbls>
            <c:dLbl>
              <c:idx val="0"/>
              <c:numFmt formatCode="#,##0.0" sourceLinked="0"/>
              <c:spPr>
                <a:noFill/>
              </c:spPr>
              <c:txPr>
                <a:bodyPr/>
                <a:lstStyle/>
                <a:p>
                  <a:pPr>
                    <a:defRPr sz="755" baseline="0"/>
                  </a:pPr>
                  <a:endParaRPr lang="ar-SA"/>
                </a:p>
              </c:txPr>
            </c:dLbl>
            <c:numFmt formatCode="#,##0.0" sourceLinked="0"/>
            <c:txPr>
              <a:bodyPr/>
              <a:lstStyle/>
              <a:p>
                <a:pPr>
                  <a:defRPr sz="755" baseline="0"/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Higher Education</c:v>
                </c:pt>
                <c:pt idx="1">
                  <c:v>Schools</c:v>
                </c:pt>
                <c:pt idx="2">
                  <c:v>Kindergartens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58.7</c:v>
                </c:pt>
                <c:pt idx="1">
                  <c:v>41.3</c:v>
                </c:pt>
                <c:pt idx="2">
                  <c:v>27.6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Smell</c:v>
                </c:pt>
              </c:strCache>
            </c:strRef>
          </c:tx>
          <c:dLbls>
            <c:dLbl>
              <c:idx val="0"/>
              <c:layout>
                <c:manualLayout>
                  <c:x val="2.96296296296296E-2"/>
                  <c:y val="0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4.4444444444444467E-2"/>
                  <c:y val="0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3.9506172839506172E-2"/>
                  <c:y val="5.420054200541956E-3"/>
                </c:manualLayout>
              </c:layout>
              <c:dLblPos val="outEnd"/>
              <c:showVal val="1"/>
            </c:dLbl>
            <c:numFmt formatCode="#,##0.0" sourceLinked="0"/>
            <c:txPr>
              <a:bodyPr/>
              <a:lstStyle/>
              <a:p>
                <a:pPr>
                  <a:defRPr sz="755"/>
                </a:pPr>
                <a:endParaRPr lang="ar-SA"/>
              </a:p>
            </c:txPr>
            <c:showVal val="1"/>
          </c:dLbls>
          <c:cat>
            <c:strRef>
              <c:f>Sheet1!$B$1:$D$1</c:f>
              <c:strCache>
                <c:ptCount val="3"/>
                <c:pt idx="0">
                  <c:v>Higher Education</c:v>
                </c:pt>
                <c:pt idx="1">
                  <c:v>Schools</c:v>
                </c:pt>
                <c:pt idx="2">
                  <c:v>Kindergartens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41.3</c:v>
                </c:pt>
                <c:pt idx="1">
                  <c:v>36.5</c:v>
                </c:pt>
                <c:pt idx="2">
                  <c:v>22.5</c:v>
                </c:pt>
              </c:numCache>
            </c:numRef>
          </c:val>
        </c:ser>
        <c:dLbls>
          <c:showVal val="1"/>
        </c:dLbls>
        <c:axId val="111705472"/>
        <c:axId val="111764992"/>
      </c:barChart>
      <c:catAx>
        <c:axId val="1117054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4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Sector</a:t>
                </a:r>
              </a:p>
            </c:rich>
          </c:tx>
          <c:layout>
            <c:manualLayout>
              <c:xMode val="edge"/>
              <c:yMode val="edge"/>
              <c:x val="0.38685802010597742"/>
              <c:y val="0.92555064763246053"/>
            </c:manualLayout>
          </c:layout>
          <c:spPr>
            <a:noFill/>
            <a:ln w="23964">
              <a:noFill/>
            </a:ln>
          </c:spPr>
        </c:title>
        <c:numFmt formatCode="General" sourceLinked="1"/>
        <c:tickLblPos val="nextTo"/>
        <c:spPr>
          <a:ln w="29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1764992"/>
        <c:crosses val="autoZero"/>
        <c:auto val="1"/>
        <c:lblAlgn val="ctr"/>
        <c:lblOffset val="100"/>
        <c:tickLblSkip val="1"/>
        <c:tickMarkSkip val="1"/>
      </c:catAx>
      <c:valAx>
        <c:axId val="111764992"/>
        <c:scaling>
          <c:orientation val="minMax"/>
          <c:max val="60"/>
          <c:min val="0"/>
        </c:scaling>
        <c:axPos val="l"/>
        <c:title>
          <c:tx>
            <c:rich>
              <a:bodyPr rot="-5400000" vert="horz"/>
              <a:lstStyle/>
              <a:p>
                <a:pPr algn="ctr">
                  <a:defRPr sz="849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 sz="755"/>
                  <a:t>Percentage</a:t>
                </a:r>
              </a:p>
            </c:rich>
          </c:tx>
          <c:layout>
            <c:manualLayout>
              <c:xMode val="edge"/>
              <c:yMode val="edge"/>
              <c:x val="2.1112266627048982E-3"/>
              <c:y val="0.27698098713270619"/>
            </c:manualLayout>
          </c:layout>
          <c:spPr>
            <a:noFill/>
            <a:ln w="23964">
              <a:noFill/>
            </a:ln>
          </c:spPr>
        </c:title>
        <c:numFmt formatCode="General" sourceLinked="1"/>
        <c:tickLblPos val="nextTo"/>
        <c:spPr>
          <a:ln w="299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9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11705472"/>
        <c:crosses val="autoZero"/>
        <c:crossBetween val="between"/>
        <c:majorUnit val="10"/>
        <c:minorUnit val="1"/>
      </c:valAx>
      <c:spPr>
        <a:solidFill>
          <a:srgbClr val="FFFFFF"/>
        </a:solidFill>
        <a:ln w="23964">
          <a:noFill/>
        </a:ln>
      </c:spPr>
    </c:plotArea>
    <c:legend>
      <c:legendPos val="r"/>
      <c:layout>
        <c:manualLayout>
          <c:xMode val="edge"/>
          <c:yMode val="edge"/>
          <c:x val="0.62238597533798834"/>
          <c:y val="4.0031581418176407E-2"/>
          <c:w val="0.35754766503243712"/>
          <c:h val="9.4912831018074018E-2"/>
        </c:manualLayout>
      </c:layout>
      <c:spPr>
        <a:ln>
          <a:solidFill>
            <a:schemeClr val="accent1"/>
          </a:solidFill>
        </a:ln>
      </c:spPr>
      <c:txPr>
        <a:bodyPr/>
        <a:lstStyle/>
        <a:p>
          <a:pPr>
            <a:defRPr sz="755"/>
          </a:pPr>
          <a:endParaRPr lang="ar-SA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725258352606924"/>
          <c:y val="0.17525020438019145"/>
          <c:w val="0.82956749218228909"/>
          <c:h val="0.58239131873221706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Water Network</c:v>
                </c:pt>
              </c:strCache>
            </c:strRef>
          </c:tx>
          <c:dLbls>
            <c:showVal val="1"/>
          </c:dLbls>
          <c:cat>
            <c:strRef>
              <c:f>Sheet1!$A$2:$A$4</c:f>
              <c:strCache>
                <c:ptCount val="3"/>
                <c:pt idx="0">
                  <c:v>Schools</c:v>
                </c:pt>
                <c:pt idx="1">
                  <c:v>Kindergatens</c:v>
                </c:pt>
                <c:pt idx="2">
                  <c:v>Higher Education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95.9</c:v>
                </c:pt>
                <c:pt idx="1">
                  <c:v>95.2</c:v>
                </c:pt>
                <c:pt idx="2" formatCode="0.0">
                  <c:v>93.7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Water Tanks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dLbls>
            <c:showVal val="1"/>
          </c:dLbls>
          <c:cat>
            <c:strRef>
              <c:f>Sheet1!$A$2:$A$4</c:f>
              <c:strCache>
                <c:ptCount val="3"/>
                <c:pt idx="0">
                  <c:v>Schools</c:v>
                </c:pt>
                <c:pt idx="1">
                  <c:v>Kindergatens</c:v>
                </c:pt>
                <c:pt idx="2">
                  <c:v>Higher Education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 formatCode="General">
                  <c:v>33.9</c:v>
                </c:pt>
                <c:pt idx="1">
                  <c:v>47</c:v>
                </c:pt>
                <c:pt idx="2">
                  <c:v>47.6</c:v>
                </c:pt>
              </c:numCache>
            </c:numRef>
          </c:val>
        </c:ser>
        <c:axId val="134369280"/>
        <c:axId val="134371584"/>
      </c:barChart>
      <c:catAx>
        <c:axId val="1343692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2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Sector</a:t>
                </a:r>
              </a:p>
            </c:rich>
          </c:tx>
          <c:layout>
            <c:manualLayout>
              <c:xMode val="edge"/>
              <c:yMode val="edge"/>
              <c:x val="0.48720675016294113"/>
              <c:y val="0.92302873905467719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734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4371584"/>
        <c:crosses val="autoZero"/>
        <c:auto val="1"/>
        <c:lblAlgn val="ctr"/>
        <c:lblOffset val="100"/>
      </c:catAx>
      <c:valAx>
        <c:axId val="134371584"/>
        <c:scaling>
          <c:orientation val="minMax"/>
          <c:max val="100"/>
        </c:scaling>
        <c:axPos val="l"/>
        <c:title>
          <c:tx>
            <c:rich>
              <a:bodyPr rot="-5400000" vert="horz"/>
              <a:lstStyle/>
              <a:p>
                <a:pPr algn="ctr">
                  <a:defRPr sz="82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 sz="734"/>
                  <a:t>Percentage</a:t>
                </a:r>
              </a:p>
            </c:rich>
          </c:tx>
          <c:layout>
            <c:manualLayout>
              <c:xMode val="edge"/>
              <c:yMode val="edge"/>
              <c:x val="0"/>
              <c:y val="0.3282436754229252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734" baseline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34369280"/>
        <c:crosses val="autoZero"/>
        <c:crossBetween val="between"/>
        <c:majorUnit val="20"/>
      </c:valAx>
      <c:spPr>
        <a:noFill/>
        <a:ln w="23319">
          <a:noFill/>
        </a:ln>
      </c:spPr>
    </c:plotArea>
    <c:legend>
      <c:legendPos val="t"/>
      <c:layout>
        <c:manualLayout>
          <c:xMode val="edge"/>
          <c:yMode val="edge"/>
          <c:x val="4.4936144726875592E-2"/>
          <c:y val="6.3874368645095835E-4"/>
          <c:w val="0.9"/>
          <c:h val="9.7403118727806118E-2"/>
        </c:manualLayout>
      </c:layout>
      <c:spPr>
        <a:ln>
          <a:solidFill>
            <a:srgbClr val="000000"/>
          </a:solidFill>
        </a:ln>
      </c:spPr>
      <c:txPr>
        <a:bodyPr/>
        <a:lstStyle/>
        <a:p>
          <a:pPr>
            <a:defRPr sz="826"/>
          </a:pPr>
          <a:endParaRPr lang="ar-SA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9175458330866538"/>
          <c:y val="0.17525020438019182"/>
          <c:w val="0.80824541669133498"/>
          <c:h val="0.57788958198407014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Wastewater Network</c:v>
                </c:pt>
              </c:strCache>
            </c:strRef>
          </c:tx>
          <c:dLbls>
            <c:dLbl>
              <c:idx val="2"/>
              <c:layout>
                <c:manualLayout>
                  <c:x val="-1.4425474043467352E-2"/>
                  <c:y val="-4.0875435317667E-3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734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Higher Education </c:v>
                </c:pt>
                <c:pt idx="1">
                  <c:v>Kindergartens</c:v>
                </c:pt>
                <c:pt idx="2">
                  <c:v>Schools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 formatCode="0.0">
                  <c:v>90.5</c:v>
                </c:pt>
                <c:pt idx="1">
                  <c:v>58.6</c:v>
                </c:pt>
                <c:pt idx="2">
                  <c:v>48.1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Porous Cesspit</c:v>
                </c:pt>
              </c:strCache>
            </c:strRef>
          </c:tx>
          <c:dLbls>
            <c:dLbl>
              <c:idx val="1"/>
              <c:layout>
                <c:manualLayout>
                  <c:x val="4.5112781954887271E-2"/>
                  <c:y val="5.7720057720057729E-3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3.5087719298245612E-2"/>
                  <c:y val="5.2909441695667574E-17"/>
                </c:manualLayout>
              </c:layout>
              <c:dLblPos val="outEnd"/>
              <c:showVal val="1"/>
            </c:dLbl>
            <c:txPr>
              <a:bodyPr/>
              <a:lstStyle/>
              <a:p>
                <a:pPr>
                  <a:defRPr sz="734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Higher Education </c:v>
                </c:pt>
                <c:pt idx="1">
                  <c:v>Kindergartens</c:v>
                </c:pt>
                <c:pt idx="2">
                  <c:v>Schools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 formatCode="0.0">
                  <c:v>7.9</c:v>
                </c:pt>
                <c:pt idx="1">
                  <c:v>37.5</c:v>
                </c:pt>
                <c:pt idx="2">
                  <c:v>39.4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Tight Cesspit</c:v>
                </c:pt>
              </c:strCache>
            </c:strRef>
          </c:tx>
          <c:dLbls>
            <c:txPr>
              <a:bodyPr/>
              <a:lstStyle/>
              <a:p>
                <a:pPr>
                  <a:defRPr sz="734"/>
                </a:pPr>
                <a:endParaRPr lang="ar-SA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Higher Education </c:v>
                </c:pt>
                <c:pt idx="1">
                  <c:v>Kindergartens</c:v>
                </c:pt>
                <c:pt idx="2">
                  <c:v>Schools</c:v>
                </c:pt>
              </c:strCache>
            </c:strRef>
          </c:cat>
          <c:val>
            <c:numRef>
              <c:f>Sheet1!$D$2:$D$4</c:f>
              <c:numCache>
                <c:formatCode>General</c:formatCode>
                <c:ptCount val="3"/>
                <c:pt idx="0" formatCode="0.0">
                  <c:v>1.6</c:v>
                </c:pt>
                <c:pt idx="1">
                  <c:v>3.7</c:v>
                </c:pt>
                <c:pt idx="2">
                  <c:v>12.3</c:v>
                </c:pt>
              </c:numCache>
            </c:numRef>
          </c:val>
        </c:ser>
        <c:axId val="141695232"/>
        <c:axId val="142115200"/>
      </c:barChart>
      <c:catAx>
        <c:axId val="1416952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826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US"/>
                  <a:t>Sector</a:t>
                </a:r>
              </a:p>
            </c:rich>
          </c:tx>
          <c:layout>
            <c:manualLayout>
              <c:xMode val="edge"/>
              <c:yMode val="edge"/>
              <c:x val="0.47762402040170515"/>
              <c:y val="0.9205652200451685"/>
            </c:manualLayout>
          </c:layout>
        </c:title>
        <c:numFmt formatCode="General" sourceLinked="1"/>
        <c:tickLblPos val="nextTo"/>
        <c:txPr>
          <a:bodyPr rot="0" vert="horz"/>
          <a:lstStyle/>
          <a:p>
            <a:pPr>
              <a:defRPr sz="73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42115200"/>
        <c:crosses val="autoZero"/>
        <c:auto val="1"/>
        <c:lblAlgn val="ctr"/>
        <c:lblOffset val="100"/>
      </c:catAx>
      <c:valAx>
        <c:axId val="142115200"/>
        <c:scaling>
          <c:orientation val="minMax"/>
          <c:max val="100"/>
        </c:scaling>
        <c:axPos val="l"/>
        <c:title>
          <c:tx>
            <c:rich>
              <a:bodyPr rot="-5400000" vert="horz"/>
              <a:lstStyle/>
              <a:p>
                <a:pPr algn="ctr">
                  <a:defRPr sz="734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 sz="734"/>
                  <a:t>Percentage</a:t>
                </a:r>
              </a:p>
            </c:rich>
          </c:tx>
          <c:layout>
            <c:manualLayout>
              <c:xMode val="edge"/>
              <c:yMode val="edge"/>
              <c:x val="5.0121926248580632E-3"/>
              <c:y val="0.35259435593806598"/>
            </c:manualLayout>
          </c:layout>
        </c:title>
        <c:numFmt formatCode="0" sourceLinked="0"/>
        <c:tickLblPos val="nextTo"/>
        <c:txPr>
          <a:bodyPr rot="0" vert="horz"/>
          <a:lstStyle/>
          <a:p>
            <a:pPr>
              <a:defRPr sz="826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ar-SA"/>
          </a:p>
        </c:txPr>
        <c:crossAx val="141695232"/>
        <c:crosses val="autoZero"/>
        <c:crossBetween val="between"/>
        <c:majorUnit val="20"/>
      </c:valAx>
      <c:spPr>
        <a:noFill/>
        <a:ln w="23314">
          <a:noFill/>
        </a:ln>
      </c:spPr>
    </c:plotArea>
    <c:legend>
      <c:legendPos val="t"/>
      <c:layout>
        <c:manualLayout>
          <c:xMode val="edge"/>
          <c:yMode val="edge"/>
          <c:x val="0.46475679901714423"/>
          <c:y val="0"/>
          <c:w val="0.51706483498073386"/>
          <c:h val="0.23106228000569701"/>
        </c:manualLayout>
      </c:layout>
      <c:spPr>
        <a:ln>
          <a:solidFill>
            <a:srgbClr val="000000"/>
          </a:solidFill>
        </a:ln>
      </c:spPr>
      <c:txPr>
        <a:bodyPr/>
        <a:lstStyle/>
        <a:p>
          <a:pPr>
            <a:defRPr sz="844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ar-SA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18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cp:lastPrinted>2016-09-28T09:37:00Z</cp:lastPrinted>
  <dcterms:created xsi:type="dcterms:W3CDTF">2016-09-28T09:15:00Z</dcterms:created>
  <dcterms:modified xsi:type="dcterms:W3CDTF">2016-09-28T09:38:00Z</dcterms:modified>
</cp:coreProperties>
</file>