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23DBE" w14:textId="77777777" w:rsidR="00B8529C" w:rsidRDefault="00B8529C" w:rsidP="00B05BCC">
      <w:pPr>
        <w:pStyle w:val="BodyText"/>
        <w:bidi w:val="0"/>
        <w:spacing w:after="0"/>
        <w:jc w:val="both"/>
        <w:rPr>
          <w:rFonts w:asciiTheme="majorBidi" w:hAnsiTheme="majorBidi" w:cstheme="majorBidi"/>
          <w:b/>
          <w:bCs/>
          <w:sz w:val="26"/>
          <w:szCs w:val="26"/>
        </w:rPr>
      </w:pPr>
    </w:p>
    <w:p w14:paraId="31156E33" w14:textId="50BE1902" w:rsidR="00B05BCC" w:rsidRPr="00B8529C" w:rsidRDefault="00B05BCC" w:rsidP="00B8529C">
      <w:pPr>
        <w:pStyle w:val="BodyText"/>
        <w:bidi w:val="0"/>
        <w:spacing w:after="0"/>
        <w:jc w:val="both"/>
        <w:rPr>
          <w:rFonts w:asciiTheme="majorBidi" w:hAnsiTheme="majorBidi" w:cstheme="majorBidi"/>
          <w:b/>
          <w:bCs/>
          <w:sz w:val="32"/>
          <w:szCs w:val="32"/>
        </w:rPr>
      </w:pPr>
      <w:r w:rsidRPr="00B8529C">
        <w:rPr>
          <w:rFonts w:asciiTheme="majorBidi" w:hAnsiTheme="majorBidi" w:cstheme="majorBidi"/>
          <w:b/>
          <w:bCs/>
          <w:sz w:val="32"/>
          <w:szCs w:val="32"/>
        </w:rPr>
        <w:t>H.E. Dr. Awad, highlights the Forty-</w:t>
      </w:r>
      <w:r w:rsidRPr="00B8529C">
        <w:rPr>
          <w:b/>
          <w:bCs/>
          <w:color w:val="0D0D0D"/>
          <w:sz w:val="32"/>
          <w:szCs w:val="32"/>
        </w:rPr>
        <w:t xml:space="preserve"> Sixth</w:t>
      </w:r>
      <w:r w:rsidRPr="00B8529C">
        <w:rPr>
          <w:rFonts w:asciiTheme="majorBidi" w:hAnsiTheme="majorBidi" w:cstheme="majorBidi"/>
          <w:b/>
          <w:bCs/>
          <w:sz w:val="32"/>
          <w:szCs w:val="32"/>
        </w:rPr>
        <w:t xml:space="preserve"> Annual Commemoration of Land Day</w:t>
      </w:r>
      <w:r w:rsidRPr="00B8529C">
        <w:rPr>
          <w:rFonts w:asciiTheme="majorBidi" w:hAnsiTheme="majorBidi" w:cstheme="majorBidi"/>
          <w:b/>
          <w:bCs/>
          <w:sz w:val="32"/>
          <w:szCs w:val="32"/>
          <w:rtl/>
        </w:rPr>
        <w:t xml:space="preserve"> </w:t>
      </w:r>
      <w:r w:rsidRPr="00B8529C">
        <w:rPr>
          <w:rFonts w:asciiTheme="majorBidi" w:hAnsiTheme="majorBidi" w:cstheme="majorBidi"/>
          <w:b/>
          <w:bCs/>
          <w:sz w:val="32"/>
          <w:szCs w:val="32"/>
        </w:rPr>
        <w:t>in Statistical Figures</w:t>
      </w:r>
    </w:p>
    <w:p w14:paraId="1E31587F" w14:textId="77777777" w:rsidR="00B05BCC" w:rsidRPr="00B05BCC" w:rsidRDefault="00B05BCC" w:rsidP="00B05BCC">
      <w:pPr>
        <w:pStyle w:val="BodyText"/>
        <w:jc w:val="right"/>
        <w:rPr>
          <w:rFonts w:asciiTheme="majorBidi" w:hAnsiTheme="majorBidi" w:cstheme="majorBidi"/>
          <w:b/>
          <w:bCs/>
          <w:sz w:val="16"/>
          <w:szCs w:val="16"/>
        </w:rPr>
      </w:pPr>
      <w:r w:rsidRPr="00B05BCC">
        <w:rPr>
          <w:rFonts w:asciiTheme="majorBidi" w:hAnsiTheme="majorBidi" w:cstheme="majorBidi"/>
          <w:b/>
          <w:bCs/>
          <w:sz w:val="16"/>
          <w:szCs w:val="16"/>
          <w:rtl/>
        </w:rPr>
        <w:t xml:space="preserve"> </w:t>
      </w:r>
    </w:p>
    <w:p w14:paraId="661CBBED" w14:textId="1AAC922F" w:rsidR="00B05BCC" w:rsidRPr="00B8529C" w:rsidRDefault="00B05BCC" w:rsidP="00B05BCC">
      <w:pPr>
        <w:pStyle w:val="BodyText"/>
        <w:bidi w:val="0"/>
        <w:jc w:val="both"/>
        <w:rPr>
          <w:rFonts w:asciiTheme="majorBidi" w:hAnsiTheme="majorBidi" w:cstheme="majorBidi"/>
          <w:b/>
          <w:bCs/>
          <w:sz w:val="28"/>
          <w:szCs w:val="28"/>
          <w:rtl/>
        </w:rPr>
      </w:pPr>
      <w:r w:rsidRPr="00B8529C">
        <w:rPr>
          <w:rFonts w:asciiTheme="majorBidi" w:hAnsiTheme="majorBidi" w:cstheme="majorBidi"/>
          <w:b/>
          <w:bCs/>
          <w:sz w:val="28"/>
          <w:szCs w:val="28"/>
        </w:rPr>
        <w:t>On The Occasion of the Forty-</w:t>
      </w:r>
      <w:r w:rsidRPr="00B8529C">
        <w:rPr>
          <w:b/>
          <w:bCs/>
          <w:color w:val="0D0D0D"/>
          <w:sz w:val="28"/>
          <w:szCs w:val="28"/>
        </w:rPr>
        <w:t xml:space="preserve"> Sixth</w:t>
      </w:r>
      <w:r w:rsidRPr="00B8529C">
        <w:rPr>
          <w:rFonts w:asciiTheme="majorBidi" w:hAnsiTheme="majorBidi" w:cstheme="majorBidi"/>
          <w:b/>
          <w:bCs/>
          <w:sz w:val="28"/>
          <w:szCs w:val="28"/>
        </w:rPr>
        <w:t xml:space="preserve"> annual commemoration of Land Day, on 30/03/2022, H.E. Dr. Ola Awad, President of the Palestinian Central Bureau of Statistics "PCBS", highlighted the Land Day in statistical figures, as follows:</w:t>
      </w:r>
    </w:p>
    <w:p w14:paraId="2E4F211D" w14:textId="5FEBE201" w:rsidR="004D54B7" w:rsidRPr="00B05BCC" w:rsidRDefault="00B05BCC" w:rsidP="00B05BCC">
      <w:pPr>
        <w:pStyle w:val="BodyText"/>
        <w:bidi w:val="0"/>
        <w:spacing w:after="0"/>
        <w:jc w:val="center"/>
        <w:rPr>
          <w:b/>
          <w:bCs/>
          <w:color w:val="0D0D0D" w:themeColor="text1" w:themeTint="F2"/>
          <w:sz w:val="16"/>
          <w:szCs w:val="16"/>
        </w:rPr>
      </w:pPr>
      <w:r w:rsidRPr="00B05BCC">
        <w:rPr>
          <w:b/>
          <w:bCs/>
          <w:color w:val="0D0D0D" w:themeColor="text1" w:themeTint="F2"/>
          <w:sz w:val="16"/>
          <w:szCs w:val="16"/>
        </w:rPr>
        <w:t xml:space="preserve"> </w:t>
      </w:r>
    </w:p>
    <w:p w14:paraId="2CB60F9B" w14:textId="1FC97030" w:rsidR="00CA7B00" w:rsidRPr="00B8529C" w:rsidRDefault="00CA7B00" w:rsidP="00A3474D">
      <w:pPr>
        <w:pStyle w:val="BodyTextIndent"/>
        <w:ind w:left="0"/>
        <w:rPr>
          <w:color w:val="0D0D0D"/>
          <w:sz w:val="26"/>
          <w:szCs w:val="26"/>
        </w:rPr>
      </w:pPr>
      <w:r w:rsidRPr="00B8529C">
        <w:rPr>
          <w:color w:val="0D0D0D"/>
          <w:sz w:val="26"/>
          <w:szCs w:val="26"/>
        </w:rPr>
        <w:t xml:space="preserve">The Palestinian people remember the Annual Commemoration of Land Day. </w:t>
      </w:r>
      <w:r w:rsidR="00AF2BDD" w:rsidRPr="00B8529C">
        <w:rPr>
          <w:color w:val="0D0D0D"/>
          <w:sz w:val="26"/>
          <w:szCs w:val="26"/>
        </w:rPr>
        <w:t xml:space="preserve">It is the </w:t>
      </w:r>
      <w:r w:rsidRPr="00B8529C">
        <w:rPr>
          <w:color w:val="0D0D0D"/>
          <w:sz w:val="26"/>
          <w:szCs w:val="26"/>
        </w:rPr>
        <w:t>day in which the</w:t>
      </w:r>
      <w:r w:rsidR="00AF2BDD" w:rsidRPr="00B8529C">
        <w:rPr>
          <w:color w:val="0D0D0D"/>
          <w:sz w:val="26"/>
          <w:szCs w:val="26"/>
        </w:rPr>
        <w:t xml:space="preserve"> </w:t>
      </w:r>
      <w:r w:rsidRPr="00B8529C">
        <w:rPr>
          <w:color w:val="0D0D0D"/>
          <w:sz w:val="26"/>
          <w:szCs w:val="26"/>
        </w:rPr>
        <w:t>Israeli occupation laid hand over and</w:t>
      </w:r>
      <w:r w:rsidR="00AF2BDD" w:rsidRPr="00B8529C">
        <w:rPr>
          <w:color w:val="0D0D0D"/>
          <w:sz w:val="26"/>
          <w:szCs w:val="26"/>
        </w:rPr>
        <w:t xml:space="preserve"> </w:t>
      </w:r>
      <w:r w:rsidRPr="00B8529C">
        <w:rPr>
          <w:color w:val="0D0D0D"/>
          <w:sz w:val="26"/>
          <w:szCs w:val="26"/>
        </w:rPr>
        <w:t xml:space="preserve">confiscated 21 thousand dunums of land in Al-Jalil, Al-Muthalath and Al-Naqab on </w:t>
      </w:r>
      <w:r w:rsidR="00AF2BDD" w:rsidRPr="00B8529C">
        <w:rPr>
          <w:color w:val="0D0D0D"/>
          <w:sz w:val="26"/>
          <w:szCs w:val="26"/>
        </w:rPr>
        <w:t xml:space="preserve">the </w:t>
      </w:r>
      <w:r w:rsidRPr="00B8529C">
        <w:rPr>
          <w:color w:val="0D0D0D"/>
          <w:sz w:val="26"/>
          <w:szCs w:val="26"/>
        </w:rPr>
        <w:t>30</w:t>
      </w:r>
      <w:r w:rsidR="00AF2BDD" w:rsidRPr="00B8529C">
        <w:rPr>
          <w:color w:val="0D0D0D"/>
          <w:sz w:val="26"/>
          <w:szCs w:val="26"/>
          <w:vertAlign w:val="superscript"/>
        </w:rPr>
        <w:t>th</w:t>
      </w:r>
      <w:r w:rsidRPr="00B8529C">
        <w:rPr>
          <w:color w:val="0D0D0D"/>
          <w:sz w:val="26"/>
          <w:szCs w:val="26"/>
        </w:rPr>
        <w:t xml:space="preserve"> </w:t>
      </w:r>
      <w:r w:rsidR="00AF2BDD" w:rsidRPr="00B8529C">
        <w:rPr>
          <w:color w:val="0D0D0D"/>
          <w:sz w:val="26"/>
          <w:szCs w:val="26"/>
        </w:rPr>
        <w:t xml:space="preserve">of </w:t>
      </w:r>
      <w:r w:rsidRPr="00B8529C">
        <w:rPr>
          <w:color w:val="0D0D0D"/>
          <w:sz w:val="26"/>
          <w:szCs w:val="26"/>
        </w:rPr>
        <w:t>March 1976. On this day, the Israeli occupation confiscated the land and responded violently to the protestations, killing six young Palestinian demonstrators. Accordingly, this day has become a commemo</w:t>
      </w:r>
      <w:bookmarkStart w:id="0" w:name="_GoBack"/>
      <w:bookmarkEnd w:id="0"/>
      <w:r w:rsidRPr="00B8529C">
        <w:rPr>
          <w:color w:val="0D0D0D"/>
          <w:sz w:val="26"/>
          <w:szCs w:val="26"/>
        </w:rPr>
        <w:t>ration to embody the belonging of the Palestinian people to their homeland, and to commemorate</w:t>
      </w:r>
      <w:r w:rsidR="006D4037" w:rsidRPr="00B8529C">
        <w:rPr>
          <w:rFonts w:hint="cs"/>
          <w:color w:val="0D0D0D"/>
          <w:sz w:val="26"/>
          <w:szCs w:val="26"/>
          <w:rtl/>
        </w:rPr>
        <w:t xml:space="preserve"> </w:t>
      </w:r>
      <w:r w:rsidRPr="00B8529C">
        <w:rPr>
          <w:color w:val="0D0D0D"/>
          <w:sz w:val="26"/>
          <w:szCs w:val="26"/>
        </w:rPr>
        <w:t>those young martyrs.</w:t>
      </w:r>
    </w:p>
    <w:p w14:paraId="5F817E61" w14:textId="77777777" w:rsidR="00CA7B00" w:rsidRPr="00B8529C" w:rsidRDefault="00CA7B00" w:rsidP="00CA7B00">
      <w:pPr>
        <w:pStyle w:val="BodyTextIndent"/>
        <w:ind w:left="0"/>
        <w:rPr>
          <w:color w:val="0D0D0D"/>
          <w:sz w:val="16"/>
          <w:szCs w:val="16"/>
        </w:rPr>
      </w:pPr>
    </w:p>
    <w:p w14:paraId="05DA3D9D" w14:textId="77777777" w:rsidR="00CA7B00" w:rsidRPr="00B8529C" w:rsidRDefault="00CA7B00" w:rsidP="00B05BCC">
      <w:pPr>
        <w:pStyle w:val="BodyTextIndent"/>
        <w:ind w:left="0"/>
        <w:jc w:val="both"/>
        <w:rPr>
          <w:color w:val="0D0D0D"/>
          <w:sz w:val="26"/>
          <w:szCs w:val="26"/>
        </w:rPr>
      </w:pPr>
      <w:r w:rsidRPr="00B8529C">
        <w:rPr>
          <w:b/>
          <w:bCs/>
          <w:color w:val="0D0D0D"/>
          <w:sz w:val="26"/>
          <w:szCs w:val="26"/>
        </w:rPr>
        <w:t>The Israeli Occupation forcibly laid hand over more than 85% of the total area of the historical Palestine</w:t>
      </w:r>
    </w:p>
    <w:p w14:paraId="207A5281" w14:textId="5D8E1EA3" w:rsidR="00CA7B00" w:rsidRPr="00B8529C" w:rsidRDefault="00CA7B00" w:rsidP="00603A90">
      <w:pPr>
        <w:pStyle w:val="BodyTextIndent"/>
        <w:ind w:left="0"/>
        <w:rPr>
          <w:color w:val="0D0D0D"/>
          <w:sz w:val="26"/>
          <w:szCs w:val="26"/>
          <w:rtl/>
        </w:rPr>
      </w:pPr>
      <w:r w:rsidRPr="00B8529C">
        <w:rPr>
          <w:color w:val="0D0D0D"/>
          <w:sz w:val="26"/>
          <w:szCs w:val="26"/>
        </w:rPr>
        <w:t xml:space="preserve">The estimated number of the Palestinians by the end of </w:t>
      </w:r>
      <w:r w:rsidR="0008499F" w:rsidRPr="00B8529C">
        <w:rPr>
          <w:color w:val="0D0D0D"/>
          <w:sz w:val="26"/>
          <w:szCs w:val="26"/>
        </w:rPr>
        <w:t xml:space="preserve">2021 </w:t>
      </w:r>
      <w:r w:rsidRPr="00B8529C">
        <w:rPr>
          <w:color w:val="0D0D0D"/>
          <w:sz w:val="26"/>
          <w:szCs w:val="26"/>
        </w:rPr>
        <w:t>was about 13.</w:t>
      </w:r>
      <w:r w:rsidR="0008499F" w:rsidRPr="00B8529C">
        <w:rPr>
          <w:color w:val="0D0D0D"/>
          <w:sz w:val="26"/>
          <w:szCs w:val="26"/>
        </w:rPr>
        <w:t xml:space="preserve">8 </w:t>
      </w:r>
      <w:r w:rsidRPr="00B8529C">
        <w:rPr>
          <w:color w:val="0D0D0D"/>
          <w:sz w:val="26"/>
          <w:szCs w:val="26"/>
        </w:rPr>
        <w:t>million; about 5.</w:t>
      </w:r>
      <w:r w:rsidR="0008499F" w:rsidRPr="00B8529C">
        <w:rPr>
          <w:color w:val="0D0D0D"/>
          <w:sz w:val="26"/>
          <w:szCs w:val="26"/>
        </w:rPr>
        <w:t xml:space="preserve">3 </w:t>
      </w:r>
      <w:r w:rsidRPr="00B8529C">
        <w:rPr>
          <w:color w:val="0D0D0D"/>
          <w:sz w:val="26"/>
          <w:szCs w:val="26"/>
        </w:rPr>
        <w:t>million live in the State of Palestine and about 1.</w:t>
      </w:r>
      <w:r w:rsidR="003339D1" w:rsidRPr="00B8529C">
        <w:rPr>
          <w:color w:val="0D0D0D"/>
          <w:sz w:val="26"/>
          <w:szCs w:val="26"/>
        </w:rPr>
        <w:t>6</w:t>
      </w:r>
      <w:r w:rsidRPr="00B8529C">
        <w:rPr>
          <w:color w:val="0D0D0D"/>
          <w:sz w:val="26"/>
          <w:szCs w:val="26"/>
        </w:rPr>
        <w:t xml:space="preserve"> million Palestinians live in the 1948 territories. </w:t>
      </w:r>
      <w:r w:rsidR="00B318F8" w:rsidRPr="00B8529C">
        <w:rPr>
          <w:color w:val="0D0D0D"/>
          <w:sz w:val="26"/>
          <w:szCs w:val="26"/>
        </w:rPr>
        <w:t>In addition</w:t>
      </w:r>
      <w:r w:rsidRPr="00B8529C">
        <w:rPr>
          <w:color w:val="0D0D0D"/>
          <w:sz w:val="26"/>
          <w:szCs w:val="26"/>
        </w:rPr>
        <w:t xml:space="preserve">, about </w:t>
      </w:r>
      <w:r w:rsidR="003339D1" w:rsidRPr="00B8529C">
        <w:rPr>
          <w:color w:val="0D0D0D"/>
          <w:sz w:val="26"/>
          <w:szCs w:val="26"/>
        </w:rPr>
        <w:t>6.2</w:t>
      </w:r>
      <w:r w:rsidRPr="00B8529C">
        <w:rPr>
          <w:color w:val="0D0D0D"/>
          <w:sz w:val="26"/>
          <w:szCs w:val="26"/>
        </w:rPr>
        <w:t xml:space="preserve"> million Palestinians live in the Arab countries, whereas almost </w:t>
      </w:r>
      <w:r w:rsidR="003339D1" w:rsidRPr="00B8529C">
        <w:rPr>
          <w:color w:val="0D0D0D"/>
          <w:sz w:val="26"/>
          <w:szCs w:val="26"/>
        </w:rPr>
        <w:t>738</w:t>
      </w:r>
      <w:r w:rsidRPr="00B8529C">
        <w:rPr>
          <w:color w:val="0D0D0D"/>
          <w:sz w:val="26"/>
          <w:szCs w:val="26"/>
        </w:rPr>
        <w:t xml:space="preserve"> thousand Palestinians live in foreign countries. The Israeli occupation is exploiting more than 85% of the total area of the lands of the historical Palestine. It is also worth mentioning that Jews in the era of the British Mandate exploited only</w:t>
      </w:r>
      <w:r w:rsidR="00AF2BDD" w:rsidRPr="00B8529C">
        <w:rPr>
          <w:color w:val="0D0D0D"/>
          <w:sz w:val="26"/>
          <w:szCs w:val="26"/>
        </w:rPr>
        <w:t xml:space="preserve"> </w:t>
      </w:r>
      <w:r w:rsidRPr="00B8529C">
        <w:rPr>
          <w:sz w:val="26"/>
          <w:szCs w:val="26"/>
        </w:rPr>
        <w:t xml:space="preserve">1,682 </w:t>
      </w:r>
      <w:r w:rsidRPr="00B8529C">
        <w:rPr>
          <w:color w:val="0D0D0D"/>
          <w:sz w:val="26"/>
          <w:szCs w:val="26"/>
        </w:rPr>
        <w:t>Km</w:t>
      </w:r>
      <w:r w:rsidRPr="00B8529C">
        <w:rPr>
          <w:color w:val="0D0D0D"/>
          <w:sz w:val="26"/>
          <w:szCs w:val="26"/>
          <w:vertAlign w:val="superscript"/>
        </w:rPr>
        <w:t>2</w:t>
      </w:r>
      <w:r w:rsidR="00B318F8" w:rsidRPr="00B8529C">
        <w:rPr>
          <w:color w:val="0D0D0D"/>
          <w:sz w:val="26"/>
          <w:szCs w:val="26"/>
        </w:rPr>
        <w:t>,</w:t>
      </w:r>
      <w:r w:rsidR="00AF2BDD" w:rsidRPr="00B8529C">
        <w:rPr>
          <w:color w:val="0D0D0D"/>
          <w:sz w:val="26"/>
          <w:szCs w:val="26"/>
        </w:rPr>
        <w:t xml:space="preserve"> </w:t>
      </w:r>
      <w:r w:rsidRPr="00B8529C">
        <w:rPr>
          <w:color w:val="0D0D0D"/>
          <w:sz w:val="26"/>
          <w:szCs w:val="26"/>
        </w:rPr>
        <w:t>a percentage of 6.2% of the lands of the historical Palestine.</w:t>
      </w:r>
    </w:p>
    <w:p w14:paraId="0FBBE79F" w14:textId="77777777" w:rsidR="00A063F4" w:rsidRPr="00B8529C" w:rsidRDefault="001572D8" w:rsidP="001A0DAB">
      <w:pPr>
        <w:pStyle w:val="BodyTextIndent"/>
        <w:ind w:left="0"/>
        <w:rPr>
          <w:color w:val="0D0D0D"/>
          <w:sz w:val="16"/>
          <w:szCs w:val="16"/>
        </w:rPr>
      </w:pPr>
      <w:r w:rsidRPr="00B8529C">
        <w:rPr>
          <w:color w:val="0D0D0D"/>
          <w:sz w:val="26"/>
          <w:szCs w:val="26"/>
        </w:rPr>
        <w:t xml:space="preserve"> </w:t>
      </w:r>
    </w:p>
    <w:p w14:paraId="36B1808D" w14:textId="77777777" w:rsidR="00ED28EF" w:rsidRPr="00B8529C" w:rsidRDefault="00ED28EF" w:rsidP="00B05BCC">
      <w:pPr>
        <w:pStyle w:val="BodyTextIndent"/>
        <w:ind w:left="0"/>
        <w:jc w:val="both"/>
        <w:rPr>
          <w:b/>
          <w:bCs/>
          <w:sz w:val="26"/>
          <w:szCs w:val="26"/>
        </w:rPr>
      </w:pPr>
      <w:r w:rsidRPr="00B8529C">
        <w:rPr>
          <w:b/>
          <w:bCs/>
          <w:sz w:val="26"/>
          <w:szCs w:val="26"/>
        </w:rPr>
        <w:t xml:space="preserve">Continuous </w:t>
      </w:r>
      <w:r w:rsidR="00426C79" w:rsidRPr="00B8529C">
        <w:rPr>
          <w:b/>
          <w:bCs/>
          <w:sz w:val="26"/>
          <w:szCs w:val="26"/>
        </w:rPr>
        <w:t>C</w:t>
      </w:r>
      <w:r w:rsidRPr="00B8529C">
        <w:rPr>
          <w:b/>
          <w:bCs/>
          <w:sz w:val="26"/>
          <w:szCs w:val="26"/>
        </w:rPr>
        <w:t xml:space="preserve">onfiscation of </w:t>
      </w:r>
      <w:r w:rsidR="00C40747" w:rsidRPr="00B8529C">
        <w:rPr>
          <w:b/>
          <w:bCs/>
          <w:sz w:val="26"/>
          <w:szCs w:val="26"/>
        </w:rPr>
        <w:t>Land</w:t>
      </w:r>
    </w:p>
    <w:p w14:paraId="0AF285A8" w14:textId="587DEAF2" w:rsidR="0008499F" w:rsidRPr="00B8529C" w:rsidRDefault="003339D1" w:rsidP="00573D98">
      <w:pPr>
        <w:pStyle w:val="BodyTextIndent"/>
        <w:ind w:left="0"/>
        <w:jc w:val="both"/>
        <w:rPr>
          <w:sz w:val="26"/>
          <w:szCs w:val="26"/>
        </w:rPr>
      </w:pPr>
      <w:r w:rsidRPr="00B8529C">
        <w:rPr>
          <w:sz w:val="26"/>
          <w:szCs w:val="26"/>
        </w:rPr>
        <w:t xml:space="preserve">The Israeli occupation used the land classification according to the Oslo Accords (A, B and C) to tighten </w:t>
      </w:r>
      <w:r w:rsidR="005153B7" w:rsidRPr="00B8529C">
        <w:rPr>
          <w:sz w:val="26"/>
          <w:szCs w:val="26"/>
        </w:rPr>
        <w:t xml:space="preserve">their </w:t>
      </w:r>
      <w:r w:rsidRPr="00B8529C">
        <w:rPr>
          <w:sz w:val="26"/>
          <w:szCs w:val="26"/>
        </w:rPr>
        <w:t xml:space="preserve">control </w:t>
      </w:r>
      <w:r w:rsidR="005153B7" w:rsidRPr="00B8529C">
        <w:rPr>
          <w:sz w:val="26"/>
          <w:szCs w:val="26"/>
        </w:rPr>
        <w:t xml:space="preserve">over </w:t>
      </w:r>
      <w:r w:rsidRPr="00B8529C">
        <w:rPr>
          <w:sz w:val="26"/>
          <w:szCs w:val="26"/>
        </w:rPr>
        <w:t xml:space="preserve">the Palestinian land, especially in areas classified as (C) which are under </w:t>
      </w:r>
      <w:r w:rsidR="00AF2BDD" w:rsidRPr="00B8529C">
        <w:rPr>
          <w:sz w:val="26"/>
          <w:szCs w:val="26"/>
        </w:rPr>
        <w:t xml:space="preserve">the </w:t>
      </w:r>
      <w:r w:rsidRPr="00B8529C">
        <w:rPr>
          <w:sz w:val="26"/>
          <w:szCs w:val="26"/>
        </w:rPr>
        <w:t xml:space="preserve">full control of the Israeli occupation in terms of security, planning and construction, where 76% of the total area classified </w:t>
      </w:r>
      <w:r w:rsidR="00AF2BDD" w:rsidRPr="00B8529C">
        <w:rPr>
          <w:sz w:val="26"/>
          <w:szCs w:val="26"/>
        </w:rPr>
        <w:t xml:space="preserve">as </w:t>
      </w:r>
      <w:r w:rsidRPr="00B8529C">
        <w:rPr>
          <w:sz w:val="26"/>
          <w:szCs w:val="26"/>
        </w:rPr>
        <w:t xml:space="preserve">(C) is directly exploited by the Israeli occupation; settlements regional councils </w:t>
      </w:r>
      <w:r w:rsidR="00AF2BDD" w:rsidRPr="00B8529C">
        <w:rPr>
          <w:sz w:val="26"/>
          <w:szCs w:val="26"/>
        </w:rPr>
        <w:t xml:space="preserve">are </w:t>
      </w:r>
      <w:r w:rsidRPr="00B8529C">
        <w:rPr>
          <w:sz w:val="26"/>
          <w:szCs w:val="26"/>
        </w:rPr>
        <w:t>control</w:t>
      </w:r>
      <w:r w:rsidR="00AF2BDD" w:rsidRPr="00B8529C">
        <w:rPr>
          <w:sz w:val="26"/>
          <w:szCs w:val="26"/>
        </w:rPr>
        <w:t>ling</w:t>
      </w:r>
      <w:r w:rsidRPr="00B8529C">
        <w:rPr>
          <w:sz w:val="26"/>
          <w:szCs w:val="26"/>
        </w:rPr>
        <w:t xml:space="preserve"> 63% of it. While the area of authority regions in the Israeli settlements in the West Bank (Including closed regions allocated for expanding those settlements) is about 542 km</w:t>
      </w:r>
      <w:r w:rsidRPr="00B8529C">
        <w:rPr>
          <w:sz w:val="26"/>
          <w:szCs w:val="26"/>
          <w:vertAlign w:val="superscript"/>
        </w:rPr>
        <w:t>2</w:t>
      </w:r>
      <w:r w:rsidRPr="00B8529C">
        <w:rPr>
          <w:sz w:val="26"/>
          <w:szCs w:val="26"/>
        </w:rPr>
        <w:t xml:space="preserve"> as it is by the end of </w:t>
      </w:r>
      <w:r w:rsidR="0008499F" w:rsidRPr="00B8529C">
        <w:rPr>
          <w:rFonts w:hint="cs"/>
          <w:sz w:val="26"/>
          <w:szCs w:val="26"/>
          <w:rtl/>
        </w:rPr>
        <w:t>202</w:t>
      </w:r>
      <w:r w:rsidR="0008499F" w:rsidRPr="00B8529C">
        <w:rPr>
          <w:sz w:val="26"/>
          <w:szCs w:val="26"/>
        </w:rPr>
        <w:t>1</w:t>
      </w:r>
      <w:r w:rsidRPr="00B8529C">
        <w:rPr>
          <w:sz w:val="26"/>
          <w:szCs w:val="26"/>
        </w:rPr>
        <w:t xml:space="preserve">; representing about 10% of the total area of the West Bank. Whereas the confiscated areas for the purposes of military bases and military training locations represent about 18% of the West Bank area, in addition to the Annexation and Expansion Wall that has isolated more than 10% of the area of the West Bank. Consequently, </w:t>
      </w:r>
      <w:r w:rsidR="00470A15" w:rsidRPr="00B8529C">
        <w:rPr>
          <w:sz w:val="26"/>
          <w:szCs w:val="26"/>
        </w:rPr>
        <w:t xml:space="preserve">more than </w:t>
      </w:r>
      <w:r w:rsidRPr="00B8529C">
        <w:rPr>
          <w:sz w:val="26"/>
          <w:szCs w:val="26"/>
        </w:rPr>
        <w:t xml:space="preserve">219 Palestinian localities </w:t>
      </w:r>
      <w:r w:rsidR="00573D98" w:rsidRPr="00B8529C">
        <w:rPr>
          <w:sz w:val="26"/>
          <w:szCs w:val="26"/>
        </w:rPr>
        <w:t xml:space="preserve">were </w:t>
      </w:r>
      <w:r w:rsidRPr="00B8529C">
        <w:rPr>
          <w:sz w:val="26"/>
          <w:szCs w:val="26"/>
        </w:rPr>
        <w:t>badly affected by the establishment of th</w:t>
      </w:r>
      <w:r w:rsidR="00CE1D09" w:rsidRPr="00B8529C">
        <w:rPr>
          <w:sz w:val="26"/>
          <w:szCs w:val="26"/>
        </w:rPr>
        <w:t>e Annexation and Expansion Wall</w:t>
      </w:r>
      <w:r w:rsidR="00470A15" w:rsidRPr="00B8529C">
        <w:rPr>
          <w:sz w:val="26"/>
          <w:szCs w:val="26"/>
        </w:rPr>
        <w:t xml:space="preserve">. </w:t>
      </w:r>
      <w:r w:rsidR="00B318F8" w:rsidRPr="00B8529C">
        <w:rPr>
          <w:sz w:val="26"/>
          <w:szCs w:val="26"/>
        </w:rPr>
        <w:t>In addition</w:t>
      </w:r>
      <w:r w:rsidR="00470A15" w:rsidRPr="00B8529C">
        <w:rPr>
          <w:sz w:val="26"/>
          <w:szCs w:val="26"/>
        </w:rPr>
        <w:t>,</w:t>
      </w:r>
      <w:r w:rsidR="00CE1D09" w:rsidRPr="00B8529C">
        <w:rPr>
          <w:sz w:val="26"/>
          <w:szCs w:val="26"/>
        </w:rPr>
        <w:t xml:space="preserve"> </w:t>
      </w:r>
      <w:r w:rsidR="00573D98" w:rsidRPr="00B8529C">
        <w:rPr>
          <w:sz w:val="26"/>
          <w:szCs w:val="26"/>
        </w:rPr>
        <w:t xml:space="preserve">and </w:t>
      </w:r>
      <w:r w:rsidR="00B318F8" w:rsidRPr="00B8529C">
        <w:rPr>
          <w:sz w:val="26"/>
          <w:szCs w:val="26"/>
        </w:rPr>
        <w:t>since</w:t>
      </w:r>
      <w:r w:rsidR="0008499F" w:rsidRPr="00B8529C">
        <w:rPr>
          <w:sz w:val="26"/>
          <w:szCs w:val="26"/>
        </w:rPr>
        <w:t xml:space="preserve"> 1967, the Israeli occupation authorities have confiscated about 353 thousand dunums of Palestinian lands and classified them as </w:t>
      </w:r>
      <w:r w:rsidR="00573D98" w:rsidRPr="00B8529C">
        <w:rPr>
          <w:sz w:val="26"/>
          <w:szCs w:val="26"/>
        </w:rPr>
        <w:t xml:space="preserve">natural </w:t>
      </w:r>
      <w:r w:rsidR="0008499F" w:rsidRPr="00B8529C">
        <w:rPr>
          <w:sz w:val="26"/>
          <w:szCs w:val="26"/>
        </w:rPr>
        <w:t>reserves in preparation for their seizure.</w:t>
      </w:r>
    </w:p>
    <w:p w14:paraId="6B61F638" w14:textId="77777777" w:rsidR="00470A15" w:rsidRPr="00B8529C" w:rsidRDefault="00470A15" w:rsidP="0008499F">
      <w:pPr>
        <w:pStyle w:val="BodyTextIndent"/>
        <w:ind w:left="0"/>
        <w:jc w:val="both"/>
        <w:rPr>
          <w:sz w:val="16"/>
          <w:szCs w:val="16"/>
        </w:rPr>
      </w:pPr>
    </w:p>
    <w:p w14:paraId="7B8A48E2" w14:textId="5105423A" w:rsidR="00A436DF" w:rsidRPr="00B8529C" w:rsidRDefault="00A436DF" w:rsidP="004D54B7">
      <w:pPr>
        <w:pStyle w:val="BodyTextIndent"/>
        <w:ind w:left="0"/>
        <w:jc w:val="center"/>
        <w:rPr>
          <w:b/>
          <w:bCs/>
          <w:sz w:val="26"/>
          <w:szCs w:val="26"/>
        </w:rPr>
      </w:pPr>
      <w:r w:rsidRPr="00B8529C">
        <w:rPr>
          <w:b/>
          <w:bCs/>
          <w:sz w:val="26"/>
          <w:szCs w:val="26"/>
        </w:rPr>
        <w:t xml:space="preserve">Percentage Distribution of land in the West Bank </w:t>
      </w:r>
      <w:r w:rsidR="00DD33BF" w:rsidRPr="00B8529C">
        <w:rPr>
          <w:b/>
          <w:bCs/>
          <w:sz w:val="26"/>
          <w:szCs w:val="26"/>
        </w:rPr>
        <w:t xml:space="preserve">according </w:t>
      </w:r>
      <w:r w:rsidRPr="00B8529C">
        <w:rPr>
          <w:b/>
          <w:bCs/>
          <w:sz w:val="26"/>
          <w:szCs w:val="26"/>
        </w:rPr>
        <w:t xml:space="preserve">to Oslo </w:t>
      </w:r>
      <w:r w:rsidR="00470A15" w:rsidRPr="00B8529C">
        <w:rPr>
          <w:b/>
          <w:bCs/>
          <w:sz w:val="26"/>
          <w:szCs w:val="26"/>
        </w:rPr>
        <w:t>Accords</w:t>
      </w:r>
    </w:p>
    <w:p w14:paraId="031AF586" w14:textId="77777777" w:rsidR="00A436DF" w:rsidRPr="00B3166E" w:rsidRDefault="00CE1D09" w:rsidP="00A436DF">
      <w:pPr>
        <w:pStyle w:val="BodyTextIndent"/>
        <w:ind w:left="0"/>
        <w:jc w:val="center"/>
        <w:rPr>
          <w:b/>
          <w:bCs/>
          <w:color w:val="0D0D0D"/>
        </w:rPr>
      </w:pPr>
      <w:r w:rsidRPr="00B3166E">
        <w:rPr>
          <w:b/>
          <w:bCs/>
          <w:noProof/>
          <w:color w:val="0D0D0D"/>
          <w:lang w:eastAsia="en-US"/>
        </w:rPr>
        <w:drawing>
          <wp:inline distT="0" distB="0" distL="0" distR="0" wp14:anchorId="167DD930" wp14:editId="1CD0BC64">
            <wp:extent cx="3400425" cy="1743075"/>
            <wp:effectExtent l="0" t="0" r="9525" b="952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A6F270" w14:textId="7C3E88C0" w:rsidR="00B05BCC" w:rsidRDefault="00B05BCC" w:rsidP="00DA7777">
      <w:pPr>
        <w:pStyle w:val="BodyTextIndent2"/>
        <w:ind w:left="0"/>
        <w:jc w:val="lowKashida"/>
        <w:rPr>
          <w:color w:val="0D0D0D"/>
          <w:sz w:val="18"/>
          <w:szCs w:val="18"/>
        </w:rPr>
      </w:pPr>
    </w:p>
    <w:p w14:paraId="3C49CD0D" w14:textId="31503250" w:rsidR="00437935" w:rsidRPr="00B8529C" w:rsidRDefault="00154CBD" w:rsidP="00DA7777">
      <w:pPr>
        <w:pStyle w:val="BodyTextIndent2"/>
        <w:ind w:left="0"/>
        <w:jc w:val="lowKashida"/>
        <w:rPr>
          <w:color w:val="0D0D0D"/>
          <w:sz w:val="20"/>
          <w:szCs w:val="20"/>
        </w:rPr>
      </w:pPr>
      <w:r w:rsidRPr="00B8529C">
        <w:rPr>
          <w:color w:val="0D0D0D"/>
          <w:sz w:val="20"/>
          <w:szCs w:val="20"/>
        </w:rPr>
        <w:t>Others include natural reserves, Jerusalem J1, Hebron H2, and other unclassified areas</w:t>
      </w:r>
    </w:p>
    <w:p w14:paraId="5E2486BF" w14:textId="77777777" w:rsidR="00470A15" w:rsidRPr="00B05BCC" w:rsidRDefault="00470A15" w:rsidP="004D54B7">
      <w:pPr>
        <w:pStyle w:val="BodyTextIndent"/>
        <w:ind w:left="0"/>
        <w:jc w:val="left"/>
        <w:rPr>
          <w:b/>
          <w:bCs/>
          <w:sz w:val="16"/>
          <w:szCs w:val="16"/>
        </w:rPr>
      </w:pPr>
    </w:p>
    <w:p w14:paraId="6C15D291" w14:textId="77777777" w:rsidR="00B8529C" w:rsidRDefault="00B8529C" w:rsidP="00B05BCC">
      <w:pPr>
        <w:pStyle w:val="BodyTextIndent"/>
        <w:ind w:left="0"/>
        <w:jc w:val="both"/>
        <w:rPr>
          <w:b/>
          <w:bCs/>
        </w:rPr>
      </w:pPr>
    </w:p>
    <w:p w14:paraId="764C4E7A" w14:textId="6DBC4E54" w:rsidR="00555E41" w:rsidRPr="00B8529C" w:rsidRDefault="00555E41" w:rsidP="00B05BCC">
      <w:pPr>
        <w:pStyle w:val="BodyTextIndent"/>
        <w:ind w:left="0"/>
        <w:jc w:val="both"/>
        <w:rPr>
          <w:b/>
          <w:bCs/>
          <w:sz w:val="26"/>
          <w:szCs w:val="26"/>
        </w:rPr>
      </w:pPr>
      <w:r w:rsidRPr="00B8529C">
        <w:rPr>
          <w:b/>
          <w:bCs/>
          <w:sz w:val="26"/>
          <w:szCs w:val="26"/>
        </w:rPr>
        <w:t>Israeli Settlements: Continuous Expansion</w:t>
      </w:r>
    </w:p>
    <w:p w14:paraId="04914EE2" w14:textId="76930A00" w:rsidR="00D13B51" w:rsidRPr="00B8529C" w:rsidRDefault="00F653F5" w:rsidP="00245A0A">
      <w:pPr>
        <w:pStyle w:val="BodyTextIndent2"/>
        <w:ind w:left="0"/>
        <w:jc w:val="lowKashida"/>
        <w:rPr>
          <w:color w:val="0D0D0D" w:themeColor="text1" w:themeTint="F2"/>
          <w:sz w:val="26"/>
          <w:szCs w:val="26"/>
        </w:rPr>
      </w:pPr>
      <w:r w:rsidRPr="00B8529C">
        <w:rPr>
          <w:color w:val="0D0D0D" w:themeColor="text1" w:themeTint="F2"/>
          <w:sz w:val="26"/>
          <w:szCs w:val="26"/>
        </w:rPr>
        <w:t xml:space="preserve">By the end of </w:t>
      </w:r>
      <w:r w:rsidR="0008499F" w:rsidRPr="00B8529C">
        <w:rPr>
          <w:color w:val="0D0D0D" w:themeColor="text1" w:themeTint="F2"/>
          <w:sz w:val="26"/>
          <w:szCs w:val="26"/>
        </w:rPr>
        <w:t>2020</w:t>
      </w:r>
      <w:r w:rsidRPr="00B8529C">
        <w:rPr>
          <w:color w:val="0D0D0D" w:themeColor="text1" w:themeTint="F2"/>
          <w:sz w:val="26"/>
          <w:szCs w:val="26"/>
        </w:rPr>
        <w:t xml:space="preserve">, there were </w:t>
      </w:r>
      <w:r w:rsidR="0008499F" w:rsidRPr="00B8529C">
        <w:rPr>
          <w:color w:val="0D0D0D" w:themeColor="text1" w:themeTint="F2"/>
          <w:sz w:val="26"/>
          <w:szCs w:val="26"/>
        </w:rPr>
        <w:t xml:space="preserve">471 </w:t>
      </w:r>
      <w:r w:rsidRPr="00B8529C">
        <w:rPr>
          <w:color w:val="0D0D0D" w:themeColor="text1" w:themeTint="F2"/>
          <w:sz w:val="26"/>
          <w:szCs w:val="26"/>
        </w:rPr>
        <w:t>Israeli occupation sites and military bases in the West Bank</w:t>
      </w:r>
      <w:r w:rsidR="00470A15" w:rsidRPr="00B8529C">
        <w:rPr>
          <w:color w:val="0D0D0D" w:themeColor="text1" w:themeTint="F2"/>
          <w:sz w:val="26"/>
          <w:szCs w:val="26"/>
        </w:rPr>
        <w:t>,</w:t>
      </w:r>
      <w:r w:rsidRPr="00B8529C">
        <w:rPr>
          <w:color w:val="0D0D0D" w:themeColor="text1" w:themeTint="F2"/>
          <w:sz w:val="26"/>
          <w:szCs w:val="26"/>
        </w:rPr>
        <w:t xml:space="preserve"> including 151 settlements and 26 inhabited outposts that considered as neighborhood</w:t>
      </w:r>
      <w:r w:rsidR="00470A15" w:rsidRPr="00B8529C">
        <w:rPr>
          <w:color w:val="0D0D0D" w:themeColor="text1" w:themeTint="F2"/>
          <w:sz w:val="26"/>
          <w:szCs w:val="26"/>
        </w:rPr>
        <w:t>s</w:t>
      </w:r>
      <w:r w:rsidRPr="00B8529C">
        <w:rPr>
          <w:color w:val="0D0D0D" w:themeColor="text1" w:themeTint="F2"/>
          <w:sz w:val="26"/>
          <w:szCs w:val="26"/>
        </w:rPr>
        <w:t xml:space="preserve"> following established settlements, in addition to </w:t>
      </w:r>
      <w:r w:rsidR="0008499F" w:rsidRPr="00B8529C">
        <w:rPr>
          <w:color w:val="0D0D0D" w:themeColor="text1" w:themeTint="F2"/>
          <w:sz w:val="26"/>
          <w:szCs w:val="26"/>
        </w:rPr>
        <w:t xml:space="preserve">150 </w:t>
      </w:r>
      <w:r w:rsidRPr="00B8529C">
        <w:rPr>
          <w:color w:val="0D0D0D" w:themeColor="text1" w:themeTint="F2"/>
          <w:sz w:val="26"/>
          <w:szCs w:val="26"/>
        </w:rPr>
        <w:t>settlement outposts</w:t>
      </w:r>
      <w:r w:rsidR="00245A0A" w:rsidRPr="00B8529C">
        <w:rPr>
          <w:color w:val="0D0D0D" w:themeColor="text1" w:themeTint="F2"/>
          <w:sz w:val="26"/>
          <w:szCs w:val="26"/>
        </w:rPr>
        <w:t xml:space="preserve">, and 144 classified as other sites (industrial, tourists, service areas and Israeli army bases).  </w:t>
      </w:r>
      <w:r w:rsidRPr="00B8529C">
        <w:rPr>
          <w:color w:val="0D0D0D" w:themeColor="text1" w:themeTint="F2"/>
          <w:sz w:val="26"/>
          <w:szCs w:val="26"/>
        </w:rPr>
        <w:t xml:space="preserve">As for the number of settlers in the West Bank, it reached </w:t>
      </w:r>
      <w:r w:rsidR="0008499F" w:rsidRPr="00B8529C">
        <w:rPr>
          <w:color w:val="0D0D0D" w:themeColor="text1" w:themeTint="F2"/>
          <w:sz w:val="26"/>
          <w:szCs w:val="26"/>
        </w:rPr>
        <w:t>712,815</w:t>
      </w:r>
      <w:r w:rsidRPr="00B8529C">
        <w:rPr>
          <w:color w:val="0D0D0D" w:themeColor="text1" w:themeTint="F2"/>
          <w:sz w:val="26"/>
          <w:szCs w:val="26"/>
        </w:rPr>
        <w:t xml:space="preserve"> settlers by the end of </w:t>
      </w:r>
      <w:r w:rsidR="0008499F" w:rsidRPr="00B8529C">
        <w:rPr>
          <w:color w:val="0D0D0D" w:themeColor="text1" w:themeTint="F2"/>
          <w:sz w:val="26"/>
          <w:szCs w:val="26"/>
        </w:rPr>
        <w:t>2020</w:t>
      </w:r>
      <w:r w:rsidR="00B318F8" w:rsidRPr="00B8529C">
        <w:rPr>
          <w:color w:val="0D0D0D" w:themeColor="text1" w:themeTint="F2"/>
          <w:sz w:val="26"/>
          <w:szCs w:val="26"/>
        </w:rPr>
        <w:t>,</w:t>
      </w:r>
      <w:r w:rsidRPr="00B8529C">
        <w:rPr>
          <w:color w:val="0D0D0D" w:themeColor="text1" w:themeTint="F2"/>
          <w:sz w:val="26"/>
          <w:szCs w:val="26"/>
        </w:rPr>
        <w:t xml:space="preserve"> at a growth rate of almost </w:t>
      </w:r>
      <w:r w:rsidR="0008499F" w:rsidRPr="00B8529C">
        <w:rPr>
          <w:color w:val="0D0D0D" w:themeColor="text1" w:themeTint="F2"/>
          <w:sz w:val="26"/>
          <w:szCs w:val="26"/>
        </w:rPr>
        <w:t>3</w:t>
      </w:r>
      <w:r w:rsidRPr="00B8529C">
        <w:rPr>
          <w:color w:val="0D0D0D" w:themeColor="text1" w:themeTint="F2"/>
          <w:sz w:val="26"/>
          <w:szCs w:val="26"/>
        </w:rPr>
        <w:t>.6%. Attracting Jews from abroad represents more</w:t>
      </w:r>
      <w:r w:rsidRPr="00B8529C">
        <w:rPr>
          <w:color w:val="0D0D0D" w:themeColor="text1" w:themeTint="F2"/>
          <w:sz w:val="26"/>
          <w:szCs w:val="26"/>
          <w:rtl/>
        </w:rPr>
        <w:t xml:space="preserve"> </w:t>
      </w:r>
      <w:r w:rsidRPr="00B8529C">
        <w:rPr>
          <w:color w:val="0D0D0D" w:themeColor="text1" w:themeTint="F2"/>
          <w:sz w:val="26"/>
          <w:szCs w:val="26"/>
        </w:rPr>
        <w:t xml:space="preserve">than the third of net population growth rate in Israel. Thus, data shows that around </w:t>
      </w:r>
      <w:r w:rsidR="00D13B51" w:rsidRPr="00B8529C">
        <w:rPr>
          <w:color w:val="0D0D0D" w:themeColor="text1" w:themeTint="F2"/>
          <w:sz w:val="26"/>
          <w:szCs w:val="26"/>
        </w:rPr>
        <w:t>47</w:t>
      </w:r>
      <w:r w:rsidRPr="00B8529C">
        <w:rPr>
          <w:color w:val="0D0D0D" w:themeColor="text1" w:themeTint="F2"/>
          <w:sz w:val="26"/>
          <w:szCs w:val="26"/>
        </w:rPr>
        <w:t xml:space="preserve">% of settlers live in Jerusalem governorate, where their number reached about </w:t>
      </w:r>
      <w:r w:rsidR="00D13B51" w:rsidRPr="00B8529C">
        <w:rPr>
          <w:color w:val="0D0D0D" w:themeColor="text1" w:themeTint="F2"/>
          <w:sz w:val="26"/>
          <w:szCs w:val="26"/>
        </w:rPr>
        <w:t>332,294</w:t>
      </w:r>
      <w:r w:rsidRPr="00B8529C">
        <w:rPr>
          <w:color w:val="0D0D0D" w:themeColor="text1" w:themeTint="F2"/>
          <w:sz w:val="26"/>
          <w:szCs w:val="26"/>
        </w:rPr>
        <w:t xml:space="preserve"> settlers; out of which </w:t>
      </w:r>
      <w:r w:rsidR="00D13B51" w:rsidRPr="00B8529C">
        <w:rPr>
          <w:color w:val="0D0D0D" w:themeColor="text1" w:themeTint="F2"/>
          <w:sz w:val="26"/>
          <w:szCs w:val="26"/>
        </w:rPr>
        <w:t>246</w:t>
      </w:r>
      <w:r w:rsidRPr="00B8529C">
        <w:rPr>
          <w:color w:val="0D0D0D" w:themeColor="text1" w:themeTint="F2"/>
          <w:sz w:val="26"/>
          <w:szCs w:val="26"/>
        </w:rPr>
        <w:t>,</w:t>
      </w:r>
      <w:r w:rsidR="00D13B51" w:rsidRPr="00B8529C">
        <w:rPr>
          <w:color w:val="0D0D0D" w:themeColor="text1" w:themeTint="F2"/>
          <w:sz w:val="26"/>
          <w:szCs w:val="26"/>
        </w:rPr>
        <w:t xml:space="preserve">909 </w:t>
      </w:r>
      <w:r w:rsidRPr="00B8529C">
        <w:rPr>
          <w:color w:val="0D0D0D" w:themeColor="text1" w:themeTint="F2"/>
          <w:sz w:val="26"/>
          <w:szCs w:val="26"/>
        </w:rPr>
        <w:t>settlers live in East Jerusalem (J1) “</w:t>
      </w:r>
      <w:r w:rsidRPr="00B8529C">
        <w:rPr>
          <w:sz w:val="26"/>
          <w:szCs w:val="26"/>
        </w:rPr>
        <w:t>includes those parts of Jerusalem which were annexed by Israeli occupation in 1967”.</w:t>
      </w:r>
      <w:r w:rsidRPr="00B8529C">
        <w:rPr>
          <w:color w:val="0D0D0D" w:themeColor="text1" w:themeTint="F2"/>
          <w:sz w:val="26"/>
          <w:szCs w:val="26"/>
        </w:rPr>
        <w:t xml:space="preserve"> In regards to demographics, the proportion of settlers to Palestinian population in the West Bank is about 23 settlers per 100 Palestinians, and it was the highest in Jerusalem </w:t>
      </w:r>
      <w:r w:rsidR="00FC11DE" w:rsidRPr="00B8529C">
        <w:rPr>
          <w:color w:val="0D0D0D" w:themeColor="text1" w:themeTint="F2"/>
          <w:sz w:val="26"/>
          <w:szCs w:val="26"/>
        </w:rPr>
        <w:t>G</w:t>
      </w:r>
      <w:r w:rsidRPr="00B8529C">
        <w:rPr>
          <w:color w:val="0D0D0D" w:themeColor="text1" w:themeTint="F2"/>
          <w:sz w:val="26"/>
          <w:szCs w:val="26"/>
        </w:rPr>
        <w:t xml:space="preserve">overnorate, where there were </w:t>
      </w:r>
      <w:r w:rsidR="00D13B51" w:rsidRPr="00B8529C">
        <w:rPr>
          <w:color w:val="0D0D0D" w:themeColor="text1" w:themeTint="F2"/>
          <w:sz w:val="26"/>
          <w:szCs w:val="26"/>
        </w:rPr>
        <w:t xml:space="preserve">71 </w:t>
      </w:r>
      <w:r w:rsidRPr="00B8529C">
        <w:rPr>
          <w:color w:val="0D0D0D" w:themeColor="text1" w:themeTint="F2"/>
          <w:sz w:val="26"/>
          <w:szCs w:val="26"/>
        </w:rPr>
        <w:t>settlers per 100 Palestinians.</w:t>
      </w:r>
      <w:r w:rsidR="00B3166E" w:rsidRPr="00B8529C">
        <w:rPr>
          <w:rFonts w:hint="cs"/>
          <w:color w:val="0D0D0D" w:themeColor="text1" w:themeTint="F2"/>
          <w:sz w:val="26"/>
          <w:szCs w:val="26"/>
          <w:rtl/>
        </w:rPr>
        <w:t xml:space="preserve"> </w:t>
      </w:r>
      <w:r w:rsidR="006D4037" w:rsidRPr="00B8529C">
        <w:rPr>
          <w:rFonts w:hint="cs"/>
          <w:color w:val="0D0D0D" w:themeColor="text1" w:themeTint="F2"/>
          <w:sz w:val="26"/>
          <w:szCs w:val="26"/>
          <w:rtl/>
        </w:rPr>
        <w:t xml:space="preserve"> </w:t>
      </w:r>
      <w:r w:rsidRPr="00B8529C">
        <w:rPr>
          <w:color w:val="0D0D0D" w:themeColor="text1" w:themeTint="F2"/>
          <w:sz w:val="26"/>
          <w:szCs w:val="26"/>
        </w:rPr>
        <w:t xml:space="preserve">Accordingly, </w:t>
      </w:r>
      <w:r w:rsidR="00D13B51" w:rsidRPr="00B8529C">
        <w:rPr>
          <w:color w:val="0D0D0D" w:themeColor="text1" w:themeTint="F2"/>
          <w:sz w:val="26"/>
          <w:szCs w:val="26"/>
        </w:rPr>
        <w:t xml:space="preserve">2021 </w:t>
      </w:r>
      <w:r w:rsidRPr="00B8529C">
        <w:rPr>
          <w:color w:val="0D0D0D" w:themeColor="text1" w:themeTint="F2"/>
          <w:sz w:val="26"/>
          <w:szCs w:val="26"/>
        </w:rPr>
        <w:t xml:space="preserve">witnessed a significant increase in the pace of construction and expansion of the Israeli settlements in the West Bank, where the Israeli occupation approved the construction of </w:t>
      </w:r>
      <w:r w:rsidR="00D13B51" w:rsidRPr="00B8529C">
        <w:rPr>
          <w:color w:val="0D0D0D" w:themeColor="text1" w:themeTint="F2"/>
          <w:sz w:val="26"/>
          <w:szCs w:val="26"/>
        </w:rPr>
        <w:t>more than 12,000</w:t>
      </w:r>
      <w:r w:rsidRPr="00B8529C">
        <w:rPr>
          <w:color w:val="0D0D0D" w:themeColor="text1" w:themeTint="F2"/>
          <w:sz w:val="26"/>
          <w:szCs w:val="26"/>
        </w:rPr>
        <w:t xml:space="preserve"> new settlement housing units</w:t>
      </w:r>
      <w:r w:rsidR="00D13B51" w:rsidRPr="00B8529C">
        <w:rPr>
          <w:color w:val="0D0D0D" w:themeColor="text1" w:themeTint="F2"/>
          <w:sz w:val="26"/>
          <w:szCs w:val="26"/>
        </w:rPr>
        <w:t xml:space="preserve"> including 9,000 settlement housing units on the lands of Qalandia A</w:t>
      </w:r>
      <w:r w:rsidR="00314400" w:rsidRPr="00B8529C">
        <w:rPr>
          <w:color w:val="0D0D0D" w:themeColor="text1" w:themeTint="F2"/>
          <w:sz w:val="26"/>
          <w:szCs w:val="26"/>
        </w:rPr>
        <w:t xml:space="preserve">irport in Jerusalem Governorate. </w:t>
      </w:r>
      <w:r w:rsidR="00D13B51" w:rsidRPr="00B8529C">
        <w:rPr>
          <w:color w:val="0D0D0D" w:themeColor="text1" w:themeTint="F2"/>
          <w:sz w:val="26"/>
          <w:szCs w:val="26"/>
        </w:rPr>
        <w:t xml:space="preserve"> </w:t>
      </w:r>
      <w:r w:rsidR="00314400" w:rsidRPr="00B8529C">
        <w:rPr>
          <w:color w:val="0D0D0D" w:themeColor="text1" w:themeTint="F2"/>
          <w:sz w:val="26"/>
          <w:szCs w:val="26"/>
        </w:rPr>
        <w:t>I</w:t>
      </w:r>
      <w:r w:rsidR="00D13B51" w:rsidRPr="00B8529C">
        <w:rPr>
          <w:color w:val="0D0D0D" w:themeColor="text1" w:themeTint="F2"/>
          <w:sz w:val="26"/>
          <w:szCs w:val="26"/>
        </w:rPr>
        <w:t>n addition</w:t>
      </w:r>
      <w:r w:rsidR="00D0695E" w:rsidRPr="00B8529C">
        <w:rPr>
          <w:color w:val="0D0D0D" w:themeColor="text1" w:themeTint="F2"/>
          <w:sz w:val="26"/>
          <w:szCs w:val="26"/>
        </w:rPr>
        <w:t>,</w:t>
      </w:r>
      <w:r w:rsidR="00D13B51" w:rsidRPr="00B8529C">
        <w:rPr>
          <w:color w:val="0D0D0D" w:themeColor="text1" w:themeTint="F2"/>
          <w:sz w:val="26"/>
          <w:szCs w:val="26"/>
        </w:rPr>
        <w:t xml:space="preserve"> plans were approved to construct thousands of settlement housing units</w:t>
      </w:r>
      <w:r w:rsidR="00D0695E" w:rsidRPr="00B8529C">
        <w:rPr>
          <w:color w:val="0D0D0D" w:themeColor="text1" w:themeTint="F2"/>
          <w:sz w:val="26"/>
          <w:szCs w:val="26"/>
        </w:rPr>
        <w:t xml:space="preserve"> in</w:t>
      </w:r>
      <w:r w:rsidR="00D13B51" w:rsidRPr="00B8529C">
        <w:rPr>
          <w:color w:val="0D0D0D" w:themeColor="text1" w:themeTint="F2"/>
          <w:sz w:val="26"/>
          <w:szCs w:val="26"/>
        </w:rPr>
        <w:t xml:space="preserve"> the West Bank</w:t>
      </w:r>
      <w:r w:rsidR="00D0695E" w:rsidRPr="00B8529C">
        <w:rPr>
          <w:color w:val="0D0D0D" w:themeColor="text1" w:themeTint="F2"/>
          <w:sz w:val="26"/>
          <w:szCs w:val="26"/>
        </w:rPr>
        <w:t xml:space="preserve"> and </w:t>
      </w:r>
      <w:r w:rsidR="00D13B51" w:rsidRPr="00B8529C">
        <w:rPr>
          <w:color w:val="0D0D0D" w:themeColor="text1" w:themeTint="F2"/>
          <w:sz w:val="26"/>
          <w:szCs w:val="26"/>
        </w:rPr>
        <w:t>Jerusalem Governorate</w:t>
      </w:r>
      <w:r w:rsidR="00E371F4" w:rsidRPr="00B8529C">
        <w:rPr>
          <w:color w:val="0D0D0D" w:themeColor="text1" w:themeTint="F2"/>
          <w:sz w:val="26"/>
          <w:szCs w:val="26"/>
        </w:rPr>
        <w:t>.</w:t>
      </w:r>
      <w:r w:rsidR="00D13B51" w:rsidRPr="00B8529C" w:rsidDel="00D13B51">
        <w:rPr>
          <w:color w:val="0D0D0D" w:themeColor="text1" w:themeTint="F2"/>
          <w:sz w:val="26"/>
          <w:szCs w:val="26"/>
        </w:rPr>
        <w:t xml:space="preserve"> </w:t>
      </w:r>
    </w:p>
    <w:p w14:paraId="37047E3D" w14:textId="77777777" w:rsidR="00D13B51" w:rsidRPr="00B8529C" w:rsidRDefault="00D13B51" w:rsidP="00691F01">
      <w:pPr>
        <w:pStyle w:val="BodyTextIndent2"/>
        <w:ind w:left="0"/>
        <w:jc w:val="lowKashida"/>
        <w:rPr>
          <w:color w:val="0D0D0D" w:themeColor="text1" w:themeTint="F2"/>
          <w:sz w:val="16"/>
          <w:szCs w:val="16"/>
        </w:rPr>
      </w:pPr>
    </w:p>
    <w:p w14:paraId="189D5BFA" w14:textId="78D73B54" w:rsidR="00691F01" w:rsidRPr="00B8529C" w:rsidRDefault="00691F01" w:rsidP="00B05BCC">
      <w:pPr>
        <w:pStyle w:val="BodyTextIndent2"/>
        <w:ind w:left="0"/>
        <w:rPr>
          <w:b/>
          <w:bCs/>
          <w:color w:val="0D0D0D" w:themeColor="text1" w:themeTint="F2"/>
          <w:sz w:val="26"/>
          <w:szCs w:val="26"/>
        </w:rPr>
      </w:pPr>
      <w:r w:rsidRPr="00B8529C">
        <w:rPr>
          <w:b/>
          <w:bCs/>
          <w:color w:val="0D0D0D" w:themeColor="text1" w:themeTint="F2"/>
          <w:sz w:val="26"/>
          <w:szCs w:val="26"/>
        </w:rPr>
        <w:t>More than 1</w:t>
      </w:r>
      <w:r w:rsidR="00DA1107" w:rsidRPr="00B8529C">
        <w:rPr>
          <w:b/>
          <w:bCs/>
          <w:color w:val="0D0D0D" w:themeColor="text1" w:themeTint="F2"/>
          <w:sz w:val="26"/>
          <w:szCs w:val="26"/>
        </w:rPr>
        <w:t>,</w:t>
      </w:r>
      <w:r w:rsidR="00314400" w:rsidRPr="00B8529C">
        <w:rPr>
          <w:b/>
          <w:bCs/>
          <w:color w:val="0D0D0D" w:themeColor="text1" w:themeTint="F2"/>
          <w:sz w:val="26"/>
          <w:szCs w:val="26"/>
        </w:rPr>
        <w:t xml:space="preserve">600 </w:t>
      </w:r>
      <w:r w:rsidR="00562C02" w:rsidRPr="00B8529C">
        <w:rPr>
          <w:b/>
          <w:bCs/>
          <w:color w:val="0D0D0D" w:themeColor="text1" w:themeTint="F2"/>
          <w:sz w:val="26"/>
          <w:szCs w:val="26"/>
        </w:rPr>
        <w:t xml:space="preserve">attacks by </w:t>
      </w:r>
      <w:r w:rsidR="00B02598" w:rsidRPr="00B8529C">
        <w:rPr>
          <w:b/>
          <w:bCs/>
          <w:color w:val="0D0D0D" w:themeColor="text1" w:themeTint="F2"/>
          <w:sz w:val="26"/>
          <w:szCs w:val="26"/>
        </w:rPr>
        <w:t>settlers</w:t>
      </w:r>
      <w:r w:rsidRPr="00B8529C">
        <w:rPr>
          <w:b/>
          <w:bCs/>
          <w:color w:val="0D0D0D" w:themeColor="text1" w:themeTint="F2"/>
          <w:sz w:val="26"/>
          <w:szCs w:val="26"/>
        </w:rPr>
        <w:t xml:space="preserve"> </w:t>
      </w:r>
    </w:p>
    <w:p w14:paraId="47A4F02F" w14:textId="40336D8B" w:rsidR="00DA1107" w:rsidRPr="00B8529C" w:rsidRDefault="00B02598" w:rsidP="00E371F4">
      <w:pPr>
        <w:pStyle w:val="BodyTextIndent2"/>
        <w:ind w:left="0"/>
        <w:jc w:val="lowKashida"/>
        <w:rPr>
          <w:color w:val="0D0D0D" w:themeColor="text1" w:themeTint="F2"/>
          <w:sz w:val="26"/>
          <w:szCs w:val="26"/>
        </w:rPr>
      </w:pPr>
      <w:r w:rsidRPr="00B8529C">
        <w:rPr>
          <w:color w:val="0D0D0D" w:themeColor="text1" w:themeTint="F2"/>
          <w:sz w:val="26"/>
          <w:szCs w:val="26"/>
        </w:rPr>
        <w:t xml:space="preserve">In </w:t>
      </w:r>
      <w:r w:rsidR="00314400" w:rsidRPr="00B8529C">
        <w:rPr>
          <w:color w:val="0D0D0D" w:themeColor="text1" w:themeTint="F2"/>
          <w:sz w:val="26"/>
          <w:szCs w:val="26"/>
        </w:rPr>
        <w:t>2021</w:t>
      </w:r>
      <w:r w:rsidRPr="00B8529C">
        <w:rPr>
          <w:color w:val="0D0D0D" w:themeColor="text1" w:themeTint="F2"/>
          <w:sz w:val="26"/>
          <w:szCs w:val="26"/>
        </w:rPr>
        <w:t xml:space="preserve">, </w:t>
      </w:r>
      <w:r w:rsidR="00691F01" w:rsidRPr="00B8529C">
        <w:rPr>
          <w:color w:val="0D0D0D" w:themeColor="text1" w:themeTint="F2"/>
          <w:sz w:val="26"/>
          <w:szCs w:val="26"/>
        </w:rPr>
        <w:t>settlers, under the protection of the Israeli occupation army, carried out about 1,</w:t>
      </w:r>
      <w:r w:rsidR="00314400" w:rsidRPr="00B8529C">
        <w:rPr>
          <w:color w:val="0D0D0D" w:themeColor="text1" w:themeTint="F2"/>
          <w:sz w:val="26"/>
          <w:szCs w:val="26"/>
        </w:rPr>
        <w:t xml:space="preserve">621 </w:t>
      </w:r>
      <w:r w:rsidR="00691F01" w:rsidRPr="00B8529C">
        <w:rPr>
          <w:color w:val="0D0D0D" w:themeColor="text1" w:themeTint="F2"/>
          <w:sz w:val="26"/>
          <w:szCs w:val="26"/>
        </w:rPr>
        <w:t>attacks against Palestinian citizens and their property, an increase of</w:t>
      </w:r>
      <w:r w:rsidR="00C3521F" w:rsidRPr="00B8529C">
        <w:rPr>
          <w:color w:val="0D0D0D" w:themeColor="text1" w:themeTint="F2"/>
          <w:sz w:val="26"/>
          <w:szCs w:val="26"/>
        </w:rPr>
        <w:t xml:space="preserve"> </w:t>
      </w:r>
      <w:r w:rsidR="00314400" w:rsidRPr="00B8529C">
        <w:rPr>
          <w:color w:val="0D0D0D" w:themeColor="text1" w:themeTint="F2"/>
          <w:sz w:val="26"/>
          <w:szCs w:val="26"/>
        </w:rPr>
        <w:t>49</w:t>
      </w:r>
      <w:r w:rsidR="00691F01" w:rsidRPr="00B8529C">
        <w:rPr>
          <w:color w:val="0D0D0D" w:themeColor="text1" w:themeTint="F2"/>
          <w:sz w:val="26"/>
          <w:szCs w:val="26"/>
        </w:rPr>
        <w:t xml:space="preserve">% </w:t>
      </w:r>
      <w:r w:rsidR="00562C02" w:rsidRPr="00B8529C">
        <w:rPr>
          <w:color w:val="0D0D0D" w:themeColor="text1" w:themeTint="F2"/>
          <w:sz w:val="26"/>
          <w:szCs w:val="26"/>
        </w:rPr>
        <w:t>in</w:t>
      </w:r>
      <w:r w:rsidR="00691F01" w:rsidRPr="00B8529C">
        <w:rPr>
          <w:color w:val="0D0D0D" w:themeColor="text1" w:themeTint="F2"/>
          <w:sz w:val="26"/>
          <w:szCs w:val="26"/>
        </w:rPr>
        <w:t xml:space="preserve"> </w:t>
      </w:r>
      <w:r w:rsidR="00314400" w:rsidRPr="00B8529C">
        <w:rPr>
          <w:color w:val="0D0D0D" w:themeColor="text1" w:themeTint="F2"/>
          <w:sz w:val="26"/>
          <w:szCs w:val="26"/>
        </w:rPr>
        <w:t>2020</w:t>
      </w:r>
      <w:r w:rsidR="00691F01" w:rsidRPr="00B8529C">
        <w:rPr>
          <w:color w:val="0D0D0D" w:themeColor="text1" w:themeTint="F2"/>
          <w:sz w:val="26"/>
          <w:szCs w:val="26"/>
        </w:rPr>
        <w:t>, and the attacks varied from uprooting, destroying and burning</w:t>
      </w:r>
      <w:r w:rsidR="00C3521F" w:rsidRPr="00B8529C">
        <w:rPr>
          <w:color w:val="0D0D0D" w:themeColor="text1" w:themeTint="F2"/>
          <w:sz w:val="26"/>
          <w:szCs w:val="26"/>
        </w:rPr>
        <w:t xml:space="preserve"> of</w:t>
      </w:r>
      <w:r w:rsidR="00691F01" w:rsidRPr="00B8529C">
        <w:rPr>
          <w:color w:val="0D0D0D" w:themeColor="text1" w:themeTint="F2"/>
          <w:sz w:val="26"/>
          <w:szCs w:val="26"/>
        </w:rPr>
        <w:t xml:space="preserve"> </w:t>
      </w:r>
      <w:r w:rsidR="00314400" w:rsidRPr="00B8529C">
        <w:rPr>
          <w:color w:val="0D0D0D" w:themeColor="text1" w:themeTint="F2"/>
          <w:sz w:val="26"/>
          <w:szCs w:val="26"/>
        </w:rPr>
        <w:t>19,000</w:t>
      </w:r>
      <w:r w:rsidR="00691F01" w:rsidRPr="00B8529C">
        <w:rPr>
          <w:color w:val="0D0D0D" w:themeColor="text1" w:themeTint="F2"/>
          <w:sz w:val="26"/>
          <w:szCs w:val="26"/>
        </w:rPr>
        <w:t xml:space="preserve"> trees, carrying out </w:t>
      </w:r>
      <w:r w:rsidR="00314400" w:rsidRPr="00B8529C">
        <w:rPr>
          <w:color w:val="0D0D0D" w:themeColor="text1" w:themeTint="F2"/>
          <w:sz w:val="26"/>
          <w:szCs w:val="26"/>
        </w:rPr>
        <w:t xml:space="preserve">33 </w:t>
      </w:r>
      <w:r w:rsidR="00691F01" w:rsidRPr="00B8529C">
        <w:rPr>
          <w:color w:val="0D0D0D" w:themeColor="text1" w:themeTint="F2"/>
          <w:sz w:val="26"/>
          <w:szCs w:val="26"/>
        </w:rPr>
        <w:t xml:space="preserve">run-over attacks, </w:t>
      </w:r>
      <w:r w:rsidR="00314400" w:rsidRPr="00B8529C">
        <w:rPr>
          <w:color w:val="0D0D0D" w:themeColor="text1" w:themeTint="F2"/>
          <w:sz w:val="26"/>
          <w:szCs w:val="26"/>
        </w:rPr>
        <w:t>76</w:t>
      </w:r>
      <w:r w:rsidR="00691F01" w:rsidRPr="00B8529C">
        <w:rPr>
          <w:color w:val="0D0D0D" w:themeColor="text1" w:themeTint="F2"/>
          <w:sz w:val="26"/>
          <w:szCs w:val="26"/>
        </w:rPr>
        <w:t xml:space="preserve"> shootings, and </w:t>
      </w:r>
      <w:r w:rsidR="00314400" w:rsidRPr="00B8529C">
        <w:rPr>
          <w:color w:val="0D0D0D" w:themeColor="text1" w:themeTint="F2"/>
          <w:sz w:val="26"/>
          <w:szCs w:val="26"/>
        </w:rPr>
        <w:t xml:space="preserve">30 </w:t>
      </w:r>
      <w:r w:rsidR="00691F01" w:rsidRPr="00B8529C">
        <w:rPr>
          <w:color w:val="0D0D0D" w:themeColor="text1" w:themeTint="F2"/>
          <w:sz w:val="26"/>
          <w:szCs w:val="26"/>
        </w:rPr>
        <w:t>leveling operation</w:t>
      </w:r>
      <w:r w:rsidR="00C3521F" w:rsidRPr="00B8529C">
        <w:rPr>
          <w:color w:val="0D0D0D" w:themeColor="text1" w:themeTint="F2"/>
          <w:sz w:val="26"/>
          <w:szCs w:val="26"/>
        </w:rPr>
        <w:t>s</w:t>
      </w:r>
      <w:r w:rsidR="00691F01" w:rsidRPr="00B8529C">
        <w:rPr>
          <w:color w:val="0D0D0D" w:themeColor="text1" w:themeTint="F2"/>
          <w:sz w:val="26"/>
          <w:szCs w:val="26"/>
        </w:rPr>
        <w:t xml:space="preserve"> of citizens' lands</w:t>
      </w:r>
      <w:r w:rsidR="00562C02" w:rsidRPr="00B8529C">
        <w:rPr>
          <w:color w:val="0D0D0D" w:themeColor="text1" w:themeTint="F2"/>
          <w:sz w:val="26"/>
          <w:szCs w:val="26"/>
        </w:rPr>
        <w:t xml:space="preserve">, in </w:t>
      </w:r>
      <w:r w:rsidR="00DA1107" w:rsidRPr="00B8529C">
        <w:rPr>
          <w:color w:val="0D0D0D" w:themeColor="text1" w:themeTint="F2"/>
          <w:sz w:val="26"/>
          <w:szCs w:val="26"/>
        </w:rPr>
        <w:t xml:space="preserve">addition to burning, destroying and damaging </w:t>
      </w:r>
      <w:r w:rsidR="00F65E52" w:rsidRPr="00B8529C">
        <w:rPr>
          <w:color w:val="0D0D0D" w:themeColor="text1" w:themeTint="F2"/>
          <w:sz w:val="26"/>
          <w:szCs w:val="26"/>
        </w:rPr>
        <w:t xml:space="preserve">cars and vehicles of </w:t>
      </w:r>
      <w:r w:rsidR="00DA1107" w:rsidRPr="00B8529C">
        <w:rPr>
          <w:color w:val="0D0D0D" w:themeColor="text1" w:themeTint="F2"/>
          <w:sz w:val="26"/>
          <w:szCs w:val="26"/>
        </w:rPr>
        <w:t>450</w:t>
      </w:r>
      <w:r w:rsidR="00F65E52" w:rsidRPr="00B8529C">
        <w:rPr>
          <w:color w:val="0D0D0D" w:themeColor="text1" w:themeTint="F2"/>
          <w:sz w:val="26"/>
          <w:szCs w:val="26"/>
        </w:rPr>
        <w:t xml:space="preserve"> Palestinian</w:t>
      </w:r>
      <w:r w:rsidR="00DA1107" w:rsidRPr="00B8529C">
        <w:rPr>
          <w:color w:val="0D0D0D" w:themeColor="text1" w:themeTint="F2"/>
          <w:sz w:val="26"/>
          <w:szCs w:val="26"/>
        </w:rPr>
        <w:t xml:space="preserve"> citizens.</w:t>
      </w:r>
    </w:p>
    <w:p w14:paraId="33F699BC" w14:textId="0AFAFD0A" w:rsidR="00DA1107" w:rsidRPr="00B8529C" w:rsidRDefault="00DA1107" w:rsidP="00D55AC2">
      <w:pPr>
        <w:pStyle w:val="BodyTextIndent2"/>
        <w:ind w:left="0"/>
        <w:jc w:val="lowKashida"/>
        <w:rPr>
          <w:color w:val="0D0D0D" w:themeColor="text1" w:themeTint="F2"/>
          <w:sz w:val="26"/>
          <w:szCs w:val="26"/>
        </w:rPr>
      </w:pPr>
      <w:r w:rsidRPr="00B8529C">
        <w:rPr>
          <w:color w:val="0D0D0D" w:themeColor="text1" w:themeTint="F2"/>
          <w:sz w:val="26"/>
          <w:szCs w:val="26"/>
        </w:rPr>
        <w:t xml:space="preserve">Since the beginning of 2021, settlers have established ten new outposts </w:t>
      </w:r>
      <w:r w:rsidR="00F65E52" w:rsidRPr="00B8529C">
        <w:rPr>
          <w:color w:val="0D0D0D" w:themeColor="text1" w:themeTint="F2"/>
          <w:sz w:val="26"/>
          <w:szCs w:val="26"/>
        </w:rPr>
        <w:t>for the</w:t>
      </w:r>
      <w:r w:rsidRPr="00B8529C">
        <w:rPr>
          <w:color w:val="0D0D0D" w:themeColor="text1" w:themeTint="F2"/>
          <w:sz w:val="26"/>
          <w:szCs w:val="26"/>
        </w:rPr>
        <w:t xml:space="preserve"> </w:t>
      </w:r>
      <w:r w:rsidR="00F65E52" w:rsidRPr="00B8529C">
        <w:rPr>
          <w:color w:val="0D0D0D" w:themeColor="text1" w:themeTint="F2"/>
          <w:sz w:val="26"/>
          <w:szCs w:val="26"/>
        </w:rPr>
        <w:t xml:space="preserve">seizure </w:t>
      </w:r>
      <w:r w:rsidRPr="00B8529C">
        <w:rPr>
          <w:color w:val="0D0D0D" w:themeColor="text1" w:themeTint="F2"/>
          <w:sz w:val="26"/>
          <w:szCs w:val="26"/>
        </w:rPr>
        <w:t xml:space="preserve">and control of Palestinian lands, including </w:t>
      </w:r>
      <w:proofErr w:type="spellStart"/>
      <w:r w:rsidRPr="00B8529C">
        <w:rPr>
          <w:color w:val="0D0D0D" w:themeColor="text1" w:themeTint="F2"/>
          <w:sz w:val="26"/>
          <w:szCs w:val="26"/>
        </w:rPr>
        <w:t>Jabal</w:t>
      </w:r>
      <w:proofErr w:type="spellEnd"/>
      <w:r w:rsidRPr="00B8529C">
        <w:rPr>
          <w:color w:val="0D0D0D" w:themeColor="text1" w:themeTint="F2"/>
          <w:sz w:val="26"/>
          <w:szCs w:val="26"/>
        </w:rPr>
        <w:t xml:space="preserve"> </w:t>
      </w:r>
      <w:proofErr w:type="spellStart"/>
      <w:r w:rsidRPr="00B8529C">
        <w:rPr>
          <w:color w:val="0D0D0D" w:themeColor="text1" w:themeTint="F2"/>
          <w:sz w:val="26"/>
          <w:szCs w:val="26"/>
        </w:rPr>
        <w:t>Sabih</w:t>
      </w:r>
      <w:proofErr w:type="spellEnd"/>
      <w:r w:rsidRPr="00B8529C">
        <w:rPr>
          <w:color w:val="0D0D0D" w:themeColor="text1" w:themeTint="F2"/>
          <w:sz w:val="26"/>
          <w:szCs w:val="26"/>
        </w:rPr>
        <w:t>, which is located southeast of Nablus city</w:t>
      </w:r>
      <w:r w:rsidR="00D55AC2" w:rsidRPr="00B8529C">
        <w:rPr>
          <w:color w:val="0D0D0D" w:themeColor="text1" w:themeTint="F2"/>
          <w:sz w:val="26"/>
          <w:szCs w:val="26"/>
        </w:rPr>
        <w:t xml:space="preserve">. </w:t>
      </w:r>
      <w:r w:rsidRPr="00B8529C">
        <w:rPr>
          <w:color w:val="0D0D0D" w:themeColor="text1" w:themeTint="F2"/>
          <w:sz w:val="26"/>
          <w:szCs w:val="26"/>
        </w:rPr>
        <w:t>The area of the mountain (</w:t>
      </w:r>
      <w:proofErr w:type="spellStart"/>
      <w:r w:rsidRPr="00B8529C">
        <w:rPr>
          <w:color w:val="0D0D0D" w:themeColor="text1" w:themeTint="F2"/>
          <w:sz w:val="26"/>
          <w:szCs w:val="26"/>
        </w:rPr>
        <w:t>Jabal</w:t>
      </w:r>
      <w:proofErr w:type="spellEnd"/>
      <w:r w:rsidRPr="00B8529C">
        <w:rPr>
          <w:color w:val="0D0D0D" w:themeColor="text1" w:themeTint="F2"/>
          <w:sz w:val="26"/>
          <w:szCs w:val="26"/>
        </w:rPr>
        <w:t xml:space="preserve"> </w:t>
      </w:r>
      <w:proofErr w:type="spellStart"/>
      <w:r w:rsidRPr="00B8529C">
        <w:rPr>
          <w:color w:val="0D0D0D" w:themeColor="text1" w:themeTint="F2"/>
          <w:sz w:val="26"/>
          <w:szCs w:val="26"/>
        </w:rPr>
        <w:t>Sabih</w:t>
      </w:r>
      <w:proofErr w:type="spellEnd"/>
      <w:r w:rsidRPr="00B8529C">
        <w:rPr>
          <w:color w:val="0D0D0D" w:themeColor="text1" w:themeTint="F2"/>
          <w:sz w:val="26"/>
          <w:szCs w:val="26"/>
        </w:rPr>
        <w:t xml:space="preserve">) is about 840 dunums, </w:t>
      </w:r>
      <w:r w:rsidR="003E0681" w:rsidRPr="00B8529C">
        <w:rPr>
          <w:color w:val="0D0D0D" w:themeColor="text1" w:themeTint="F2"/>
          <w:sz w:val="26"/>
          <w:szCs w:val="26"/>
        </w:rPr>
        <w:t xml:space="preserve">where </w:t>
      </w:r>
      <w:r w:rsidRPr="00B8529C">
        <w:rPr>
          <w:color w:val="0D0D0D" w:themeColor="text1" w:themeTint="F2"/>
          <w:sz w:val="26"/>
          <w:szCs w:val="26"/>
        </w:rPr>
        <w:t xml:space="preserve">the Israeli </w:t>
      </w:r>
      <w:r w:rsidR="003E0681" w:rsidRPr="00B8529C">
        <w:rPr>
          <w:color w:val="0D0D0D" w:themeColor="text1" w:themeTint="F2"/>
          <w:sz w:val="26"/>
          <w:szCs w:val="26"/>
        </w:rPr>
        <w:t xml:space="preserve">settlers </w:t>
      </w:r>
      <w:r w:rsidRPr="00B8529C">
        <w:rPr>
          <w:color w:val="0D0D0D" w:themeColor="text1" w:themeTint="F2"/>
          <w:sz w:val="26"/>
          <w:szCs w:val="26"/>
        </w:rPr>
        <w:t xml:space="preserve">seized so far 20 dunums of it, and they have built </w:t>
      </w:r>
      <w:r w:rsidR="00B318F8" w:rsidRPr="00B8529C">
        <w:rPr>
          <w:color w:val="0D0D0D" w:themeColor="text1" w:themeTint="F2"/>
          <w:sz w:val="26"/>
          <w:szCs w:val="26"/>
        </w:rPr>
        <w:t>an</w:t>
      </w:r>
      <w:r w:rsidRPr="00B8529C">
        <w:rPr>
          <w:color w:val="0D0D0D" w:themeColor="text1" w:themeTint="F2"/>
          <w:sz w:val="26"/>
          <w:szCs w:val="26"/>
        </w:rPr>
        <w:t xml:space="preserve"> outpost that includes a number of settlement units </w:t>
      </w:r>
      <w:r w:rsidR="003E0681" w:rsidRPr="00B8529C">
        <w:rPr>
          <w:color w:val="0D0D0D" w:themeColor="text1" w:themeTint="F2"/>
          <w:sz w:val="26"/>
          <w:szCs w:val="26"/>
        </w:rPr>
        <w:t xml:space="preserve">that </w:t>
      </w:r>
      <w:r w:rsidRPr="00B8529C">
        <w:rPr>
          <w:color w:val="0D0D0D" w:themeColor="text1" w:themeTint="F2"/>
          <w:sz w:val="26"/>
          <w:szCs w:val="26"/>
        </w:rPr>
        <w:t xml:space="preserve">are rapidly increasing in recent days, while the Israeli occupation authorities have initiated measures to legitimize the outpost to turn it into an Israeli Settlement. The Israeli </w:t>
      </w:r>
      <w:r w:rsidR="003E0681" w:rsidRPr="00B8529C">
        <w:rPr>
          <w:color w:val="0D0D0D" w:themeColor="text1" w:themeTint="F2"/>
          <w:sz w:val="26"/>
          <w:szCs w:val="26"/>
        </w:rPr>
        <w:t>s</w:t>
      </w:r>
      <w:r w:rsidRPr="00B8529C">
        <w:rPr>
          <w:color w:val="0D0D0D" w:themeColor="text1" w:themeTint="F2"/>
          <w:sz w:val="26"/>
          <w:szCs w:val="26"/>
        </w:rPr>
        <w:t>ettlers also exploit about 120 thousand dunums of Palestinian lands for agriculture.</w:t>
      </w:r>
    </w:p>
    <w:p w14:paraId="57597B77" w14:textId="77777777" w:rsidR="004D54B7" w:rsidRPr="00B8529C" w:rsidRDefault="004D54B7" w:rsidP="00DA1107">
      <w:pPr>
        <w:pStyle w:val="BodyTextIndent2"/>
        <w:ind w:left="0"/>
        <w:jc w:val="lowKashida"/>
        <w:rPr>
          <w:b/>
          <w:bCs/>
          <w:color w:val="0D0D0D"/>
          <w:sz w:val="16"/>
          <w:szCs w:val="16"/>
          <w:highlight w:val="yellow"/>
        </w:rPr>
      </w:pPr>
    </w:p>
    <w:p w14:paraId="334DCED4" w14:textId="60AD594D" w:rsidR="00DA1107" w:rsidRPr="00B8529C" w:rsidRDefault="00B840BB" w:rsidP="00B05BCC">
      <w:pPr>
        <w:pStyle w:val="BodyTextIndent"/>
        <w:ind w:left="0"/>
        <w:jc w:val="both"/>
        <w:rPr>
          <w:rStyle w:val="shorttext"/>
          <w:b/>
          <w:bCs/>
          <w:color w:val="0D0D0D" w:themeColor="text1" w:themeTint="F2"/>
          <w:sz w:val="26"/>
          <w:szCs w:val="26"/>
        </w:rPr>
      </w:pPr>
      <w:r w:rsidRPr="00B8529C">
        <w:rPr>
          <w:rStyle w:val="shorttext"/>
          <w:b/>
          <w:bCs/>
          <w:color w:val="0D0D0D" w:themeColor="text1" w:themeTint="F2"/>
          <w:sz w:val="26"/>
          <w:szCs w:val="26"/>
        </w:rPr>
        <w:t xml:space="preserve">Jerusalem: Intensive </w:t>
      </w:r>
      <w:proofErr w:type="spellStart"/>
      <w:r w:rsidRPr="00B8529C">
        <w:rPr>
          <w:rStyle w:val="shorttext"/>
          <w:b/>
          <w:bCs/>
          <w:color w:val="0D0D0D" w:themeColor="text1" w:themeTint="F2"/>
          <w:sz w:val="26"/>
          <w:szCs w:val="26"/>
        </w:rPr>
        <w:t>Judaization</w:t>
      </w:r>
      <w:proofErr w:type="spellEnd"/>
      <w:r w:rsidRPr="00B8529C">
        <w:rPr>
          <w:rStyle w:val="shorttext"/>
          <w:b/>
          <w:bCs/>
          <w:color w:val="0D0D0D" w:themeColor="text1" w:themeTint="F2"/>
          <w:sz w:val="26"/>
          <w:szCs w:val="26"/>
        </w:rPr>
        <w:t xml:space="preserve"> </w:t>
      </w:r>
      <w:r w:rsidR="00DA1107" w:rsidRPr="00B8529C">
        <w:rPr>
          <w:rStyle w:val="shorttext"/>
          <w:b/>
          <w:bCs/>
          <w:color w:val="0D0D0D" w:themeColor="text1" w:themeTint="F2"/>
          <w:sz w:val="26"/>
          <w:szCs w:val="26"/>
        </w:rPr>
        <w:t xml:space="preserve">and seizure of Palestinian </w:t>
      </w:r>
      <w:r w:rsidR="00827DC9" w:rsidRPr="00B8529C">
        <w:rPr>
          <w:rStyle w:val="shorttext"/>
          <w:b/>
          <w:bCs/>
          <w:color w:val="0D0D0D" w:themeColor="text1" w:themeTint="F2"/>
          <w:sz w:val="26"/>
          <w:szCs w:val="26"/>
        </w:rPr>
        <w:t>real-</w:t>
      </w:r>
      <w:r w:rsidR="00DA1107" w:rsidRPr="00B8529C">
        <w:rPr>
          <w:rStyle w:val="shorttext"/>
          <w:b/>
          <w:bCs/>
          <w:color w:val="0D0D0D" w:themeColor="text1" w:themeTint="F2"/>
          <w:sz w:val="26"/>
          <w:szCs w:val="26"/>
        </w:rPr>
        <w:t>estate</w:t>
      </w:r>
    </w:p>
    <w:p w14:paraId="397F193E" w14:textId="6FA108B1" w:rsidR="00493B33" w:rsidRPr="00B8529C" w:rsidRDefault="00493B33" w:rsidP="00AD7F35">
      <w:pPr>
        <w:bidi w:val="0"/>
        <w:jc w:val="both"/>
        <w:rPr>
          <w:sz w:val="26"/>
          <w:szCs w:val="26"/>
        </w:rPr>
      </w:pPr>
      <w:r w:rsidRPr="00B8529C">
        <w:rPr>
          <w:sz w:val="26"/>
          <w:szCs w:val="26"/>
        </w:rPr>
        <w:t xml:space="preserve">As part of the policy of deportation and replacement, the Israeli occupation authorities are taking accelerated </w:t>
      </w:r>
      <w:proofErr w:type="spellStart"/>
      <w:r w:rsidR="00827DC9" w:rsidRPr="00B8529C">
        <w:rPr>
          <w:sz w:val="26"/>
          <w:szCs w:val="26"/>
        </w:rPr>
        <w:t>judaizing</w:t>
      </w:r>
      <w:proofErr w:type="spellEnd"/>
      <w:r w:rsidR="00827DC9" w:rsidRPr="00B8529C">
        <w:rPr>
          <w:sz w:val="26"/>
          <w:szCs w:val="26"/>
        </w:rPr>
        <w:t xml:space="preserve"> </w:t>
      </w:r>
      <w:r w:rsidRPr="00B8529C">
        <w:rPr>
          <w:sz w:val="26"/>
          <w:szCs w:val="26"/>
        </w:rPr>
        <w:t>measures to Jerusalem in order to obliterate the Islamic landmarks and displace Palestinians from the city of Jerusalem, to replace them with Israelis from all over the world. During 2021, the Israeli occupation authorities approved the construction of more than 12 thousand settlement units</w:t>
      </w:r>
      <w:r w:rsidR="004A33CE" w:rsidRPr="00B8529C">
        <w:rPr>
          <w:sz w:val="26"/>
          <w:szCs w:val="26"/>
        </w:rPr>
        <w:t xml:space="preserve">, </w:t>
      </w:r>
      <w:r w:rsidRPr="00B8529C">
        <w:rPr>
          <w:sz w:val="26"/>
          <w:szCs w:val="26"/>
        </w:rPr>
        <w:t xml:space="preserve">most of them in Jerusalem, at a time that the Israeli occupation authorities demolished more than </w:t>
      </w:r>
      <w:r w:rsidR="0022170A" w:rsidRPr="00B8529C">
        <w:rPr>
          <w:sz w:val="26"/>
          <w:szCs w:val="26"/>
        </w:rPr>
        <w:t>300</w:t>
      </w:r>
      <w:r w:rsidRPr="00B8529C">
        <w:rPr>
          <w:sz w:val="26"/>
          <w:szCs w:val="26"/>
        </w:rPr>
        <w:t xml:space="preserve"> buildings and issued demolition orders for more than 200 Palestinian buildings</w:t>
      </w:r>
      <w:r w:rsidR="004A33CE" w:rsidRPr="00B8529C">
        <w:rPr>
          <w:sz w:val="26"/>
          <w:szCs w:val="26"/>
        </w:rPr>
        <w:t xml:space="preserve">. </w:t>
      </w:r>
      <w:r w:rsidRPr="00B8529C">
        <w:rPr>
          <w:sz w:val="26"/>
          <w:szCs w:val="26"/>
        </w:rPr>
        <w:t xml:space="preserve">In addition to approving a project to seizure 2,050 Palestinian </w:t>
      </w:r>
      <w:r w:rsidR="002172DD" w:rsidRPr="00B8529C">
        <w:rPr>
          <w:sz w:val="26"/>
          <w:szCs w:val="26"/>
        </w:rPr>
        <w:t>real-</w:t>
      </w:r>
      <w:r w:rsidR="006E4836" w:rsidRPr="00B8529C">
        <w:rPr>
          <w:sz w:val="26"/>
          <w:szCs w:val="26"/>
        </w:rPr>
        <w:t>e</w:t>
      </w:r>
      <w:r w:rsidRPr="00B8529C">
        <w:rPr>
          <w:sz w:val="26"/>
          <w:szCs w:val="26"/>
        </w:rPr>
        <w:t>state</w:t>
      </w:r>
      <w:r w:rsidR="002172DD" w:rsidRPr="00B8529C">
        <w:rPr>
          <w:sz w:val="26"/>
          <w:szCs w:val="26"/>
        </w:rPr>
        <w:t>s</w:t>
      </w:r>
      <w:r w:rsidRPr="00B8529C">
        <w:rPr>
          <w:sz w:val="26"/>
          <w:szCs w:val="26"/>
        </w:rPr>
        <w:t xml:space="preserve"> </w:t>
      </w:r>
      <w:r w:rsidR="002172DD" w:rsidRPr="00B8529C">
        <w:rPr>
          <w:sz w:val="26"/>
          <w:szCs w:val="26"/>
        </w:rPr>
        <w:t xml:space="preserve">over </w:t>
      </w:r>
      <w:r w:rsidRPr="00B8529C">
        <w:rPr>
          <w:sz w:val="26"/>
          <w:szCs w:val="26"/>
        </w:rPr>
        <w:t xml:space="preserve">an area estimated </w:t>
      </w:r>
      <w:r w:rsidR="002172DD" w:rsidRPr="00B8529C">
        <w:rPr>
          <w:sz w:val="26"/>
          <w:szCs w:val="26"/>
        </w:rPr>
        <w:t xml:space="preserve">of </w:t>
      </w:r>
      <w:r w:rsidRPr="00B8529C">
        <w:rPr>
          <w:sz w:val="26"/>
          <w:szCs w:val="26"/>
        </w:rPr>
        <w:t xml:space="preserve">2,500 dunums during the year 2021. At the same time, in the neighborhoods of Sheikh Jarrah and </w:t>
      </w:r>
      <w:proofErr w:type="spellStart"/>
      <w:r w:rsidRPr="00B8529C">
        <w:rPr>
          <w:sz w:val="26"/>
          <w:szCs w:val="26"/>
        </w:rPr>
        <w:t>Silwan</w:t>
      </w:r>
      <w:proofErr w:type="spellEnd"/>
      <w:r w:rsidRPr="00B8529C">
        <w:rPr>
          <w:sz w:val="26"/>
          <w:szCs w:val="26"/>
        </w:rPr>
        <w:t xml:space="preserve"> in East Jerusalem, the Israeli authorities strengthened the Israeli occupation attempts to seizure Palestinian houses and expel its long-time residents. They did so under a discriminatory law, upheld by Israeli courts, that allows these </w:t>
      </w:r>
      <w:r w:rsidR="002172DD" w:rsidRPr="00B8529C">
        <w:rPr>
          <w:sz w:val="26"/>
          <w:szCs w:val="26"/>
        </w:rPr>
        <w:t>Israeli</w:t>
      </w:r>
      <w:r w:rsidRPr="00B8529C">
        <w:rPr>
          <w:sz w:val="26"/>
          <w:szCs w:val="26"/>
        </w:rPr>
        <w:t xml:space="preserve"> settler groups to pursue claims to land they claim Jews owned pre-1948 in East Jerusalem. While Israeli law prohibits Palestinians, including residents of Sheikh Jarrah and </w:t>
      </w:r>
      <w:proofErr w:type="spellStart"/>
      <w:r w:rsidRPr="00B8529C">
        <w:rPr>
          <w:sz w:val="26"/>
          <w:szCs w:val="26"/>
        </w:rPr>
        <w:t>Silwan</w:t>
      </w:r>
      <w:proofErr w:type="spellEnd"/>
      <w:r w:rsidRPr="00B8529C">
        <w:rPr>
          <w:sz w:val="26"/>
          <w:szCs w:val="26"/>
        </w:rPr>
        <w:t xml:space="preserve"> neighborhoods who are due to be displaced, from reclaiming property they owned in the occupied territories in 1948.</w:t>
      </w:r>
      <w:r w:rsidRPr="00B8529C" w:rsidDel="00493B33">
        <w:rPr>
          <w:sz w:val="26"/>
          <w:szCs w:val="26"/>
        </w:rPr>
        <w:t xml:space="preserve"> </w:t>
      </w:r>
    </w:p>
    <w:p w14:paraId="48DB61D4" w14:textId="77777777" w:rsidR="00B8529C" w:rsidRDefault="00B8529C" w:rsidP="00B05BCC">
      <w:pPr>
        <w:bidi w:val="0"/>
        <w:jc w:val="both"/>
        <w:rPr>
          <w:sz w:val="16"/>
          <w:szCs w:val="16"/>
        </w:rPr>
      </w:pPr>
    </w:p>
    <w:p w14:paraId="4E6EDE85" w14:textId="77777777" w:rsidR="00B8529C" w:rsidRDefault="00B8529C" w:rsidP="00B8529C">
      <w:pPr>
        <w:bidi w:val="0"/>
        <w:jc w:val="both"/>
        <w:rPr>
          <w:sz w:val="16"/>
          <w:szCs w:val="16"/>
        </w:rPr>
      </w:pPr>
    </w:p>
    <w:p w14:paraId="5D6BD341" w14:textId="77777777" w:rsidR="00B8529C" w:rsidRDefault="00B8529C" w:rsidP="00B8529C">
      <w:pPr>
        <w:bidi w:val="0"/>
        <w:jc w:val="both"/>
        <w:rPr>
          <w:sz w:val="16"/>
          <w:szCs w:val="16"/>
        </w:rPr>
      </w:pPr>
    </w:p>
    <w:p w14:paraId="23D277DC" w14:textId="77777777" w:rsidR="00B8529C" w:rsidRDefault="00B8529C" w:rsidP="00B8529C">
      <w:pPr>
        <w:bidi w:val="0"/>
        <w:jc w:val="both"/>
        <w:rPr>
          <w:sz w:val="16"/>
          <w:szCs w:val="16"/>
        </w:rPr>
      </w:pPr>
    </w:p>
    <w:p w14:paraId="5C79B64C" w14:textId="77777777" w:rsidR="00B8529C" w:rsidRDefault="00B8529C" w:rsidP="00B8529C">
      <w:pPr>
        <w:bidi w:val="0"/>
        <w:jc w:val="both"/>
        <w:rPr>
          <w:sz w:val="16"/>
          <w:szCs w:val="16"/>
        </w:rPr>
      </w:pPr>
    </w:p>
    <w:p w14:paraId="1B80C847" w14:textId="77777777" w:rsidR="00B8529C" w:rsidRDefault="00B8529C" w:rsidP="00B8529C">
      <w:pPr>
        <w:bidi w:val="0"/>
        <w:jc w:val="both"/>
        <w:rPr>
          <w:sz w:val="16"/>
          <w:szCs w:val="16"/>
        </w:rPr>
      </w:pPr>
    </w:p>
    <w:p w14:paraId="0CD8659D" w14:textId="77777777" w:rsidR="00B8529C" w:rsidRDefault="00B8529C" w:rsidP="00B8529C">
      <w:pPr>
        <w:bidi w:val="0"/>
        <w:jc w:val="both"/>
        <w:rPr>
          <w:sz w:val="16"/>
          <w:szCs w:val="16"/>
        </w:rPr>
      </w:pPr>
    </w:p>
    <w:p w14:paraId="4C4ECFC5" w14:textId="77777777" w:rsidR="00B8529C" w:rsidRDefault="00B8529C" w:rsidP="00B8529C">
      <w:pPr>
        <w:bidi w:val="0"/>
        <w:jc w:val="both"/>
        <w:rPr>
          <w:sz w:val="16"/>
          <w:szCs w:val="16"/>
        </w:rPr>
      </w:pPr>
    </w:p>
    <w:p w14:paraId="4AD44ED8" w14:textId="77777777" w:rsidR="00B8529C" w:rsidRDefault="00B8529C" w:rsidP="00B8529C">
      <w:pPr>
        <w:bidi w:val="0"/>
        <w:jc w:val="both"/>
        <w:rPr>
          <w:sz w:val="16"/>
          <w:szCs w:val="16"/>
        </w:rPr>
      </w:pPr>
    </w:p>
    <w:p w14:paraId="19C03608" w14:textId="04945D84" w:rsidR="009B4CD9" w:rsidRPr="00B8529C" w:rsidRDefault="009B4CD9" w:rsidP="00B8529C">
      <w:pPr>
        <w:bidi w:val="0"/>
        <w:jc w:val="both"/>
        <w:rPr>
          <w:b/>
          <w:bCs/>
          <w:color w:val="000000" w:themeColor="text1"/>
          <w:sz w:val="26"/>
          <w:szCs w:val="26"/>
        </w:rPr>
      </w:pPr>
      <w:r w:rsidRPr="00B8529C">
        <w:rPr>
          <w:b/>
          <w:bCs/>
          <w:color w:val="000000" w:themeColor="text1"/>
          <w:sz w:val="26"/>
          <w:szCs w:val="26"/>
        </w:rPr>
        <w:t>Israeli occupation authorities demolished 1,058 buildings during the year 2021</w:t>
      </w:r>
    </w:p>
    <w:p w14:paraId="7DE5807C" w14:textId="7FD57502" w:rsidR="009B4CD9" w:rsidRPr="00B8529C" w:rsidRDefault="009B4CD9" w:rsidP="006E4836">
      <w:pPr>
        <w:bidi w:val="0"/>
        <w:jc w:val="both"/>
        <w:rPr>
          <w:color w:val="000000" w:themeColor="text1"/>
          <w:sz w:val="26"/>
          <w:szCs w:val="26"/>
        </w:rPr>
      </w:pPr>
      <w:r w:rsidRPr="00B8529C">
        <w:rPr>
          <w:color w:val="000000" w:themeColor="text1"/>
          <w:sz w:val="26"/>
          <w:szCs w:val="26"/>
        </w:rPr>
        <w:t>Israeli occupation authorities demolished 1,058 buildings in Palestine (353 residential buildings and 705 establishments),</w:t>
      </w:r>
      <w:r w:rsidR="006E4836" w:rsidRPr="00B8529C">
        <w:rPr>
          <w:color w:val="000000" w:themeColor="text1"/>
          <w:sz w:val="26"/>
          <w:szCs w:val="26"/>
        </w:rPr>
        <w:t xml:space="preserve"> in which 93 of them were self-demolition </w:t>
      </w:r>
      <w:r w:rsidRPr="00B8529C">
        <w:rPr>
          <w:color w:val="000000" w:themeColor="text1"/>
          <w:sz w:val="26"/>
          <w:szCs w:val="26"/>
        </w:rPr>
        <w:t>located mostly in Jeru</w:t>
      </w:r>
      <w:r w:rsidR="006E4836" w:rsidRPr="00B8529C">
        <w:rPr>
          <w:color w:val="000000" w:themeColor="text1"/>
          <w:sz w:val="26"/>
          <w:szCs w:val="26"/>
        </w:rPr>
        <w:t>salem governorate with 88 self-</w:t>
      </w:r>
      <w:r w:rsidRPr="00B8529C">
        <w:rPr>
          <w:color w:val="000000" w:themeColor="text1"/>
          <w:sz w:val="26"/>
          <w:szCs w:val="26"/>
        </w:rPr>
        <w:t>demolition that constituting 29% of total demolishing (128 residential buildings and 176 establishments).  Tubas &amp; Northern Valleys governorate followed by with 20%, then Hebron governorate with 15%, while the rest of the percentages were distributed among the other  governorates of the West Bank.</w:t>
      </w:r>
    </w:p>
    <w:p w14:paraId="687F1300" w14:textId="77777777" w:rsidR="009B4CD9" w:rsidRPr="00B8529C" w:rsidRDefault="009B4CD9" w:rsidP="009B4CD9">
      <w:pPr>
        <w:bidi w:val="0"/>
        <w:jc w:val="both"/>
        <w:rPr>
          <w:color w:val="000000" w:themeColor="text1"/>
          <w:sz w:val="26"/>
          <w:szCs w:val="26"/>
        </w:rPr>
      </w:pPr>
      <w:r w:rsidRPr="00B8529C">
        <w:rPr>
          <w:color w:val="000000" w:themeColor="text1"/>
          <w:sz w:val="26"/>
          <w:szCs w:val="26"/>
        </w:rPr>
        <w:t>Israeli occupation authorities during the year 2021, issued 875 orders associated with demolishing, construction and land reclamation halt in the West Bank and Jerusalem, of which 22% in Nablus Governorate, 15% in Tubas &amp; Northern Valley Governorate, and 14% in Jerusalem Governorate, in addition to the destruction of many infrastructure sites that serve the Palestinians, including roads, Water and sanitation networks.</w:t>
      </w:r>
    </w:p>
    <w:p w14:paraId="2F173528" w14:textId="77777777" w:rsidR="00B8529C" w:rsidRPr="00B8529C" w:rsidRDefault="00B8529C" w:rsidP="00B8529C">
      <w:pPr>
        <w:pStyle w:val="BodyTextIndent"/>
        <w:ind w:left="0"/>
        <w:jc w:val="left"/>
        <w:rPr>
          <w:b/>
          <w:bCs/>
          <w:color w:val="0D0D0D" w:themeColor="text1" w:themeTint="F2"/>
          <w:sz w:val="16"/>
          <w:szCs w:val="16"/>
        </w:rPr>
      </w:pPr>
    </w:p>
    <w:p w14:paraId="574A44B1" w14:textId="700C9E06" w:rsidR="00A21E0C" w:rsidRPr="00B3166E" w:rsidRDefault="00A21E0C" w:rsidP="00B8529C">
      <w:pPr>
        <w:pStyle w:val="BodyTextIndent"/>
        <w:ind w:left="0"/>
        <w:jc w:val="center"/>
        <w:rPr>
          <w:b/>
          <w:bCs/>
          <w:color w:val="0D0D0D" w:themeColor="text1" w:themeTint="F2"/>
        </w:rPr>
      </w:pPr>
      <w:r w:rsidRPr="00B8529C">
        <w:rPr>
          <w:b/>
          <w:bCs/>
          <w:color w:val="0D0D0D" w:themeColor="text1" w:themeTint="F2"/>
          <w:sz w:val="26"/>
          <w:szCs w:val="26"/>
        </w:rPr>
        <w:t>Self-Demolitions</w:t>
      </w:r>
      <w:r w:rsidR="00154CBD" w:rsidRPr="00B8529C">
        <w:rPr>
          <w:b/>
          <w:bCs/>
          <w:color w:val="0D0D0D" w:themeColor="text1" w:themeTint="F2"/>
          <w:sz w:val="26"/>
          <w:szCs w:val="26"/>
        </w:rPr>
        <w:t xml:space="preserve"> in </w:t>
      </w:r>
      <w:r w:rsidR="00154CBD" w:rsidRPr="00B8529C">
        <w:rPr>
          <w:rStyle w:val="shorttext"/>
          <w:b/>
          <w:bCs/>
          <w:color w:val="0D0D0D" w:themeColor="text1" w:themeTint="F2"/>
          <w:sz w:val="26"/>
          <w:szCs w:val="26"/>
        </w:rPr>
        <w:t>Jerusalem Governorate</w:t>
      </w:r>
      <w:r w:rsidRPr="00B8529C">
        <w:rPr>
          <w:b/>
          <w:bCs/>
          <w:color w:val="0D0D0D" w:themeColor="text1" w:themeTint="F2"/>
          <w:sz w:val="26"/>
          <w:szCs w:val="26"/>
        </w:rPr>
        <w:t xml:space="preserve"> 2006 - </w:t>
      </w:r>
      <w:r w:rsidR="00493B33" w:rsidRPr="00B8529C">
        <w:rPr>
          <w:b/>
          <w:bCs/>
          <w:color w:val="0D0D0D" w:themeColor="text1" w:themeTint="F2"/>
          <w:sz w:val="26"/>
          <w:szCs w:val="26"/>
        </w:rPr>
        <w:t>2021</w:t>
      </w:r>
    </w:p>
    <w:p w14:paraId="573A303D" w14:textId="77777777" w:rsidR="00A21E0C" w:rsidRPr="00B3166E" w:rsidRDefault="00302C69" w:rsidP="00B8529C">
      <w:pPr>
        <w:pStyle w:val="BodyTextIndent"/>
        <w:ind w:left="0"/>
        <w:jc w:val="center"/>
        <w:rPr>
          <w:color w:val="0D0D0D" w:themeColor="text1" w:themeTint="F2"/>
        </w:rPr>
      </w:pPr>
      <w:r w:rsidRPr="00B3166E">
        <w:rPr>
          <w:noProof/>
          <w:color w:val="0D0D0D" w:themeColor="text1" w:themeTint="F2"/>
          <w:lang w:eastAsia="en-US"/>
        </w:rPr>
        <w:drawing>
          <wp:inline distT="0" distB="0" distL="0" distR="0" wp14:anchorId="61D26ED0" wp14:editId="44ECBA6F">
            <wp:extent cx="3373120" cy="1876425"/>
            <wp:effectExtent l="0" t="0" r="17780" b="9525"/>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596A40" w14:textId="77777777" w:rsidR="004D54B7" w:rsidRPr="00B8529C" w:rsidRDefault="004D54B7" w:rsidP="004D54B7">
      <w:pPr>
        <w:bidi w:val="0"/>
        <w:jc w:val="both"/>
        <w:rPr>
          <w:b/>
          <w:bCs/>
          <w:color w:val="0D0D0D"/>
          <w:sz w:val="16"/>
          <w:szCs w:val="16"/>
        </w:rPr>
      </w:pPr>
    </w:p>
    <w:p w14:paraId="774E0E23" w14:textId="09A00509" w:rsidR="00302C69" w:rsidRDefault="00302C69" w:rsidP="00B05BCC">
      <w:pPr>
        <w:pStyle w:val="BodyTextIndent"/>
        <w:ind w:left="0"/>
        <w:jc w:val="left"/>
        <w:rPr>
          <w:b/>
          <w:bCs/>
          <w:color w:val="0D0D0D" w:themeColor="text1" w:themeTint="F2"/>
        </w:rPr>
      </w:pPr>
      <w:r w:rsidRPr="00B3166E">
        <w:rPr>
          <w:b/>
          <w:bCs/>
          <w:color w:val="0D0D0D" w:themeColor="text1" w:themeTint="F2"/>
        </w:rPr>
        <w:t>Israeli Violations against the Palestinians</w:t>
      </w:r>
    </w:p>
    <w:p w14:paraId="08813C58" w14:textId="7CBF325C" w:rsidR="00302C69" w:rsidRDefault="00302C69" w:rsidP="006E4836">
      <w:pPr>
        <w:pStyle w:val="BodyTextIndent"/>
        <w:ind w:left="0"/>
        <w:rPr>
          <w:color w:val="0D0D0D" w:themeColor="text1" w:themeTint="F2"/>
        </w:rPr>
      </w:pPr>
      <w:r w:rsidRPr="00B3166E">
        <w:t>The number of Palestinian and Arab martyrs killed since the Nakba in 1948 and until this day (inside and outside Palestine) reached about 100 thousand martyrs. Moreover, the number of martyrs killed in Al-Aqsa Intifada</w:t>
      </w:r>
      <w:r w:rsidR="000B07F3">
        <w:t xml:space="preserve">, </w:t>
      </w:r>
      <w:r w:rsidRPr="00B3166E">
        <w:t>between September 29</w:t>
      </w:r>
      <w:r w:rsidRPr="00B3166E">
        <w:rPr>
          <w:vertAlign w:val="superscript"/>
        </w:rPr>
        <w:t>th</w:t>
      </w:r>
      <w:r w:rsidR="006967DA">
        <w:t>,</w:t>
      </w:r>
      <w:r w:rsidRPr="00B3166E">
        <w:t xml:space="preserve"> 2000 </w:t>
      </w:r>
      <w:r w:rsidR="000B07F3">
        <w:t>and</w:t>
      </w:r>
      <w:r w:rsidR="000B07F3" w:rsidRPr="00B3166E">
        <w:t xml:space="preserve"> </w:t>
      </w:r>
      <w:r w:rsidRPr="00B3166E">
        <w:t>December 31</w:t>
      </w:r>
      <w:r w:rsidRPr="00B3166E">
        <w:rPr>
          <w:vertAlign w:val="superscript"/>
        </w:rPr>
        <w:t>st</w:t>
      </w:r>
      <w:r w:rsidR="006967DA">
        <w:t>,</w:t>
      </w:r>
      <w:r w:rsidRPr="00B3166E">
        <w:t xml:space="preserve"> </w:t>
      </w:r>
      <w:r w:rsidR="006E4836">
        <w:t>2021</w:t>
      </w:r>
      <w:r w:rsidR="000B07F3">
        <w:t>,</w:t>
      </w:r>
      <w:r w:rsidRPr="00B3166E">
        <w:t xml:space="preserve"> was </w:t>
      </w:r>
      <w:r w:rsidR="00493B33">
        <w:t>11</w:t>
      </w:r>
      <w:r w:rsidRPr="00B3166E">
        <w:t>,</w:t>
      </w:r>
      <w:r w:rsidR="00493B33">
        <w:t>310</w:t>
      </w:r>
      <w:r w:rsidRPr="00B3166E">
        <w:t>.  It is said that the bloodiest year was 2014 with 2,240 Palestinian martyrs, 2,181 of them were from Gaza Strip during the war on Gaza</w:t>
      </w:r>
      <w:r w:rsidRPr="00B3166E">
        <w:rPr>
          <w:color w:val="0D0D0D" w:themeColor="text1" w:themeTint="F2"/>
        </w:rPr>
        <w:t xml:space="preserve">. During </w:t>
      </w:r>
      <w:r w:rsidR="001C6527">
        <w:rPr>
          <w:color w:val="0D0D0D" w:themeColor="text1" w:themeTint="F2"/>
        </w:rPr>
        <w:t>2021</w:t>
      </w:r>
      <w:r w:rsidRPr="00B3166E">
        <w:rPr>
          <w:color w:val="0D0D0D" w:themeColor="text1" w:themeTint="F2"/>
        </w:rPr>
        <w:t xml:space="preserve">, the number of Palestinian martyrs reached </w:t>
      </w:r>
      <w:r w:rsidR="001C6527">
        <w:rPr>
          <w:color w:val="0D0D0D" w:themeColor="text1" w:themeTint="F2"/>
        </w:rPr>
        <w:t>341</w:t>
      </w:r>
      <w:r w:rsidRPr="00B3166E">
        <w:rPr>
          <w:color w:val="0D0D0D" w:themeColor="text1" w:themeTint="F2"/>
        </w:rPr>
        <w:t xml:space="preserve">, </w:t>
      </w:r>
      <w:r w:rsidR="001C6527">
        <w:rPr>
          <w:color w:val="0D0D0D" w:themeColor="text1" w:themeTint="F2"/>
        </w:rPr>
        <w:t>87</w:t>
      </w:r>
      <w:r w:rsidRPr="00B3166E">
        <w:rPr>
          <w:color w:val="0D0D0D" w:themeColor="text1" w:themeTint="F2"/>
        </w:rPr>
        <w:t xml:space="preserve"> of whom were children and </w:t>
      </w:r>
      <w:r w:rsidR="001C6527">
        <w:rPr>
          <w:color w:val="0D0D0D" w:themeColor="text1" w:themeTint="F2"/>
        </w:rPr>
        <w:t xml:space="preserve">48 </w:t>
      </w:r>
      <w:r w:rsidRPr="00B3166E">
        <w:rPr>
          <w:color w:val="0D0D0D" w:themeColor="text1" w:themeTint="F2"/>
        </w:rPr>
        <w:t xml:space="preserve">women. While the number of wounded Palestinians reached about </w:t>
      </w:r>
      <w:r w:rsidR="001C6527">
        <w:rPr>
          <w:color w:val="0D0D0D" w:themeColor="text1" w:themeTint="F2"/>
        </w:rPr>
        <w:t>12,500</w:t>
      </w:r>
      <w:r w:rsidR="00D3231B" w:rsidRPr="00D3231B">
        <w:rPr>
          <w:color w:val="0D0D0D" w:themeColor="text1" w:themeTint="F2"/>
        </w:rPr>
        <w:t xml:space="preserve"> </w:t>
      </w:r>
      <w:r w:rsidR="00D3231B">
        <w:rPr>
          <w:color w:val="0D0D0D" w:themeColor="text1" w:themeTint="F2"/>
        </w:rPr>
        <w:t>in</w:t>
      </w:r>
      <w:r w:rsidR="00D3231B" w:rsidRPr="00B3166E">
        <w:rPr>
          <w:color w:val="0D0D0D" w:themeColor="text1" w:themeTint="F2"/>
        </w:rPr>
        <w:t xml:space="preserve"> 202</w:t>
      </w:r>
      <w:r w:rsidR="00D3231B">
        <w:rPr>
          <w:color w:val="0D0D0D" w:themeColor="text1" w:themeTint="F2"/>
        </w:rPr>
        <w:t>1</w:t>
      </w:r>
      <w:r w:rsidRPr="00B3166E">
        <w:t>.</w:t>
      </w:r>
      <w:r w:rsidR="0022170A">
        <w:t xml:space="preserve"> </w:t>
      </w:r>
      <w:r w:rsidR="0022170A" w:rsidRPr="00B3166E">
        <w:t xml:space="preserve">By the end of </w:t>
      </w:r>
      <w:r w:rsidR="0022170A">
        <w:t xml:space="preserve">February </w:t>
      </w:r>
      <w:r w:rsidR="0022170A" w:rsidRPr="00B3166E">
        <w:t>202</w:t>
      </w:r>
      <w:r w:rsidR="0022170A">
        <w:t>2</w:t>
      </w:r>
      <w:r w:rsidR="0022170A" w:rsidRPr="00B3166E">
        <w:t>, there were 4,400 Palestinian detainees in the Israeli occupation prisons, 1</w:t>
      </w:r>
      <w:r w:rsidR="0022170A">
        <w:t>6</w:t>
      </w:r>
      <w:r w:rsidR="0022170A" w:rsidRPr="00B3166E">
        <w:t xml:space="preserve">0 of them are children and </w:t>
      </w:r>
      <w:r w:rsidR="0022170A">
        <w:rPr>
          <w:rFonts w:hint="cs"/>
          <w:rtl/>
        </w:rPr>
        <w:t>3</w:t>
      </w:r>
      <w:r w:rsidR="0022170A">
        <w:t>3</w:t>
      </w:r>
      <w:r w:rsidR="0022170A" w:rsidRPr="00B3166E">
        <w:t xml:space="preserve"> women</w:t>
      </w:r>
      <w:r w:rsidR="00D3231B">
        <w:t>.</w:t>
      </w:r>
      <w:r w:rsidR="00D3231B" w:rsidRPr="00B3166E">
        <w:t xml:space="preserve"> </w:t>
      </w:r>
      <w:r w:rsidR="00D3231B">
        <w:rPr>
          <w:color w:val="0D0D0D" w:themeColor="text1" w:themeTint="F2"/>
        </w:rPr>
        <w:t>T</w:t>
      </w:r>
      <w:r w:rsidR="00D3231B" w:rsidRPr="00B3166E">
        <w:rPr>
          <w:color w:val="0D0D0D" w:themeColor="text1" w:themeTint="F2"/>
        </w:rPr>
        <w:t xml:space="preserve">he </w:t>
      </w:r>
      <w:r w:rsidRPr="00B3166E">
        <w:rPr>
          <w:color w:val="0D0D0D" w:themeColor="text1" w:themeTint="F2"/>
        </w:rPr>
        <w:t xml:space="preserve">number of detention cases amounted to be about </w:t>
      </w:r>
      <w:r w:rsidR="001C6527">
        <w:rPr>
          <w:color w:val="0D0D0D" w:themeColor="text1" w:themeTint="F2"/>
        </w:rPr>
        <w:t>8,000</w:t>
      </w:r>
      <w:r w:rsidRPr="00B3166E">
        <w:rPr>
          <w:color w:val="0D0D0D" w:themeColor="text1" w:themeTint="F2"/>
        </w:rPr>
        <w:t xml:space="preserve"> cases</w:t>
      </w:r>
      <w:r w:rsidR="006E4836">
        <w:rPr>
          <w:color w:val="0D0D0D" w:themeColor="text1" w:themeTint="F2"/>
        </w:rPr>
        <w:t xml:space="preserve"> during 2021</w:t>
      </w:r>
      <w:r w:rsidRPr="00B3166E">
        <w:rPr>
          <w:color w:val="0D0D0D" w:themeColor="text1" w:themeTint="F2"/>
        </w:rPr>
        <w:t xml:space="preserve">, including </w:t>
      </w:r>
      <w:r w:rsidR="001C6527">
        <w:rPr>
          <w:color w:val="0D0D0D" w:themeColor="text1" w:themeTint="F2"/>
        </w:rPr>
        <w:t>1,300</w:t>
      </w:r>
      <w:r w:rsidR="00C304F7">
        <w:rPr>
          <w:color w:val="0D0D0D" w:themeColor="text1" w:themeTint="F2"/>
        </w:rPr>
        <w:t xml:space="preserve"> children and </w:t>
      </w:r>
      <w:r w:rsidR="006E4836">
        <w:rPr>
          <w:color w:val="0D0D0D" w:themeColor="text1" w:themeTint="F2"/>
        </w:rPr>
        <w:t>184</w:t>
      </w:r>
      <w:r w:rsidR="001C6527">
        <w:rPr>
          <w:color w:val="0D0D0D" w:themeColor="text1" w:themeTint="F2"/>
        </w:rPr>
        <w:t xml:space="preserve"> women. </w:t>
      </w:r>
      <w:r w:rsidR="001C6527" w:rsidRPr="001C6527">
        <w:rPr>
          <w:color w:val="0D0D0D" w:themeColor="text1" w:themeTint="F2"/>
        </w:rPr>
        <w:t xml:space="preserve">While the number of administrative detention orders against </w:t>
      </w:r>
      <w:r w:rsidR="003C594C">
        <w:rPr>
          <w:color w:val="0D0D0D" w:themeColor="text1" w:themeTint="F2"/>
        </w:rPr>
        <w:t xml:space="preserve">Palestinian </w:t>
      </w:r>
      <w:r w:rsidR="001C6527" w:rsidRPr="001C6527">
        <w:rPr>
          <w:color w:val="0D0D0D" w:themeColor="text1" w:themeTint="F2"/>
        </w:rPr>
        <w:t xml:space="preserve">citizens who were not </w:t>
      </w:r>
      <w:r w:rsidR="003C594C" w:rsidRPr="001C6527">
        <w:rPr>
          <w:color w:val="0D0D0D" w:themeColor="text1" w:themeTint="F2"/>
        </w:rPr>
        <w:t>charg</w:t>
      </w:r>
      <w:r w:rsidR="003C594C">
        <w:rPr>
          <w:color w:val="0D0D0D" w:themeColor="text1" w:themeTint="F2"/>
        </w:rPr>
        <w:t xml:space="preserve">ed </w:t>
      </w:r>
      <w:r w:rsidR="001C6527" w:rsidRPr="001C6527">
        <w:rPr>
          <w:color w:val="0D0D0D" w:themeColor="text1" w:themeTint="F2"/>
        </w:rPr>
        <w:t>with any indictment amounted to 1,595.</w:t>
      </w:r>
    </w:p>
    <w:p w14:paraId="004B0794" w14:textId="57F1E595" w:rsidR="0053323D" w:rsidRDefault="0053323D" w:rsidP="004D54B7">
      <w:pPr>
        <w:bidi w:val="0"/>
        <w:jc w:val="both"/>
        <w:rPr>
          <w:b/>
          <w:bCs/>
          <w:color w:val="0D0D0D"/>
          <w:sz w:val="16"/>
          <w:szCs w:val="16"/>
        </w:rPr>
      </w:pPr>
    </w:p>
    <w:p w14:paraId="72C189C7" w14:textId="3D618381" w:rsidR="00B8529C" w:rsidRDefault="00B8529C" w:rsidP="00B8529C">
      <w:pPr>
        <w:bidi w:val="0"/>
        <w:jc w:val="both"/>
        <w:rPr>
          <w:b/>
          <w:bCs/>
          <w:color w:val="0D0D0D"/>
          <w:sz w:val="16"/>
          <w:szCs w:val="16"/>
        </w:rPr>
      </w:pPr>
    </w:p>
    <w:p w14:paraId="60FEAEEC" w14:textId="5D51B916" w:rsidR="00B8529C" w:rsidRDefault="00B8529C" w:rsidP="00B8529C">
      <w:pPr>
        <w:bidi w:val="0"/>
        <w:jc w:val="both"/>
        <w:rPr>
          <w:b/>
          <w:bCs/>
          <w:color w:val="0D0D0D"/>
          <w:sz w:val="16"/>
          <w:szCs w:val="16"/>
        </w:rPr>
      </w:pPr>
    </w:p>
    <w:p w14:paraId="233667DF" w14:textId="77777777" w:rsidR="00B8529C" w:rsidRPr="00B8529C" w:rsidRDefault="00B8529C" w:rsidP="00B8529C">
      <w:pPr>
        <w:bidi w:val="0"/>
        <w:jc w:val="both"/>
        <w:rPr>
          <w:b/>
          <w:bCs/>
          <w:color w:val="0D0D0D"/>
          <w:sz w:val="16"/>
          <w:szCs w:val="16"/>
          <w:rtl/>
        </w:rPr>
      </w:pPr>
    </w:p>
    <w:p w14:paraId="3B2D8EBA" w14:textId="012B96F6" w:rsidR="00BD6FB4" w:rsidRPr="00B8529C" w:rsidRDefault="00BD6FB4" w:rsidP="0053323D">
      <w:pPr>
        <w:bidi w:val="0"/>
        <w:jc w:val="both"/>
        <w:rPr>
          <w:b/>
          <w:bCs/>
          <w:color w:val="0D0D0D"/>
        </w:rPr>
      </w:pPr>
      <w:r w:rsidRPr="00B8529C">
        <w:rPr>
          <w:b/>
          <w:bCs/>
          <w:color w:val="0D0D0D"/>
        </w:rPr>
        <w:t>Sources:</w:t>
      </w:r>
    </w:p>
    <w:p w14:paraId="5DC9449E" w14:textId="5BBA0E4B" w:rsidR="00655AD7" w:rsidRPr="00B8529C" w:rsidRDefault="00655AD7" w:rsidP="001C6527">
      <w:pPr>
        <w:pStyle w:val="ListParagraph"/>
        <w:numPr>
          <w:ilvl w:val="0"/>
          <w:numId w:val="3"/>
        </w:numPr>
        <w:bidi w:val="0"/>
        <w:ind w:left="284" w:hanging="284"/>
        <w:jc w:val="both"/>
      </w:pPr>
      <w:r w:rsidRPr="00B8529C">
        <w:t xml:space="preserve">Palestinian Central Bureau of Statistics </w:t>
      </w:r>
      <w:r w:rsidR="001C6527" w:rsidRPr="00B8529C">
        <w:t>2021</w:t>
      </w:r>
      <w:r w:rsidRPr="00B8529C">
        <w:t xml:space="preserve">: Israeli Settlements in the West Bank, </w:t>
      </w:r>
      <w:r w:rsidR="001C6527" w:rsidRPr="00B8529C">
        <w:t>2020</w:t>
      </w:r>
      <w:r w:rsidRPr="00B8529C">
        <w:t>. Ramallah</w:t>
      </w:r>
      <w:r w:rsidR="00B02598" w:rsidRPr="00B8529C">
        <w:t xml:space="preserve"> </w:t>
      </w:r>
      <w:r w:rsidRPr="00B8529C">
        <w:t>- Palestine.</w:t>
      </w:r>
    </w:p>
    <w:p w14:paraId="0D5A5371" w14:textId="4D42D55A" w:rsidR="00655AD7" w:rsidRPr="00B8529C" w:rsidRDefault="00655AD7" w:rsidP="006E4836">
      <w:pPr>
        <w:pStyle w:val="ListParagraph"/>
        <w:numPr>
          <w:ilvl w:val="0"/>
          <w:numId w:val="3"/>
        </w:numPr>
        <w:bidi w:val="0"/>
        <w:ind w:left="284" w:hanging="284"/>
        <w:jc w:val="both"/>
      </w:pPr>
      <w:r w:rsidRPr="00B8529C">
        <w:t>Colonization and Wall</w:t>
      </w:r>
      <w:r w:rsidR="00B02598" w:rsidRPr="00B8529C">
        <w:t xml:space="preserve"> </w:t>
      </w:r>
      <w:r w:rsidRPr="00B8529C">
        <w:t xml:space="preserve">Resistance Commission </w:t>
      </w:r>
      <w:r w:rsidR="006E4836" w:rsidRPr="00B8529C">
        <w:t>2022</w:t>
      </w:r>
      <w:r w:rsidRPr="00B8529C">
        <w:t>: Summary of the most Important Violations in Palestine</w:t>
      </w:r>
      <w:r w:rsidR="001C6527" w:rsidRPr="00B8529C">
        <w:t xml:space="preserve"> (Unpublished data)</w:t>
      </w:r>
      <w:r w:rsidRPr="00B8529C">
        <w:t xml:space="preserve">, </w:t>
      </w:r>
      <w:r w:rsidR="006E4836" w:rsidRPr="00B8529C">
        <w:t>2021</w:t>
      </w:r>
      <w:r w:rsidRPr="00B8529C">
        <w:t>. Ramallah</w:t>
      </w:r>
      <w:r w:rsidR="00B02598" w:rsidRPr="00B8529C">
        <w:t xml:space="preserve"> </w:t>
      </w:r>
      <w:r w:rsidRPr="00B8529C">
        <w:t>- Palestine.</w:t>
      </w:r>
    </w:p>
    <w:p w14:paraId="61ADA46C" w14:textId="343B8EA0" w:rsidR="00B05BCC" w:rsidRPr="00B8529C" w:rsidRDefault="00655AD7" w:rsidP="00B8529C">
      <w:pPr>
        <w:pStyle w:val="ListParagraph"/>
        <w:numPr>
          <w:ilvl w:val="0"/>
          <w:numId w:val="3"/>
        </w:numPr>
        <w:bidi w:val="0"/>
        <w:ind w:left="284" w:hanging="284"/>
        <w:jc w:val="both"/>
      </w:pPr>
      <w:r w:rsidRPr="00B8529C">
        <w:t xml:space="preserve">Abdullah </w:t>
      </w:r>
      <w:proofErr w:type="spellStart"/>
      <w:r w:rsidRPr="00B8529C">
        <w:t>Hourani</w:t>
      </w:r>
      <w:proofErr w:type="spellEnd"/>
      <w:r w:rsidRPr="00B8529C">
        <w:t xml:space="preserve"> Center for Studies and Documentation, the Harvest of the Israeli Violations for the year </w:t>
      </w:r>
      <w:r w:rsidR="00B318F8" w:rsidRPr="00B8529C">
        <w:t>2021</w:t>
      </w:r>
      <w:r w:rsidRPr="00B8529C">
        <w:t xml:space="preserve">. Ramallah </w:t>
      </w:r>
      <w:r w:rsidR="00B318F8" w:rsidRPr="00B8529C">
        <w:t>2022</w:t>
      </w:r>
      <w:r w:rsidRPr="00B8529C">
        <w:t>.</w:t>
      </w:r>
    </w:p>
    <w:sectPr w:rsidR="00B05BCC" w:rsidRPr="00B8529C" w:rsidSect="00B8529C">
      <w:footerReference w:type="default" r:id="rId10"/>
      <w:type w:val="continuous"/>
      <w:pgSz w:w="11906" w:h="16838"/>
      <w:pgMar w:top="720" w:right="720" w:bottom="720" w:left="720" w:header="284" w:footer="127" w:gutter="0"/>
      <w:cols w:space="894"/>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276E2" w14:textId="77777777" w:rsidR="00EE4052" w:rsidRDefault="00EE4052" w:rsidP="00BF7D80">
      <w:r>
        <w:separator/>
      </w:r>
    </w:p>
  </w:endnote>
  <w:endnote w:type="continuationSeparator" w:id="0">
    <w:p w14:paraId="68942F51" w14:textId="77777777" w:rsidR="00EE4052" w:rsidRDefault="00EE4052"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91CB0" w14:textId="52C1B721" w:rsidR="00C510CB" w:rsidRDefault="00543B83">
    <w:pPr>
      <w:pStyle w:val="Footer"/>
      <w:jc w:val="center"/>
    </w:pPr>
    <w:r>
      <w:fldChar w:fldCharType="begin"/>
    </w:r>
    <w:r>
      <w:instrText xml:space="preserve"> PAGE   \* MERGEFORMAT </w:instrText>
    </w:r>
    <w:r>
      <w:fldChar w:fldCharType="separate"/>
    </w:r>
    <w:r w:rsidR="00F76E64">
      <w:rPr>
        <w:noProof/>
        <w:rtl/>
      </w:rPr>
      <w:t>3</w:t>
    </w:r>
    <w:r>
      <w:rPr>
        <w:noProof/>
      </w:rPr>
      <w:fldChar w:fldCharType="end"/>
    </w:r>
  </w:p>
  <w:p w14:paraId="69EE4C60"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ACE71" w14:textId="77777777" w:rsidR="00EE4052" w:rsidRDefault="00EE4052" w:rsidP="00BF7D80">
      <w:r>
        <w:separator/>
      </w:r>
    </w:p>
  </w:footnote>
  <w:footnote w:type="continuationSeparator" w:id="0">
    <w:p w14:paraId="7BC0F7C3" w14:textId="77777777" w:rsidR="00EE4052" w:rsidRDefault="00EE4052" w:rsidP="00BF7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3CE5"/>
    <w:rsid w:val="00025EDE"/>
    <w:rsid w:val="0003429B"/>
    <w:rsid w:val="0004045F"/>
    <w:rsid w:val="00040767"/>
    <w:rsid w:val="00042C5C"/>
    <w:rsid w:val="0004721D"/>
    <w:rsid w:val="00050943"/>
    <w:rsid w:val="000604FE"/>
    <w:rsid w:val="00061DCF"/>
    <w:rsid w:val="0006529E"/>
    <w:rsid w:val="00065B2B"/>
    <w:rsid w:val="00066734"/>
    <w:rsid w:val="00067608"/>
    <w:rsid w:val="0007121B"/>
    <w:rsid w:val="00074A7C"/>
    <w:rsid w:val="00080239"/>
    <w:rsid w:val="00080DA1"/>
    <w:rsid w:val="0008499F"/>
    <w:rsid w:val="00084A8B"/>
    <w:rsid w:val="00092E93"/>
    <w:rsid w:val="00095CF3"/>
    <w:rsid w:val="000A1D8E"/>
    <w:rsid w:val="000A2AEA"/>
    <w:rsid w:val="000A3520"/>
    <w:rsid w:val="000B02B7"/>
    <w:rsid w:val="000B07F3"/>
    <w:rsid w:val="000B2F32"/>
    <w:rsid w:val="000B5CB9"/>
    <w:rsid w:val="000C4FA9"/>
    <w:rsid w:val="000C614F"/>
    <w:rsid w:val="000D0D60"/>
    <w:rsid w:val="000D4B78"/>
    <w:rsid w:val="000D54F1"/>
    <w:rsid w:val="000D5F27"/>
    <w:rsid w:val="000D7175"/>
    <w:rsid w:val="000E4A55"/>
    <w:rsid w:val="000E583A"/>
    <w:rsid w:val="000F22D9"/>
    <w:rsid w:val="000F31BA"/>
    <w:rsid w:val="000F64D3"/>
    <w:rsid w:val="0010550B"/>
    <w:rsid w:val="00115EDB"/>
    <w:rsid w:val="001201D7"/>
    <w:rsid w:val="001219BB"/>
    <w:rsid w:val="00121F4D"/>
    <w:rsid w:val="00127695"/>
    <w:rsid w:val="00127820"/>
    <w:rsid w:val="00127CB7"/>
    <w:rsid w:val="00133EA8"/>
    <w:rsid w:val="00134330"/>
    <w:rsid w:val="00137B50"/>
    <w:rsid w:val="00154CBD"/>
    <w:rsid w:val="001572D8"/>
    <w:rsid w:val="00165047"/>
    <w:rsid w:val="001728F9"/>
    <w:rsid w:val="00173F41"/>
    <w:rsid w:val="00173FA7"/>
    <w:rsid w:val="00173FBD"/>
    <w:rsid w:val="0017412F"/>
    <w:rsid w:val="00176FF2"/>
    <w:rsid w:val="00177003"/>
    <w:rsid w:val="001770DB"/>
    <w:rsid w:val="0018566C"/>
    <w:rsid w:val="001974D4"/>
    <w:rsid w:val="001A0DAB"/>
    <w:rsid w:val="001A4F6B"/>
    <w:rsid w:val="001A604D"/>
    <w:rsid w:val="001A6CE3"/>
    <w:rsid w:val="001B2C55"/>
    <w:rsid w:val="001B2CD1"/>
    <w:rsid w:val="001C28DE"/>
    <w:rsid w:val="001C2B30"/>
    <w:rsid w:val="001C3BA6"/>
    <w:rsid w:val="001C6527"/>
    <w:rsid w:val="001D26F1"/>
    <w:rsid w:val="001D3FFB"/>
    <w:rsid w:val="001D429C"/>
    <w:rsid w:val="001D5484"/>
    <w:rsid w:val="001E11B5"/>
    <w:rsid w:val="001E193A"/>
    <w:rsid w:val="001E7548"/>
    <w:rsid w:val="001F54E5"/>
    <w:rsid w:val="001F6EDC"/>
    <w:rsid w:val="001F7F56"/>
    <w:rsid w:val="00202ACA"/>
    <w:rsid w:val="0021032D"/>
    <w:rsid w:val="0021372D"/>
    <w:rsid w:val="002172DD"/>
    <w:rsid w:val="0022170A"/>
    <w:rsid w:val="0023501B"/>
    <w:rsid w:val="00237969"/>
    <w:rsid w:val="00237EFC"/>
    <w:rsid w:val="0024095B"/>
    <w:rsid w:val="00240FFF"/>
    <w:rsid w:val="00243373"/>
    <w:rsid w:val="00243B12"/>
    <w:rsid w:val="00244B76"/>
    <w:rsid w:val="00245A0A"/>
    <w:rsid w:val="00247928"/>
    <w:rsid w:val="00251B52"/>
    <w:rsid w:val="00256B0C"/>
    <w:rsid w:val="00261568"/>
    <w:rsid w:val="0026698E"/>
    <w:rsid w:val="00272C33"/>
    <w:rsid w:val="002804D4"/>
    <w:rsid w:val="002850F0"/>
    <w:rsid w:val="002A1565"/>
    <w:rsid w:val="002A404F"/>
    <w:rsid w:val="002A67FD"/>
    <w:rsid w:val="002A797B"/>
    <w:rsid w:val="002B2D6F"/>
    <w:rsid w:val="002B4ACA"/>
    <w:rsid w:val="002B74D4"/>
    <w:rsid w:val="002C09DD"/>
    <w:rsid w:val="002C0A52"/>
    <w:rsid w:val="002C1048"/>
    <w:rsid w:val="002C4C1D"/>
    <w:rsid w:val="002C62B0"/>
    <w:rsid w:val="002C7AA8"/>
    <w:rsid w:val="002D2C4F"/>
    <w:rsid w:val="002D4067"/>
    <w:rsid w:val="002D47F4"/>
    <w:rsid w:val="002D63EC"/>
    <w:rsid w:val="002D74E6"/>
    <w:rsid w:val="002E04DB"/>
    <w:rsid w:val="002E058A"/>
    <w:rsid w:val="002E0595"/>
    <w:rsid w:val="002E1CDC"/>
    <w:rsid w:val="002E553F"/>
    <w:rsid w:val="002F4368"/>
    <w:rsid w:val="002F6F53"/>
    <w:rsid w:val="00302C69"/>
    <w:rsid w:val="003051AA"/>
    <w:rsid w:val="003062EB"/>
    <w:rsid w:val="003111B4"/>
    <w:rsid w:val="00314254"/>
    <w:rsid w:val="00314400"/>
    <w:rsid w:val="00322770"/>
    <w:rsid w:val="00322863"/>
    <w:rsid w:val="00322C0D"/>
    <w:rsid w:val="003232FC"/>
    <w:rsid w:val="00323302"/>
    <w:rsid w:val="0032558A"/>
    <w:rsid w:val="00325D27"/>
    <w:rsid w:val="003309F3"/>
    <w:rsid w:val="00330F9F"/>
    <w:rsid w:val="003339D1"/>
    <w:rsid w:val="00337A5F"/>
    <w:rsid w:val="00343CBE"/>
    <w:rsid w:val="00345143"/>
    <w:rsid w:val="00350960"/>
    <w:rsid w:val="00353C9C"/>
    <w:rsid w:val="0036599F"/>
    <w:rsid w:val="00367E89"/>
    <w:rsid w:val="00374B0D"/>
    <w:rsid w:val="003758A1"/>
    <w:rsid w:val="003773FF"/>
    <w:rsid w:val="00383270"/>
    <w:rsid w:val="00387111"/>
    <w:rsid w:val="00387C47"/>
    <w:rsid w:val="00391B0D"/>
    <w:rsid w:val="00392EE4"/>
    <w:rsid w:val="003A18DF"/>
    <w:rsid w:val="003A340D"/>
    <w:rsid w:val="003A3C71"/>
    <w:rsid w:val="003A6315"/>
    <w:rsid w:val="003B2AE5"/>
    <w:rsid w:val="003B372F"/>
    <w:rsid w:val="003B4D27"/>
    <w:rsid w:val="003B7C58"/>
    <w:rsid w:val="003C18EE"/>
    <w:rsid w:val="003C38E1"/>
    <w:rsid w:val="003C594C"/>
    <w:rsid w:val="003D1E65"/>
    <w:rsid w:val="003E0681"/>
    <w:rsid w:val="003E0BF9"/>
    <w:rsid w:val="003E2801"/>
    <w:rsid w:val="003E546D"/>
    <w:rsid w:val="003E67A2"/>
    <w:rsid w:val="003F0AA1"/>
    <w:rsid w:val="003F42C1"/>
    <w:rsid w:val="003F5363"/>
    <w:rsid w:val="003F5B8F"/>
    <w:rsid w:val="00401367"/>
    <w:rsid w:val="00403235"/>
    <w:rsid w:val="00403443"/>
    <w:rsid w:val="00403D92"/>
    <w:rsid w:val="004064C6"/>
    <w:rsid w:val="0041058C"/>
    <w:rsid w:val="00415E64"/>
    <w:rsid w:val="004231AF"/>
    <w:rsid w:val="0042351C"/>
    <w:rsid w:val="00426C79"/>
    <w:rsid w:val="00430C33"/>
    <w:rsid w:val="00437935"/>
    <w:rsid w:val="00437DEC"/>
    <w:rsid w:val="004413C8"/>
    <w:rsid w:val="00443400"/>
    <w:rsid w:val="00443835"/>
    <w:rsid w:val="00444F86"/>
    <w:rsid w:val="00445069"/>
    <w:rsid w:val="0044676E"/>
    <w:rsid w:val="004512DF"/>
    <w:rsid w:val="004562BE"/>
    <w:rsid w:val="00460FC7"/>
    <w:rsid w:val="00462677"/>
    <w:rsid w:val="004626B4"/>
    <w:rsid w:val="00470A15"/>
    <w:rsid w:val="00471282"/>
    <w:rsid w:val="004763BC"/>
    <w:rsid w:val="00484F1B"/>
    <w:rsid w:val="0048524F"/>
    <w:rsid w:val="00486059"/>
    <w:rsid w:val="00493B33"/>
    <w:rsid w:val="004A1A13"/>
    <w:rsid w:val="004A33CE"/>
    <w:rsid w:val="004B04E8"/>
    <w:rsid w:val="004B07B4"/>
    <w:rsid w:val="004B0E73"/>
    <w:rsid w:val="004B4BE3"/>
    <w:rsid w:val="004C065D"/>
    <w:rsid w:val="004C15B3"/>
    <w:rsid w:val="004C1BE7"/>
    <w:rsid w:val="004C1C80"/>
    <w:rsid w:val="004D2BD5"/>
    <w:rsid w:val="004D38FD"/>
    <w:rsid w:val="004D3C25"/>
    <w:rsid w:val="004D54B7"/>
    <w:rsid w:val="004D703B"/>
    <w:rsid w:val="004E0B5D"/>
    <w:rsid w:val="004E16DF"/>
    <w:rsid w:val="004E19BE"/>
    <w:rsid w:val="004E2E76"/>
    <w:rsid w:val="004E6841"/>
    <w:rsid w:val="004F4341"/>
    <w:rsid w:val="004F6F94"/>
    <w:rsid w:val="00500C76"/>
    <w:rsid w:val="005017DB"/>
    <w:rsid w:val="00501901"/>
    <w:rsid w:val="0051286A"/>
    <w:rsid w:val="00514164"/>
    <w:rsid w:val="005153B7"/>
    <w:rsid w:val="005218CF"/>
    <w:rsid w:val="00522A92"/>
    <w:rsid w:val="005247C2"/>
    <w:rsid w:val="00530CAC"/>
    <w:rsid w:val="005324F6"/>
    <w:rsid w:val="0053323D"/>
    <w:rsid w:val="00533375"/>
    <w:rsid w:val="00543B83"/>
    <w:rsid w:val="00547529"/>
    <w:rsid w:val="00547806"/>
    <w:rsid w:val="00552E0A"/>
    <w:rsid w:val="00554AE0"/>
    <w:rsid w:val="00555E41"/>
    <w:rsid w:val="00556EB6"/>
    <w:rsid w:val="005624A9"/>
    <w:rsid w:val="00562C02"/>
    <w:rsid w:val="00565896"/>
    <w:rsid w:val="00566C50"/>
    <w:rsid w:val="00573D98"/>
    <w:rsid w:val="005749E7"/>
    <w:rsid w:val="0058181E"/>
    <w:rsid w:val="0059680C"/>
    <w:rsid w:val="005A2DD6"/>
    <w:rsid w:val="005A308A"/>
    <w:rsid w:val="005A3395"/>
    <w:rsid w:val="005B4865"/>
    <w:rsid w:val="005B5E74"/>
    <w:rsid w:val="005C07A5"/>
    <w:rsid w:val="005C0984"/>
    <w:rsid w:val="005C486C"/>
    <w:rsid w:val="005C5173"/>
    <w:rsid w:val="005D0405"/>
    <w:rsid w:val="005D7838"/>
    <w:rsid w:val="005E1DBE"/>
    <w:rsid w:val="005F18D8"/>
    <w:rsid w:val="005F6F32"/>
    <w:rsid w:val="005F7429"/>
    <w:rsid w:val="00603A90"/>
    <w:rsid w:val="006050D5"/>
    <w:rsid w:val="00613607"/>
    <w:rsid w:val="00613DA3"/>
    <w:rsid w:val="00617543"/>
    <w:rsid w:val="00620A94"/>
    <w:rsid w:val="00623BB2"/>
    <w:rsid w:val="00627CD6"/>
    <w:rsid w:val="0063104A"/>
    <w:rsid w:val="00633347"/>
    <w:rsid w:val="00634285"/>
    <w:rsid w:val="006345D2"/>
    <w:rsid w:val="00634E4B"/>
    <w:rsid w:val="00637C2F"/>
    <w:rsid w:val="00642A57"/>
    <w:rsid w:val="00644821"/>
    <w:rsid w:val="006458FC"/>
    <w:rsid w:val="006461C9"/>
    <w:rsid w:val="00651A66"/>
    <w:rsid w:val="00652600"/>
    <w:rsid w:val="00655AD7"/>
    <w:rsid w:val="00657380"/>
    <w:rsid w:val="0066306A"/>
    <w:rsid w:val="006759DF"/>
    <w:rsid w:val="00680F55"/>
    <w:rsid w:val="0068147D"/>
    <w:rsid w:val="006827DE"/>
    <w:rsid w:val="00685BD0"/>
    <w:rsid w:val="00691F01"/>
    <w:rsid w:val="006926B0"/>
    <w:rsid w:val="006962F1"/>
    <w:rsid w:val="006967DA"/>
    <w:rsid w:val="006972C9"/>
    <w:rsid w:val="00697F84"/>
    <w:rsid w:val="006A09A2"/>
    <w:rsid w:val="006A0D47"/>
    <w:rsid w:val="006A3208"/>
    <w:rsid w:val="006A7AC5"/>
    <w:rsid w:val="006B0F87"/>
    <w:rsid w:val="006B1749"/>
    <w:rsid w:val="006B4B1D"/>
    <w:rsid w:val="006C585D"/>
    <w:rsid w:val="006C7DBE"/>
    <w:rsid w:val="006D307B"/>
    <w:rsid w:val="006D364E"/>
    <w:rsid w:val="006D3841"/>
    <w:rsid w:val="006D4037"/>
    <w:rsid w:val="006D5AB3"/>
    <w:rsid w:val="006D5CBD"/>
    <w:rsid w:val="006D607D"/>
    <w:rsid w:val="006D6F41"/>
    <w:rsid w:val="006D7EEA"/>
    <w:rsid w:val="006E4836"/>
    <w:rsid w:val="006F1277"/>
    <w:rsid w:val="006F3ACE"/>
    <w:rsid w:val="006F49D8"/>
    <w:rsid w:val="006F4CDB"/>
    <w:rsid w:val="007057C4"/>
    <w:rsid w:val="00713444"/>
    <w:rsid w:val="00715189"/>
    <w:rsid w:val="00715447"/>
    <w:rsid w:val="00715779"/>
    <w:rsid w:val="007165E7"/>
    <w:rsid w:val="00722EBC"/>
    <w:rsid w:val="00743E43"/>
    <w:rsid w:val="0074477D"/>
    <w:rsid w:val="00755D2E"/>
    <w:rsid w:val="007567C0"/>
    <w:rsid w:val="00765AA1"/>
    <w:rsid w:val="0076631F"/>
    <w:rsid w:val="00771038"/>
    <w:rsid w:val="007715F9"/>
    <w:rsid w:val="00775B10"/>
    <w:rsid w:val="00783787"/>
    <w:rsid w:val="00784870"/>
    <w:rsid w:val="007903F9"/>
    <w:rsid w:val="00792BDF"/>
    <w:rsid w:val="00797B9A"/>
    <w:rsid w:val="007A0EA3"/>
    <w:rsid w:val="007A1E6B"/>
    <w:rsid w:val="007A2CDE"/>
    <w:rsid w:val="007A53B3"/>
    <w:rsid w:val="007B0DF4"/>
    <w:rsid w:val="007B68C8"/>
    <w:rsid w:val="007B73DD"/>
    <w:rsid w:val="007C0125"/>
    <w:rsid w:val="007C0D3E"/>
    <w:rsid w:val="007D57C8"/>
    <w:rsid w:val="007D5B30"/>
    <w:rsid w:val="007D6083"/>
    <w:rsid w:val="007E0782"/>
    <w:rsid w:val="007E2610"/>
    <w:rsid w:val="007F4B7B"/>
    <w:rsid w:val="007F65C7"/>
    <w:rsid w:val="00821992"/>
    <w:rsid w:val="00827DC9"/>
    <w:rsid w:val="00830CA0"/>
    <w:rsid w:val="00833354"/>
    <w:rsid w:val="00835491"/>
    <w:rsid w:val="0084122E"/>
    <w:rsid w:val="00845F59"/>
    <w:rsid w:val="00847F60"/>
    <w:rsid w:val="0085112C"/>
    <w:rsid w:val="00852BBC"/>
    <w:rsid w:val="008637C5"/>
    <w:rsid w:val="00865E8D"/>
    <w:rsid w:val="00873738"/>
    <w:rsid w:val="00873EBF"/>
    <w:rsid w:val="00882F61"/>
    <w:rsid w:val="00891782"/>
    <w:rsid w:val="008927D3"/>
    <w:rsid w:val="008A1C6C"/>
    <w:rsid w:val="008A269F"/>
    <w:rsid w:val="008A2733"/>
    <w:rsid w:val="008A6FB7"/>
    <w:rsid w:val="008B10FC"/>
    <w:rsid w:val="008B2166"/>
    <w:rsid w:val="008B4FE0"/>
    <w:rsid w:val="008B5569"/>
    <w:rsid w:val="008C123B"/>
    <w:rsid w:val="008C352E"/>
    <w:rsid w:val="008D189D"/>
    <w:rsid w:val="008D4892"/>
    <w:rsid w:val="008D60AC"/>
    <w:rsid w:val="008E3AB7"/>
    <w:rsid w:val="008E5233"/>
    <w:rsid w:val="008E639F"/>
    <w:rsid w:val="008E7BAE"/>
    <w:rsid w:val="008F021C"/>
    <w:rsid w:val="008F44EB"/>
    <w:rsid w:val="009046AB"/>
    <w:rsid w:val="00905EB5"/>
    <w:rsid w:val="00906FEC"/>
    <w:rsid w:val="00911A0E"/>
    <w:rsid w:val="00915A78"/>
    <w:rsid w:val="0092012D"/>
    <w:rsid w:val="00920E5C"/>
    <w:rsid w:val="00921A79"/>
    <w:rsid w:val="00924163"/>
    <w:rsid w:val="00930E74"/>
    <w:rsid w:val="00933872"/>
    <w:rsid w:val="00935F73"/>
    <w:rsid w:val="0094629E"/>
    <w:rsid w:val="00947118"/>
    <w:rsid w:val="00947CF9"/>
    <w:rsid w:val="00953C7E"/>
    <w:rsid w:val="0095420E"/>
    <w:rsid w:val="0095442E"/>
    <w:rsid w:val="00960382"/>
    <w:rsid w:val="00962F07"/>
    <w:rsid w:val="009641AC"/>
    <w:rsid w:val="009642F9"/>
    <w:rsid w:val="00970B81"/>
    <w:rsid w:val="009720A6"/>
    <w:rsid w:val="009753DD"/>
    <w:rsid w:val="00975533"/>
    <w:rsid w:val="00981A5B"/>
    <w:rsid w:val="00986C77"/>
    <w:rsid w:val="00990F86"/>
    <w:rsid w:val="0099464B"/>
    <w:rsid w:val="009965ED"/>
    <w:rsid w:val="009A1AFE"/>
    <w:rsid w:val="009A2448"/>
    <w:rsid w:val="009A3FE7"/>
    <w:rsid w:val="009A517E"/>
    <w:rsid w:val="009B4CD9"/>
    <w:rsid w:val="009B6550"/>
    <w:rsid w:val="009B729D"/>
    <w:rsid w:val="009C30E7"/>
    <w:rsid w:val="009C35F5"/>
    <w:rsid w:val="009C7B05"/>
    <w:rsid w:val="009D3A6F"/>
    <w:rsid w:val="009D4FCF"/>
    <w:rsid w:val="009E283B"/>
    <w:rsid w:val="009E335D"/>
    <w:rsid w:val="009E3871"/>
    <w:rsid w:val="009F011F"/>
    <w:rsid w:val="009F2ED9"/>
    <w:rsid w:val="009F7B9D"/>
    <w:rsid w:val="00A04047"/>
    <w:rsid w:val="00A0473D"/>
    <w:rsid w:val="00A063F4"/>
    <w:rsid w:val="00A075FF"/>
    <w:rsid w:val="00A1292D"/>
    <w:rsid w:val="00A1453C"/>
    <w:rsid w:val="00A14BEE"/>
    <w:rsid w:val="00A2015B"/>
    <w:rsid w:val="00A21E0C"/>
    <w:rsid w:val="00A26202"/>
    <w:rsid w:val="00A3474D"/>
    <w:rsid w:val="00A34DBC"/>
    <w:rsid w:val="00A40F63"/>
    <w:rsid w:val="00A436DF"/>
    <w:rsid w:val="00A450A8"/>
    <w:rsid w:val="00A52958"/>
    <w:rsid w:val="00A624E3"/>
    <w:rsid w:val="00A676C7"/>
    <w:rsid w:val="00A70008"/>
    <w:rsid w:val="00A72BB8"/>
    <w:rsid w:val="00A744D2"/>
    <w:rsid w:val="00A751B5"/>
    <w:rsid w:val="00A82A85"/>
    <w:rsid w:val="00A84403"/>
    <w:rsid w:val="00A90F58"/>
    <w:rsid w:val="00A92E3F"/>
    <w:rsid w:val="00A92EFE"/>
    <w:rsid w:val="00AA4324"/>
    <w:rsid w:val="00AA4F16"/>
    <w:rsid w:val="00AA651D"/>
    <w:rsid w:val="00AB496E"/>
    <w:rsid w:val="00AB72F2"/>
    <w:rsid w:val="00AC1353"/>
    <w:rsid w:val="00AC21FC"/>
    <w:rsid w:val="00AC3B6D"/>
    <w:rsid w:val="00AD7F35"/>
    <w:rsid w:val="00AE1973"/>
    <w:rsid w:val="00AF00A0"/>
    <w:rsid w:val="00AF2BDD"/>
    <w:rsid w:val="00AF7760"/>
    <w:rsid w:val="00B0037C"/>
    <w:rsid w:val="00B00432"/>
    <w:rsid w:val="00B00CCE"/>
    <w:rsid w:val="00B01A81"/>
    <w:rsid w:val="00B02598"/>
    <w:rsid w:val="00B04DC2"/>
    <w:rsid w:val="00B05BCC"/>
    <w:rsid w:val="00B0626F"/>
    <w:rsid w:val="00B125C8"/>
    <w:rsid w:val="00B1396B"/>
    <w:rsid w:val="00B239DE"/>
    <w:rsid w:val="00B25CD2"/>
    <w:rsid w:val="00B26D6A"/>
    <w:rsid w:val="00B3166E"/>
    <w:rsid w:val="00B318F8"/>
    <w:rsid w:val="00B32096"/>
    <w:rsid w:val="00B37200"/>
    <w:rsid w:val="00B40187"/>
    <w:rsid w:val="00B5078B"/>
    <w:rsid w:val="00B5121F"/>
    <w:rsid w:val="00B55A32"/>
    <w:rsid w:val="00B55EB5"/>
    <w:rsid w:val="00B650A5"/>
    <w:rsid w:val="00B66AF7"/>
    <w:rsid w:val="00B66CC7"/>
    <w:rsid w:val="00B703CB"/>
    <w:rsid w:val="00B70547"/>
    <w:rsid w:val="00B7410C"/>
    <w:rsid w:val="00B752C3"/>
    <w:rsid w:val="00B76B9D"/>
    <w:rsid w:val="00B7721C"/>
    <w:rsid w:val="00B77566"/>
    <w:rsid w:val="00B775C4"/>
    <w:rsid w:val="00B840BB"/>
    <w:rsid w:val="00B8529C"/>
    <w:rsid w:val="00B871EE"/>
    <w:rsid w:val="00B92BCC"/>
    <w:rsid w:val="00B95BC4"/>
    <w:rsid w:val="00B973DC"/>
    <w:rsid w:val="00BA02D4"/>
    <w:rsid w:val="00BA182B"/>
    <w:rsid w:val="00BA25FF"/>
    <w:rsid w:val="00BA721B"/>
    <w:rsid w:val="00BB0DBB"/>
    <w:rsid w:val="00BB5BB1"/>
    <w:rsid w:val="00BC0FD4"/>
    <w:rsid w:val="00BC428F"/>
    <w:rsid w:val="00BC701E"/>
    <w:rsid w:val="00BD0247"/>
    <w:rsid w:val="00BD2C9F"/>
    <w:rsid w:val="00BD56D1"/>
    <w:rsid w:val="00BD6FB4"/>
    <w:rsid w:val="00BD7A55"/>
    <w:rsid w:val="00BE4479"/>
    <w:rsid w:val="00BE450D"/>
    <w:rsid w:val="00BF269C"/>
    <w:rsid w:val="00BF41D0"/>
    <w:rsid w:val="00BF7D80"/>
    <w:rsid w:val="00C03CD6"/>
    <w:rsid w:val="00C04967"/>
    <w:rsid w:val="00C04C54"/>
    <w:rsid w:val="00C051FF"/>
    <w:rsid w:val="00C0553E"/>
    <w:rsid w:val="00C077B9"/>
    <w:rsid w:val="00C079F3"/>
    <w:rsid w:val="00C12398"/>
    <w:rsid w:val="00C24D41"/>
    <w:rsid w:val="00C304F7"/>
    <w:rsid w:val="00C3521F"/>
    <w:rsid w:val="00C35F90"/>
    <w:rsid w:val="00C36FB3"/>
    <w:rsid w:val="00C40747"/>
    <w:rsid w:val="00C42551"/>
    <w:rsid w:val="00C446EF"/>
    <w:rsid w:val="00C510CB"/>
    <w:rsid w:val="00C52E59"/>
    <w:rsid w:val="00C63223"/>
    <w:rsid w:val="00C67201"/>
    <w:rsid w:val="00C67CA6"/>
    <w:rsid w:val="00C71B30"/>
    <w:rsid w:val="00C72C58"/>
    <w:rsid w:val="00C74290"/>
    <w:rsid w:val="00C82DDA"/>
    <w:rsid w:val="00C83601"/>
    <w:rsid w:val="00C850A7"/>
    <w:rsid w:val="00C87412"/>
    <w:rsid w:val="00C934EB"/>
    <w:rsid w:val="00C93D87"/>
    <w:rsid w:val="00C95C4B"/>
    <w:rsid w:val="00C97F6A"/>
    <w:rsid w:val="00CA7B00"/>
    <w:rsid w:val="00CA7CA6"/>
    <w:rsid w:val="00CB6C2A"/>
    <w:rsid w:val="00CB6F0A"/>
    <w:rsid w:val="00CB762E"/>
    <w:rsid w:val="00CC323B"/>
    <w:rsid w:val="00CC438F"/>
    <w:rsid w:val="00CC5BFB"/>
    <w:rsid w:val="00CD49E7"/>
    <w:rsid w:val="00CD6396"/>
    <w:rsid w:val="00CE1960"/>
    <w:rsid w:val="00CE1D09"/>
    <w:rsid w:val="00CE3537"/>
    <w:rsid w:val="00CF1B43"/>
    <w:rsid w:val="00D0695E"/>
    <w:rsid w:val="00D11E92"/>
    <w:rsid w:val="00D13B51"/>
    <w:rsid w:val="00D150BF"/>
    <w:rsid w:val="00D16CA4"/>
    <w:rsid w:val="00D17597"/>
    <w:rsid w:val="00D259B0"/>
    <w:rsid w:val="00D3231B"/>
    <w:rsid w:val="00D377EC"/>
    <w:rsid w:val="00D47E4A"/>
    <w:rsid w:val="00D5036E"/>
    <w:rsid w:val="00D51923"/>
    <w:rsid w:val="00D55AC2"/>
    <w:rsid w:val="00D561BE"/>
    <w:rsid w:val="00D564BE"/>
    <w:rsid w:val="00D62D9B"/>
    <w:rsid w:val="00D701A7"/>
    <w:rsid w:val="00D70D25"/>
    <w:rsid w:val="00D83119"/>
    <w:rsid w:val="00D84DE1"/>
    <w:rsid w:val="00D94838"/>
    <w:rsid w:val="00D95FB1"/>
    <w:rsid w:val="00D97652"/>
    <w:rsid w:val="00DA1107"/>
    <w:rsid w:val="00DA53FC"/>
    <w:rsid w:val="00DA769E"/>
    <w:rsid w:val="00DA7777"/>
    <w:rsid w:val="00DB21A3"/>
    <w:rsid w:val="00DB2260"/>
    <w:rsid w:val="00DC602C"/>
    <w:rsid w:val="00DC6FBE"/>
    <w:rsid w:val="00DD13D5"/>
    <w:rsid w:val="00DD33BF"/>
    <w:rsid w:val="00DE27A9"/>
    <w:rsid w:val="00DE31B9"/>
    <w:rsid w:val="00DE466C"/>
    <w:rsid w:val="00DF765E"/>
    <w:rsid w:val="00E0062F"/>
    <w:rsid w:val="00E03EE8"/>
    <w:rsid w:val="00E11A5E"/>
    <w:rsid w:val="00E17916"/>
    <w:rsid w:val="00E20368"/>
    <w:rsid w:val="00E25F05"/>
    <w:rsid w:val="00E260FE"/>
    <w:rsid w:val="00E27E36"/>
    <w:rsid w:val="00E30122"/>
    <w:rsid w:val="00E371F4"/>
    <w:rsid w:val="00E37C60"/>
    <w:rsid w:val="00E45414"/>
    <w:rsid w:val="00E5106B"/>
    <w:rsid w:val="00E532A7"/>
    <w:rsid w:val="00E61E79"/>
    <w:rsid w:val="00E63626"/>
    <w:rsid w:val="00E656EB"/>
    <w:rsid w:val="00E672E7"/>
    <w:rsid w:val="00E675B7"/>
    <w:rsid w:val="00E70B93"/>
    <w:rsid w:val="00E76E4F"/>
    <w:rsid w:val="00E84CE2"/>
    <w:rsid w:val="00E86D56"/>
    <w:rsid w:val="00E86E6E"/>
    <w:rsid w:val="00E90F52"/>
    <w:rsid w:val="00E954C0"/>
    <w:rsid w:val="00E95620"/>
    <w:rsid w:val="00EA11F7"/>
    <w:rsid w:val="00EA1EAE"/>
    <w:rsid w:val="00EA29E1"/>
    <w:rsid w:val="00EA49D7"/>
    <w:rsid w:val="00EA5B1B"/>
    <w:rsid w:val="00EA7382"/>
    <w:rsid w:val="00EB3478"/>
    <w:rsid w:val="00EC0353"/>
    <w:rsid w:val="00EC0604"/>
    <w:rsid w:val="00EC083D"/>
    <w:rsid w:val="00EC169B"/>
    <w:rsid w:val="00EC5B4C"/>
    <w:rsid w:val="00EC63BD"/>
    <w:rsid w:val="00EC6817"/>
    <w:rsid w:val="00ED0B0A"/>
    <w:rsid w:val="00ED195D"/>
    <w:rsid w:val="00ED28EF"/>
    <w:rsid w:val="00ED4359"/>
    <w:rsid w:val="00ED7076"/>
    <w:rsid w:val="00EE15B8"/>
    <w:rsid w:val="00EE2587"/>
    <w:rsid w:val="00EE4052"/>
    <w:rsid w:val="00EF00E0"/>
    <w:rsid w:val="00EF149C"/>
    <w:rsid w:val="00EF168B"/>
    <w:rsid w:val="00EF1A9A"/>
    <w:rsid w:val="00EF373F"/>
    <w:rsid w:val="00EF5D2F"/>
    <w:rsid w:val="00F004BC"/>
    <w:rsid w:val="00F029AB"/>
    <w:rsid w:val="00F0377A"/>
    <w:rsid w:val="00F12ED4"/>
    <w:rsid w:val="00F141D2"/>
    <w:rsid w:val="00F150F2"/>
    <w:rsid w:val="00F24B58"/>
    <w:rsid w:val="00F269D9"/>
    <w:rsid w:val="00F42EC7"/>
    <w:rsid w:val="00F463FF"/>
    <w:rsid w:val="00F47A7D"/>
    <w:rsid w:val="00F51F87"/>
    <w:rsid w:val="00F61376"/>
    <w:rsid w:val="00F61D43"/>
    <w:rsid w:val="00F653F5"/>
    <w:rsid w:val="00F65E52"/>
    <w:rsid w:val="00F71E9F"/>
    <w:rsid w:val="00F74D20"/>
    <w:rsid w:val="00F75158"/>
    <w:rsid w:val="00F761AB"/>
    <w:rsid w:val="00F76E64"/>
    <w:rsid w:val="00F77D4B"/>
    <w:rsid w:val="00F83098"/>
    <w:rsid w:val="00F85047"/>
    <w:rsid w:val="00F87895"/>
    <w:rsid w:val="00F918D9"/>
    <w:rsid w:val="00F920D4"/>
    <w:rsid w:val="00FA2ECD"/>
    <w:rsid w:val="00FA3FF5"/>
    <w:rsid w:val="00FA6718"/>
    <w:rsid w:val="00FB1853"/>
    <w:rsid w:val="00FC11DE"/>
    <w:rsid w:val="00FC26FA"/>
    <w:rsid w:val="00FD0CE6"/>
    <w:rsid w:val="00FE1C12"/>
    <w:rsid w:val="00FE4D6D"/>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FE540"/>
  <w15:docId w15:val="{7971F4E8-2F27-48ED-BCE4-3163F1A1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semiHidden/>
    <w:unhideWhenUsed/>
    <w:rsid w:val="00A436DF"/>
    <w:rPr>
      <w:sz w:val="20"/>
      <w:szCs w:val="20"/>
    </w:rPr>
  </w:style>
  <w:style w:type="character" w:customStyle="1" w:styleId="FootnoteTextChar">
    <w:name w:val="Footnote Text Char"/>
    <w:basedOn w:val="DefaultParagraphFont"/>
    <w:link w:val="FootnoteText"/>
    <w:semiHidden/>
    <w:rsid w:val="00A436DF"/>
    <w:rPr>
      <w:lang w:eastAsia="ar-SA"/>
    </w:rPr>
  </w:style>
  <w:style w:type="character" w:styleId="FootnoteReference">
    <w:name w:val="footnote reference"/>
    <w:basedOn w:val="DefaultParagraphFont"/>
    <w:semiHidden/>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unhideWhenUsed/>
    <w:rsid w:val="00443400"/>
    <w:pPr>
      <w:spacing w:after="120"/>
    </w:pPr>
  </w:style>
  <w:style w:type="character" w:customStyle="1" w:styleId="BodyTextChar">
    <w:name w:val="Body Text Char"/>
    <w:basedOn w:val="DefaultParagraphFont"/>
    <w:link w:val="BodyText"/>
    <w:rsid w:val="00443400"/>
    <w:rPr>
      <w:sz w:val="24"/>
      <w:szCs w:val="24"/>
      <w:lang w:eastAsia="ar-SA"/>
    </w:rPr>
  </w:style>
  <w:style w:type="character" w:customStyle="1" w:styleId="jlqj4b">
    <w:name w:val="jlqj4b"/>
    <w:basedOn w:val="DefaultParagraphFont"/>
    <w:rsid w:val="00D13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05562953934838"/>
          <c:y val="3.3577012201024554E-2"/>
          <c:w val="0.56371277609699877"/>
          <c:h val="0.96642298779897617"/>
        </c:manualLayout>
      </c:layout>
      <c:pieChart>
        <c:varyColors val="1"/>
        <c:ser>
          <c:idx val="0"/>
          <c:order val="0"/>
          <c:tx>
            <c:strRef>
              <c:f>Sheet1!$B$1</c:f>
              <c:strCache>
                <c:ptCount val="1"/>
                <c:pt idx="0">
                  <c:v>Column1</c:v>
                </c:pt>
              </c:strCache>
            </c:strRef>
          </c:tx>
          <c:explosion val="13"/>
          <c:dPt>
            <c:idx val="0"/>
            <c:bubble3D val="0"/>
            <c:explosion val="0"/>
            <c:extLst>
              <c:ext xmlns:c16="http://schemas.microsoft.com/office/drawing/2014/chart" uri="{C3380CC4-5D6E-409C-BE32-E72D297353CC}">
                <c16:uniqueId val="{00000000-C46C-4574-A63B-2305EBEA5E6E}"/>
              </c:ext>
            </c:extLst>
          </c:dPt>
          <c:dPt>
            <c:idx val="1"/>
            <c:bubble3D val="0"/>
            <c:explosion val="0"/>
            <c:extLst>
              <c:ext xmlns:c16="http://schemas.microsoft.com/office/drawing/2014/chart" uri="{C3380CC4-5D6E-409C-BE32-E72D297353CC}">
                <c16:uniqueId val="{00000001-C46C-4574-A63B-2305EBEA5E6E}"/>
              </c:ext>
            </c:extLst>
          </c:dPt>
          <c:dPt>
            <c:idx val="2"/>
            <c:bubble3D val="0"/>
            <c:explosion val="0"/>
            <c:extLst>
              <c:ext xmlns:c16="http://schemas.microsoft.com/office/drawing/2014/chart" uri="{C3380CC4-5D6E-409C-BE32-E72D297353CC}">
                <c16:uniqueId val="{00000002-C46C-4574-A63B-2305EBEA5E6E}"/>
              </c:ext>
            </c:extLst>
          </c:dPt>
          <c:dPt>
            <c:idx val="3"/>
            <c:bubble3D val="0"/>
            <c:explosion val="0"/>
            <c:extLst>
              <c:ext xmlns:c16="http://schemas.microsoft.com/office/drawing/2014/chart" uri="{C3380CC4-5D6E-409C-BE32-E72D297353CC}">
                <c16:uniqueId val="{00000003-C46C-4574-A63B-2305EBEA5E6E}"/>
              </c:ext>
            </c:extLst>
          </c:dPt>
          <c:dLbls>
            <c:dLbl>
              <c:idx val="0"/>
              <c:layout>
                <c:manualLayout>
                  <c:x val="0.11772766067674728"/>
                  <c:y val="8.148496080072419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(C)</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60%</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6C-4574-A63B-2305EBEA5E6E}"/>
                </c:ext>
              </c:extLst>
            </c:dLbl>
            <c:dLbl>
              <c:idx val="1"/>
              <c:layout>
                <c:manualLayout>
                  <c:x val="-4.9730835522404926E-2"/>
                  <c:y val="-8.6409209694774999E-3"/>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(B)</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C-4574-A63B-2305EBEA5E6E}"/>
                </c:ext>
              </c:extLst>
            </c:dLbl>
            <c:dLbl>
              <c:idx val="2"/>
              <c:layout>
                <c:manualLayout>
                  <c:x val="-6.9504710793478974E-2"/>
                  <c:y val="4.8218809958950393E-2"/>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Area (A)</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18%</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6C-4574-A63B-2305EBEA5E6E}"/>
                </c:ext>
              </c:extLst>
            </c:dLbl>
            <c:dLbl>
              <c:idx val="3"/>
              <c:layout>
                <c:manualLayout>
                  <c:x val="-0.11622217655638367"/>
                  <c:y val="-7.1611361079865019E-3"/>
                </c:manualLayout>
              </c:layout>
              <c:tx>
                <c:rich>
                  <a:bodyPr/>
                  <a:lstStyle/>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others</a:t>
                    </a:r>
                    <a:endParaRPr lang="en-US" sz="900" b="0" i="0" u="none" strike="noStrike" baseline="0">
                      <a:solidFill>
                        <a:srgbClr val="000000"/>
                      </a:solidFill>
                      <a:latin typeface="Arial"/>
                      <a:cs typeface="Arial"/>
                    </a:endParaRPr>
                  </a:p>
                  <a:p>
                    <a:pPr>
                      <a:defRPr sz="1000" b="0" i="0" u="none" strike="noStrike" baseline="0">
                        <a:solidFill>
                          <a:srgbClr val="000000"/>
                        </a:solidFill>
                        <a:latin typeface="Arial"/>
                        <a:ea typeface="Arial"/>
                        <a:cs typeface="Arial"/>
                      </a:defRPr>
                    </a:pPr>
                    <a:r>
                      <a:rPr lang="en-US" sz="900" b="0" i="0" u="none" strike="noStrike" baseline="0">
                        <a:solidFill>
                          <a:srgbClr val="000000"/>
                        </a:solidFill>
                        <a:latin typeface="Calibri"/>
                        <a:cs typeface="Calibri"/>
                      </a:rPr>
                      <a:t>4%</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C-4574-A63B-2305EBEA5E6E}"/>
                </c:ext>
              </c:extLst>
            </c:dLbl>
            <c:numFmt formatCode="0.0%" sourceLinked="0"/>
            <c:spPr>
              <a:noFill/>
              <a:ln>
                <a:noFill/>
              </a:ln>
              <a:effectLst/>
            </c:spPr>
            <c:txPr>
              <a:bodyPr/>
              <a:lstStyle/>
              <a:p>
                <a:pPr>
                  <a:defRPr sz="900"/>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المنطقة (ج)</c:v>
                </c:pt>
                <c:pt idx="1">
                  <c:v>المنطقة (ب)</c:v>
                </c:pt>
                <c:pt idx="2">
                  <c:v>المنطقة (أ)</c:v>
                </c:pt>
                <c:pt idx="3">
                  <c:v>أخرى</c:v>
                </c:pt>
              </c:strCache>
            </c:strRef>
          </c:cat>
          <c:val>
            <c:numRef>
              <c:f>Sheet1!$B$2:$B$5</c:f>
              <c:numCache>
                <c:formatCode>_-* #,##0.0_-;_-* #,##0.0\-;_-* "-"??_-;_-@_-</c:formatCode>
                <c:ptCount val="4"/>
                <c:pt idx="0">
                  <c:v>60</c:v>
                </c:pt>
                <c:pt idx="1">
                  <c:v>18</c:v>
                </c:pt>
                <c:pt idx="2">
                  <c:v>18</c:v>
                </c:pt>
                <c:pt idx="3">
                  <c:v>4</c:v>
                </c:pt>
              </c:numCache>
            </c:numRef>
          </c:val>
          <c:extLst>
            <c:ext xmlns:c16="http://schemas.microsoft.com/office/drawing/2014/chart" uri="{C3380CC4-5D6E-409C-BE32-E72D297353CC}">
              <c16:uniqueId val="{00000004-C46C-4574-A63B-2305EBEA5E6E}"/>
            </c:ext>
          </c:extLst>
        </c:ser>
        <c:dLbls>
          <c:showLegendKey val="0"/>
          <c:showVal val="0"/>
          <c:showCatName val="1"/>
          <c:showSerName val="0"/>
          <c:showPercent val="1"/>
          <c:showBubbleSize val="0"/>
          <c:showLeaderLines val="1"/>
        </c:dLbls>
        <c:firstSliceAng val="0"/>
      </c:pieChart>
      <c:spPr>
        <a:noFill/>
        <a:ln w="25395">
          <a:noFill/>
        </a:ln>
      </c:spPr>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Simplified Arabic" pitchFamily="18" charset="-78"/>
                <a:cs typeface="Simplified Arabic" pitchFamily="18" charset="-78"/>
              </a:defRPr>
            </a:pPr>
            <a:r>
              <a:rPr lang="en-US"/>
              <a:t>Year</a:t>
            </a:r>
            <a:endParaRPr lang="ar-SA"/>
          </a:p>
        </c:rich>
      </c:tx>
      <c:layout>
        <c:manualLayout>
          <c:xMode val="edge"/>
          <c:yMode val="edge"/>
          <c:x val="0.46529388819314704"/>
          <c:y val="0.85942386298535112"/>
        </c:manualLayout>
      </c:layout>
      <c:overlay val="0"/>
    </c:title>
    <c:autoTitleDeleted val="0"/>
    <c:plotArea>
      <c:layout>
        <c:manualLayout>
          <c:layoutTarget val="inner"/>
          <c:xMode val="edge"/>
          <c:yMode val="edge"/>
          <c:x val="0.14116851956219381"/>
          <c:y val="5.6094042996770364E-2"/>
          <c:w val="0.85883139001355513"/>
          <c:h val="0.68936412968395921"/>
        </c:manualLayout>
      </c:layout>
      <c:barChart>
        <c:barDir val="col"/>
        <c:grouping val="clustered"/>
        <c:varyColors val="0"/>
        <c:ser>
          <c:idx val="0"/>
          <c:order val="0"/>
          <c:tx>
            <c:v>السنة</c:v>
          </c:tx>
          <c:invertIfNegative val="0"/>
          <c:dLbls>
            <c:spPr>
              <a:noFill/>
              <a:ln>
                <a:noFill/>
              </a:ln>
              <a:effectLst/>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Sheet1!$A$2:$P$2</c:f>
              <c:numCache>
                <c:formatCode>General</c:formatCode>
                <c:ptCount val="16"/>
                <c:pt idx="0">
                  <c:v>24</c:v>
                </c:pt>
                <c:pt idx="1">
                  <c:v>22</c:v>
                </c:pt>
                <c:pt idx="2">
                  <c:v>18</c:v>
                </c:pt>
                <c:pt idx="3">
                  <c:v>49</c:v>
                </c:pt>
                <c:pt idx="4">
                  <c:v>70</c:v>
                </c:pt>
                <c:pt idx="5">
                  <c:v>20</c:v>
                </c:pt>
                <c:pt idx="6">
                  <c:v>14</c:v>
                </c:pt>
                <c:pt idx="7">
                  <c:v>14</c:v>
                </c:pt>
                <c:pt idx="8">
                  <c:v>20</c:v>
                </c:pt>
                <c:pt idx="9">
                  <c:v>7</c:v>
                </c:pt>
                <c:pt idx="10">
                  <c:v>35</c:v>
                </c:pt>
                <c:pt idx="11">
                  <c:v>30</c:v>
                </c:pt>
                <c:pt idx="12">
                  <c:v>31</c:v>
                </c:pt>
                <c:pt idx="13">
                  <c:v>48</c:v>
                </c:pt>
                <c:pt idx="14">
                  <c:v>89</c:v>
                </c:pt>
                <c:pt idx="15">
                  <c:v>88</c:v>
                </c:pt>
              </c:numCache>
            </c:numRef>
          </c:val>
          <c:extLst>
            <c:ext xmlns:c16="http://schemas.microsoft.com/office/drawing/2014/chart" uri="{C3380CC4-5D6E-409C-BE32-E72D297353CC}">
              <c16:uniqueId val="{00000000-E618-46EC-B20B-4B134E44F044}"/>
            </c:ext>
          </c:extLst>
        </c:ser>
        <c:dLbls>
          <c:showLegendKey val="0"/>
          <c:showVal val="0"/>
          <c:showCatName val="0"/>
          <c:showSerName val="0"/>
          <c:showPercent val="0"/>
          <c:showBubbleSize val="0"/>
        </c:dLbls>
        <c:gapWidth val="150"/>
        <c:axId val="73853568"/>
        <c:axId val="73855360"/>
      </c:barChart>
      <c:catAx>
        <c:axId val="73853568"/>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nchor="ctr" anchorCtr="0"/>
          <a:lstStyle/>
          <a:p>
            <a:pPr>
              <a:defRPr sz="800" b="0" i="0" u="none" strike="noStrike" baseline="0">
                <a:solidFill>
                  <a:srgbClr val="000000"/>
                </a:solidFill>
                <a:latin typeface="Arial"/>
                <a:ea typeface="Arial"/>
                <a:cs typeface="Arial"/>
              </a:defRPr>
            </a:pPr>
            <a:endParaRPr lang="ar-SA"/>
          </a:p>
        </c:txPr>
        <c:crossAx val="73855360"/>
        <c:crossesAt val="5"/>
        <c:auto val="1"/>
        <c:lblAlgn val="ctr"/>
        <c:lblOffset val="100"/>
        <c:tickLblSkip val="1"/>
        <c:tickMarkSkip val="1"/>
        <c:noMultiLvlLbl val="0"/>
      </c:catAx>
      <c:valAx>
        <c:axId val="73855360"/>
        <c:scaling>
          <c:orientation val="minMax"/>
        </c:scaling>
        <c:delete val="0"/>
        <c:axPos val="l"/>
        <c:title>
          <c:tx>
            <c:rich>
              <a:bodyPr/>
              <a:lstStyle/>
              <a:p>
                <a:pPr>
                  <a:defRPr sz="900"/>
                </a:pPr>
                <a:r>
                  <a:rPr lang="en-US" sz="900">
                    <a:latin typeface="Simplified Arabic" pitchFamily="18" charset="-78"/>
                    <a:cs typeface="Simplified Arabic" pitchFamily="18" charset="-78"/>
                  </a:rPr>
                  <a:t>Demolitions operations</a:t>
                </a:r>
              </a:p>
            </c:rich>
          </c:tx>
          <c:layout>
            <c:manualLayout>
              <c:xMode val="edge"/>
              <c:yMode val="edge"/>
              <c:x val="1.0971355624541281E-3"/>
              <c:y val="0.16831648409632968"/>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73853568"/>
        <c:crosses val="autoZero"/>
        <c:crossBetween val="between"/>
      </c:valAx>
      <c:spPr>
        <a:noFill/>
        <a:ln w="25400">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D5FE4-3012-4DFC-AFA4-508AB043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9755</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Hadeel Badran</cp:lastModifiedBy>
  <cp:revision>5</cp:revision>
  <cp:lastPrinted>2022-03-28T06:37:00Z</cp:lastPrinted>
  <dcterms:created xsi:type="dcterms:W3CDTF">2022-03-28T06:38:00Z</dcterms:created>
  <dcterms:modified xsi:type="dcterms:W3CDTF">2022-03-28T06:51:00Z</dcterms:modified>
</cp:coreProperties>
</file>