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F8" w:rsidRPr="005A79AE" w:rsidRDefault="00D24BF8" w:rsidP="00D24BF8">
      <w:pPr>
        <w:pStyle w:val="Heading1"/>
        <w:jc w:val="center"/>
        <w:rPr>
          <w:sz w:val="34"/>
          <w:szCs w:val="34"/>
        </w:rPr>
      </w:pPr>
      <w:r w:rsidRPr="005A79AE">
        <w:rPr>
          <w:sz w:val="34"/>
          <w:szCs w:val="34"/>
        </w:rPr>
        <w:t xml:space="preserve">Palestinian Central Bureau </w:t>
      </w:r>
      <w:r w:rsidRPr="005A79AE">
        <w:rPr>
          <w:rFonts w:cs="Simplified Arabic"/>
          <w:sz w:val="34"/>
          <w:szCs w:val="34"/>
        </w:rPr>
        <w:t>of Statistics</w:t>
      </w:r>
      <w:r w:rsidRPr="005A79AE">
        <w:rPr>
          <w:sz w:val="34"/>
          <w:szCs w:val="34"/>
        </w:rPr>
        <w:t xml:space="preserve"> (PCBS)</w:t>
      </w:r>
    </w:p>
    <w:p w:rsidR="00D24BF8" w:rsidRPr="00D24BF8" w:rsidRDefault="00D24BF8" w:rsidP="00D24BF8">
      <w:pPr>
        <w:pStyle w:val="Heading1"/>
        <w:tabs>
          <w:tab w:val="left" w:pos="2304"/>
        </w:tabs>
        <w:jc w:val="both"/>
      </w:pPr>
      <w:r w:rsidRPr="00D24BF8">
        <w:tab/>
      </w:r>
    </w:p>
    <w:p w:rsidR="00400A93" w:rsidRPr="00D24BF8" w:rsidRDefault="00400A93" w:rsidP="00F01597">
      <w:pPr>
        <w:pStyle w:val="Heading1"/>
        <w:jc w:val="both"/>
        <w:rPr>
          <w:sz w:val="30"/>
          <w:szCs w:val="30"/>
        </w:rPr>
      </w:pPr>
      <w:r w:rsidRPr="00D24BF8">
        <w:rPr>
          <w:sz w:val="30"/>
          <w:szCs w:val="30"/>
        </w:rPr>
        <w:t xml:space="preserve">On the </w:t>
      </w:r>
      <w:r w:rsidR="0025399F" w:rsidRPr="00D24BF8">
        <w:rPr>
          <w:sz w:val="30"/>
          <w:szCs w:val="30"/>
        </w:rPr>
        <w:t xml:space="preserve">occasion of the </w:t>
      </w:r>
      <w:r w:rsidR="002D67E7" w:rsidRPr="00D24BF8">
        <w:rPr>
          <w:sz w:val="30"/>
          <w:szCs w:val="30"/>
        </w:rPr>
        <w:t>International Workers' Day</w:t>
      </w:r>
      <w:r w:rsidR="0025399F" w:rsidRPr="00D24BF8">
        <w:rPr>
          <w:b w:val="0"/>
          <w:bCs w:val="0"/>
          <w:sz w:val="30"/>
          <w:szCs w:val="30"/>
        </w:rPr>
        <w:t xml:space="preserve">, </w:t>
      </w:r>
      <w:r w:rsidR="00F01597" w:rsidRPr="00D24BF8">
        <w:rPr>
          <w:sz w:val="30"/>
          <w:szCs w:val="30"/>
        </w:rPr>
        <w:t xml:space="preserve">H.E. </w:t>
      </w:r>
      <w:r w:rsidR="00883434" w:rsidRPr="00D24BF8">
        <w:rPr>
          <w:sz w:val="30"/>
          <w:szCs w:val="30"/>
        </w:rPr>
        <w:t>Dr</w:t>
      </w:r>
      <w:r w:rsidR="00CE0097" w:rsidRPr="00D24BF8">
        <w:rPr>
          <w:sz w:val="30"/>
          <w:szCs w:val="30"/>
        </w:rPr>
        <w:t xml:space="preserve">. Ola Awad, </w:t>
      </w:r>
      <w:r w:rsidR="00F01597" w:rsidRPr="00D24BF8">
        <w:rPr>
          <w:sz w:val="30"/>
          <w:szCs w:val="30"/>
        </w:rPr>
        <w:t xml:space="preserve">President of PCBS, </w:t>
      </w:r>
      <w:r w:rsidR="00CE0097" w:rsidRPr="00D24BF8">
        <w:rPr>
          <w:sz w:val="30"/>
          <w:szCs w:val="30"/>
        </w:rPr>
        <w:t xml:space="preserve">presents the current status of </w:t>
      </w:r>
      <w:r w:rsidR="0025399F" w:rsidRPr="00D24BF8">
        <w:rPr>
          <w:sz w:val="30"/>
          <w:szCs w:val="30"/>
        </w:rPr>
        <w:t xml:space="preserve">the </w:t>
      </w:r>
      <w:r w:rsidR="00CE0097" w:rsidRPr="00D24BF8">
        <w:rPr>
          <w:sz w:val="30"/>
          <w:szCs w:val="30"/>
        </w:rPr>
        <w:t xml:space="preserve">Palestinian labour force </w:t>
      </w:r>
    </w:p>
    <w:p w:rsidR="00400A93" w:rsidRPr="00D24BF8" w:rsidRDefault="00400A93" w:rsidP="00AD1D69">
      <w:pPr>
        <w:bidi w:val="0"/>
        <w:jc w:val="both"/>
        <w:rPr>
          <w:sz w:val="26"/>
          <w:szCs w:val="26"/>
        </w:rPr>
      </w:pPr>
    </w:p>
    <w:p w:rsidR="00AD6D8A" w:rsidRPr="00D24BF8" w:rsidRDefault="00AD6D8A" w:rsidP="004F1DB6">
      <w:pPr>
        <w:shd w:val="clear" w:color="auto" w:fill="FFFFFF"/>
        <w:jc w:val="right"/>
        <w:rPr>
          <w:b/>
          <w:bCs/>
          <w:sz w:val="26"/>
          <w:szCs w:val="26"/>
        </w:rPr>
      </w:pPr>
      <w:r w:rsidRPr="00D24BF8">
        <w:rPr>
          <w:b/>
          <w:bCs/>
          <w:sz w:val="26"/>
          <w:szCs w:val="26"/>
        </w:rPr>
        <w:t xml:space="preserve">The impact of </w:t>
      </w:r>
      <w:r w:rsidR="004F1DB6" w:rsidRPr="00D24BF8">
        <w:rPr>
          <w:b/>
          <w:bCs/>
          <w:sz w:val="26"/>
          <w:szCs w:val="26"/>
        </w:rPr>
        <w:t>C</w:t>
      </w:r>
      <w:r w:rsidR="009A446F" w:rsidRPr="00D24BF8">
        <w:rPr>
          <w:b/>
          <w:bCs/>
          <w:sz w:val="26"/>
          <w:szCs w:val="26"/>
        </w:rPr>
        <w:t xml:space="preserve">ovid-19 </w:t>
      </w:r>
      <w:r w:rsidRPr="00D24BF8">
        <w:rPr>
          <w:b/>
          <w:bCs/>
          <w:sz w:val="26"/>
          <w:szCs w:val="26"/>
        </w:rPr>
        <w:t xml:space="preserve">pandemic on the Palestinian </w:t>
      </w:r>
      <w:r w:rsidR="00F4417F" w:rsidRPr="00D24BF8">
        <w:rPr>
          <w:b/>
          <w:bCs/>
          <w:sz w:val="26"/>
          <w:szCs w:val="26"/>
        </w:rPr>
        <w:t>labour</w:t>
      </w:r>
      <w:r w:rsidRPr="00D24BF8">
        <w:rPr>
          <w:b/>
          <w:bCs/>
          <w:sz w:val="26"/>
          <w:szCs w:val="26"/>
        </w:rPr>
        <w:t xml:space="preserve"> market</w:t>
      </w:r>
    </w:p>
    <w:p w:rsidR="00AD6D8A" w:rsidRPr="00D24BF8" w:rsidRDefault="00B93F0F" w:rsidP="003C41A8">
      <w:pPr>
        <w:shd w:val="clear" w:color="auto" w:fill="FFFFFF"/>
        <w:bidi w:val="0"/>
        <w:jc w:val="both"/>
      </w:pPr>
      <w:r w:rsidRPr="00D24BF8">
        <w:t>With the spread of Covid-19 pandemic worldwide, countries</w:t>
      </w:r>
      <w:r w:rsidR="007A1474" w:rsidRPr="00D24BF8">
        <w:t>,</w:t>
      </w:r>
      <w:r w:rsidRPr="00D24BF8">
        <w:t xml:space="preserve"> including Palestine</w:t>
      </w:r>
      <w:r w:rsidR="007A1474" w:rsidRPr="00D24BF8">
        <w:t>, are</w:t>
      </w:r>
      <w:r w:rsidRPr="00D24BF8">
        <w:t xml:space="preserve"> taking unprecedented pr</w:t>
      </w:r>
      <w:r w:rsidR="003A32D3" w:rsidRPr="00D24BF8">
        <w:t>o</w:t>
      </w:r>
      <w:r w:rsidRPr="00D24BF8">
        <w:t>cedures in order to limit the spread of this virus and eliminate it</w:t>
      </w:r>
      <w:r w:rsidR="007A1474" w:rsidRPr="00D24BF8">
        <w:t xml:space="preserve">. Hence, </w:t>
      </w:r>
      <w:r w:rsidRPr="00D24BF8">
        <w:t>the labor market is direct</w:t>
      </w:r>
      <w:r w:rsidR="007A1474" w:rsidRPr="00D24BF8">
        <w:t>ly</w:t>
      </w:r>
      <w:r w:rsidRPr="00D24BF8">
        <w:t xml:space="preserve"> affected as a result</w:t>
      </w:r>
      <w:r w:rsidR="007A1474" w:rsidRPr="00D24BF8">
        <w:t xml:space="preserve"> of the Coronavirus outbreak. Accordingly</w:t>
      </w:r>
      <w:r w:rsidR="00F01597" w:rsidRPr="00D24BF8">
        <w:t xml:space="preserve"> and</w:t>
      </w:r>
      <w:r w:rsidR="007A1474" w:rsidRPr="00D24BF8">
        <w:t xml:space="preserve"> on </w:t>
      </w:r>
      <w:r w:rsidRPr="00D24BF8">
        <w:t xml:space="preserve">the occasion of </w:t>
      </w:r>
      <w:r w:rsidR="00F01597" w:rsidRPr="00D24BF8">
        <w:t xml:space="preserve">the </w:t>
      </w:r>
      <w:r w:rsidRPr="00D24BF8">
        <w:t>International Workers</w:t>
      </w:r>
      <w:r w:rsidR="00F01597" w:rsidRPr="00D24BF8">
        <w:t>'</w:t>
      </w:r>
      <w:r w:rsidRPr="00D24BF8">
        <w:t xml:space="preserve"> Day, the most important indicators of the Palestinian labor market will be addressed</w:t>
      </w:r>
      <w:r w:rsidR="003C41A8" w:rsidRPr="00D24BF8">
        <w:t xml:space="preserve">, focusing </w:t>
      </w:r>
      <w:r w:rsidRPr="00D24BF8">
        <w:t xml:space="preserve">on the reality of workers in sectors </w:t>
      </w:r>
      <w:r w:rsidR="007A1474" w:rsidRPr="00D24BF8">
        <w:t xml:space="preserve">that are </w:t>
      </w:r>
      <w:r w:rsidRPr="00D24BF8">
        <w:t xml:space="preserve">expected to be affected </w:t>
      </w:r>
      <w:r w:rsidR="003C41A8" w:rsidRPr="00D24BF8">
        <w:t>by</w:t>
      </w:r>
      <w:r w:rsidRPr="00D24BF8">
        <w:t xml:space="preserve"> this pandemic</w:t>
      </w:r>
    </w:p>
    <w:p w:rsidR="00B93F0F" w:rsidRPr="00D24BF8" w:rsidRDefault="00B93F0F" w:rsidP="00B93F0F">
      <w:pPr>
        <w:pStyle w:val="BodyText2"/>
        <w:jc w:val="both"/>
        <w:rPr>
          <w:b/>
          <w:bCs/>
        </w:rPr>
      </w:pPr>
    </w:p>
    <w:p w:rsidR="00B93F0F" w:rsidRPr="00D24BF8" w:rsidRDefault="00B93F0F" w:rsidP="00B93F0F">
      <w:pPr>
        <w:pStyle w:val="BodyText2"/>
        <w:jc w:val="both"/>
        <w:rPr>
          <w:b/>
          <w:bCs/>
          <w:sz w:val="26"/>
          <w:szCs w:val="26"/>
        </w:rPr>
      </w:pPr>
      <w:r w:rsidRPr="00D24BF8">
        <w:rPr>
          <w:b/>
          <w:bCs/>
          <w:sz w:val="26"/>
          <w:szCs w:val="26"/>
        </w:rPr>
        <w:t xml:space="preserve">There are more than one million employed individual </w:t>
      </w:r>
    </w:p>
    <w:p w:rsidR="00B93F0F" w:rsidRPr="00D24BF8" w:rsidRDefault="00B93F0F" w:rsidP="005E60A3">
      <w:pPr>
        <w:shd w:val="clear" w:color="auto" w:fill="FFFFFF"/>
        <w:bidi w:val="0"/>
        <w:spacing w:line="276" w:lineRule="auto"/>
        <w:jc w:val="both"/>
      </w:pPr>
      <w:r w:rsidRPr="00D24BF8">
        <w:t xml:space="preserve">The number of employed individuals reached 1,010 thousand; 616 thousand in the West Bank, 261 thousand in Gaza Strip, and 133 thousand in Israel and Israeli settlements. There are 877,100 employed </w:t>
      </w:r>
      <w:r w:rsidR="005E60A3" w:rsidRPr="00D24BF8">
        <w:t>individuals</w:t>
      </w:r>
      <w:r w:rsidR="007A1474" w:rsidRPr="00D24BF8">
        <w:t xml:space="preserve"> </w:t>
      </w:r>
      <w:r w:rsidRPr="00D24BF8">
        <w:t xml:space="preserve">in the local market (employed </w:t>
      </w:r>
      <w:r w:rsidR="005E60A3" w:rsidRPr="00D24BF8">
        <w:t xml:space="preserve">individuals </w:t>
      </w:r>
      <w:r w:rsidRPr="00D24BF8">
        <w:t>in public sector, private sector,</w:t>
      </w:r>
      <w:r w:rsidR="00432F47" w:rsidRPr="00D24BF8">
        <w:t xml:space="preserve"> international</w:t>
      </w:r>
      <w:r w:rsidR="00126F31" w:rsidRPr="00D24BF8">
        <w:t xml:space="preserve"> agencies</w:t>
      </w:r>
      <w:r w:rsidR="003A32D3" w:rsidRPr="00D24BF8">
        <w:t>,</w:t>
      </w:r>
      <w:r w:rsidR="00432F47" w:rsidRPr="00D24BF8">
        <w:t xml:space="preserve"> UNRWA</w:t>
      </w:r>
      <w:r w:rsidR="003A32D3" w:rsidRPr="00D24BF8">
        <w:t xml:space="preserve"> and </w:t>
      </w:r>
      <w:r w:rsidR="00126F31" w:rsidRPr="00D24BF8">
        <w:t>non-</w:t>
      </w:r>
      <w:r w:rsidR="003A32D3" w:rsidRPr="00D24BF8">
        <w:t>profit organization</w:t>
      </w:r>
      <w:r w:rsidR="003C41A8" w:rsidRPr="00D24BF8">
        <w:t>s</w:t>
      </w:r>
      <w:r w:rsidRPr="00D24BF8">
        <w:t>)</w:t>
      </w:r>
      <w:r w:rsidR="00432F47" w:rsidRPr="00D24BF8">
        <w:t xml:space="preserve"> in 2019</w:t>
      </w:r>
      <w:r w:rsidR="002E7420" w:rsidRPr="00D24BF8">
        <w:t xml:space="preserve">, out of whom </w:t>
      </w:r>
      <w:r w:rsidRPr="00D24BF8">
        <w:t>390</w:t>
      </w:r>
      <w:r w:rsidR="00432F47" w:rsidRPr="00D24BF8">
        <w:t>,700</w:t>
      </w:r>
      <w:r w:rsidRPr="00D24BF8">
        <w:t xml:space="preserve"> </w:t>
      </w:r>
      <w:r w:rsidR="002E7420" w:rsidRPr="00D24BF8">
        <w:t xml:space="preserve">are </w:t>
      </w:r>
      <w:r w:rsidR="00432F47" w:rsidRPr="00D24BF8">
        <w:t xml:space="preserve">employed </w:t>
      </w:r>
      <w:r w:rsidR="005E60A3" w:rsidRPr="00D24BF8">
        <w:t xml:space="preserve">individuals </w:t>
      </w:r>
      <w:r w:rsidR="007A1474" w:rsidRPr="00D24BF8">
        <w:t xml:space="preserve"> </w:t>
      </w:r>
      <w:r w:rsidR="00432F47" w:rsidRPr="00D24BF8">
        <w:t>in the private sector</w:t>
      </w:r>
      <w:r w:rsidR="007A1474" w:rsidRPr="00D24BF8">
        <w:t xml:space="preserve">; 275,700 </w:t>
      </w:r>
      <w:r w:rsidRPr="00D24BF8">
        <w:t xml:space="preserve">in the West Bank, </w:t>
      </w:r>
      <w:r w:rsidR="00432F47" w:rsidRPr="00D24BF8">
        <w:t>115,000</w:t>
      </w:r>
      <w:r w:rsidRPr="00D24BF8">
        <w:t xml:space="preserve"> in Gaza Strip</w:t>
      </w:r>
      <w:r w:rsidR="003A32D3" w:rsidRPr="00D24BF8">
        <w:t>;</w:t>
      </w:r>
      <w:r w:rsidR="007A1474" w:rsidRPr="00D24BF8">
        <w:t xml:space="preserve"> and </w:t>
      </w:r>
      <w:r w:rsidR="00432F47" w:rsidRPr="00D24BF8">
        <w:t>318,100</w:t>
      </w:r>
      <w:r w:rsidRPr="00D24BF8">
        <w:t xml:space="preserve"> </w:t>
      </w:r>
      <w:r w:rsidR="002C5650" w:rsidRPr="00D24BF8">
        <w:t xml:space="preserve">are </w:t>
      </w:r>
      <w:r w:rsidR="003B4CF3" w:rsidRPr="00D24BF8">
        <w:t>males and</w:t>
      </w:r>
      <w:r w:rsidR="002C5650" w:rsidRPr="00D24BF8">
        <w:t xml:space="preserve"> </w:t>
      </w:r>
      <w:r w:rsidR="003B4CF3" w:rsidRPr="00D24BF8">
        <w:t>72,600</w:t>
      </w:r>
      <w:r w:rsidR="002C5650" w:rsidRPr="00D24BF8">
        <w:t xml:space="preserve"> are</w:t>
      </w:r>
      <w:r w:rsidR="003B4CF3" w:rsidRPr="00D24BF8">
        <w:t xml:space="preserve"> females</w:t>
      </w:r>
      <w:r w:rsidRPr="00D24BF8">
        <w:t>.</w:t>
      </w:r>
    </w:p>
    <w:p w:rsidR="00731DF4" w:rsidRDefault="00731DF4" w:rsidP="00D24BF8">
      <w:pPr>
        <w:shd w:val="clear" w:color="auto" w:fill="FFFFFF"/>
        <w:bidi w:val="0"/>
        <w:spacing w:line="276" w:lineRule="auto"/>
        <w:jc w:val="center"/>
        <w:rPr>
          <w:sz w:val="10"/>
          <w:szCs w:val="10"/>
        </w:rPr>
        <w:sectPr w:rsidR="00731DF4" w:rsidSect="00D24BF8">
          <w:pgSz w:w="11909" w:h="16834" w:code="9"/>
          <w:pgMar w:top="1134" w:right="964" w:bottom="1134" w:left="964" w:header="567" w:footer="510" w:gutter="0"/>
          <w:cols w:space="708"/>
          <w:docGrid w:linePitch="326"/>
        </w:sectPr>
      </w:pPr>
    </w:p>
    <w:p w:rsidR="00D04C94" w:rsidRPr="005A79AE" w:rsidRDefault="00D04C94" w:rsidP="00D24BF8">
      <w:pPr>
        <w:shd w:val="clear" w:color="auto" w:fill="FFFFFF"/>
        <w:bidi w:val="0"/>
        <w:spacing w:line="276" w:lineRule="auto"/>
        <w:jc w:val="center"/>
        <w:rPr>
          <w:sz w:val="10"/>
          <w:szCs w:val="10"/>
        </w:rPr>
      </w:pPr>
    </w:p>
    <w:p w:rsidR="00731DF4" w:rsidRDefault="00731DF4" w:rsidP="005E60A3">
      <w:pPr>
        <w:shd w:val="clear" w:color="auto" w:fill="FFFFFF"/>
        <w:bidi w:val="0"/>
        <w:spacing w:line="276" w:lineRule="auto"/>
        <w:jc w:val="both"/>
        <w:sectPr w:rsidR="00731DF4" w:rsidSect="00731DF4">
          <w:type w:val="continuous"/>
          <w:pgSz w:w="11909" w:h="16834" w:code="9"/>
          <w:pgMar w:top="1134" w:right="964" w:bottom="1134" w:left="964" w:header="567" w:footer="510" w:gutter="0"/>
          <w:cols w:num="2" w:space="708"/>
          <w:docGrid w:linePitch="326"/>
        </w:sectPr>
      </w:pPr>
    </w:p>
    <w:p w:rsidR="00D04C94" w:rsidRPr="00D24BF8" w:rsidRDefault="00D04C94" w:rsidP="005E60A3">
      <w:pPr>
        <w:shd w:val="clear" w:color="auto" w:fill="FFFFFF"/>
        <w:bidi w:val="0"/>
        <w:spacing w:line="276" w:lineRule="auto"/>
        <w:jc w:val="both"/>
      </w:pPr>
      <w:r w:rsidRPr="00D24BF8">
        <w:lastRenderedPageBreak/>
        <w:t xml:space="preserve">Employed </w:t>
      </w:r>
      <w:r w:rsidR="005E60A3" w:rsidRPr="00D24BF8">
        <w:t xml:space="preserve">individuals </w:t>
      </w:r>
      <w:r w:rsidRPr="00D24BF8">
        <w:t xml:space="preserve">in the private sector are distributed by employment status as 60,700 employed classified as an "employer" (i.e. working in an establishment </w:t>
      </w:r>
      <w:r w:rsidR="002C5650" w:rsidRPr="00D24BF8">
        <w:t xml:space="preserve">he/she completely or partially  </w:t>
      </w:r>
      <w:r w:rsidRPr="00D24BF8">
        <w:t>owns it and has at least one wage employee)</w:t>
      </w:r>
      <w:r w:rsidR="002C5650" w:rsidRPr="00D24BF8">
        <w:t>;</w:t>
      </w:r>
      <w:r w:rsidRPr="00D24BF8">
        <w:t xml:space="preserve"> of whom 52,300 in the West Bank and 8,400 in Gaza Strip, and 176,900 employed </w:t>
      </w:r>
      <w:r w:rsidR="005E60A3" w:rsidRPr="00D24BF8">
        <w:t xml:space="preserve">individuals  </w:t>
      </w:r>
      <w:r w:rsidR="002C5650" w:rsidRPr="00D24BF8">
        <w:t xml:space="preserve"> classified </w:t>
      </w:r>
      <w:r w:rsidRPr="00D24BF8">
        <w:t>as "</w:t>
      </w:r>
      <w:r w:rsidR="002C5650" w:rsidRPr="00D24BF8">
        <w:t>Self-employed</w:t>
      </w:r>
      <w:r w:rsidRPr="00D24BF8">
        <w:t>" (i.e. works for an institution that he</w:t>
      </w:r>
      <w:r w:rsidR="002C5650" w:rsidRPr="00D24BF8">
        <w:t>/she</w:t>
      </w:r>
      <w:r w:rsidRPr="00D24BF8">
        <w:t xml:space="preserve"> </w:t>
      </w:r>
      <w:r w:rsidR="002C5650" w:rsidRPr="00D24BF8">
        <w:t xml:space="preserve">completely or partially </w:t>
      </w:r>
      <w:r w:rsidRPr="00D24BF8">
        <w:t>owns it and who does not have any wage employee</w:t>
      </w:r>
      <w:r w:rsidR="00F703A3" w:rsidRPr="00D24BF8">
        <w:t xml:space="preserve">); </w:t>
      </w:r>
      <w:r w:rsidRPr="00D24BF8">
        <w:t>139,700 in the West Bank and 37,200 in Gaza Strip</w:t>
      </w:r>
      <w:r w:rsidR="002C5650" w:rsidRPr="00D24BF8">
        <w:t xml:space="preserve">. Also, </w:t>
      </w:r>
      <w:r w:rsidRPr="00D24BF8">
        <w:t>there are about 390,700 classified as "wage employees</w:t>
      </w:r>
      <w:r w:rsidR="00F703A3" w:rsidRPr="00D24BF8">
        <w:t xml:space="preserve">"; </w:t>
      </w:r>
      <w:r w:rsidRPr="00D24BF8">
        <w:t>275,700 in the West Bank and 115, 000 in Gaza Strip</w:t>
      </w:r>
      <w:r w:rsidR="002C5650" w:rsidRPr="00D24BF8">
        <w:t xml:space="preserve">. Furthermore, </w:t>
      </w:r>
      <w:r w:rsidRPr="00D24BF8">
        <w:t xml:space="preserve">there are about 39,300 </w:t>
      </w:r>
      <w:r w:rsidR="00F703A3" w:rsidRPr="00D24BF8">
        <w:t xml:space="preserve">employed </w:t>
      </w:r>
      <w:r w:rsidR="005E60A3" w:rsidRPr="00D24BF8">
        <w:t xml:space="preserve">individuals </w:t>
      </w:r>
      <w:r w:rsidRPr="00D24BF8">
        <w:t xml:space="preserve">working as an unpaid family </w:t>
      </w:r>
      <w:r w:rsidR="00F703A3" w:rsidRPr="00D24BF8">
        <w:t xml:space="preserve">members; </w:t>
      </w:r>
      <w:r w:rsidRPr="00D24BF8">
        <w:t>33,900 in the West Bank and about 5,400 in Gaza Strip.</w:t>
      </w:r>
    </w:p>
    <w:p w:rsidR="00A92EC8" w:rsidRPr="00D24BF8" w:rsidRDefault="00A92EC8" w:rsidP="00A92EC8">
      <w:pPr>
        <w:shd w:val="clear" w:color="auto" w:fill="FFFFFF"/>
        <w:bidi w:val="0"/>
        <w:spacing w:line="276" w:lineRule="auto"/>
        <w:jc w:val="both"/>
      </w:pPr>
    </w:p>
    <w:p w:rsidR="00B93F0F" w:rsidRPr="00D24BF8" w:rsidRDefault="002C5650" w:rsidP="00A72D98">
      <w:pPr>
        <w:shd w:val="clear" w:color="auto" w:fill="FFFFFF"/>
        <w:bidi w:val="0"/>
        <w:jc w:val="both"/>
      </w:pPr>
      <w:r w:rsidRPr="00D24BF8">
        <w:t>Consequently, restaurants</w:t>
      </w:r>
      <w:r w:rsidR="00A92EC8" w:rsidRPr="00D24BF8">
        <w:t>, hotels and trade activity is the largest employer of employed</w:t>
      </w:r>
      <w:r w:rsidRPr="00D24BF8">
        <w:t xml:space="preserve"> </w:t>
      </w:r>
      <w:r w:rsidR="00A72D98" w:rsidRPr="00D24BF8">
        <w:t xml:space="preserve">individuals </w:t>
      </w:r>
      <w:r w:rsidR="00A92EC8" w:rsidRPr="00D24BF8">
        <w:t xml:space="preserve">in the private sector, where 32% of employed </w:t>
      </w:r>
      <w:r w:rsidR="00A72D98" w:rsidRPr="00D24BF8">
        <w:t>individuals</w:t>
      </w:r>
      <w:r w:rsidR="005F7114" w:rsidRPr="00D24BF8">
        <w:t xml:space="preserve"> </w:t>
      </w:r>
      <w:r w:rsidR="00A92EC8" w:rsidRPr="00D24BF8">
        <w:t>work in it</w:t>
      </w:r>
      <w:r w:rsidR="005F7114" w:rsidRPr="00D24BF8">
        <w:t xml:space="preserve">; </w:t>
      </w:r>
      <w:r w:rsidR="00A92EC8" w:rsidRPr="00D24BF8">
        <w:t>31.1% in the West Bank and 34.8% in Gaza Strip, followed by the services activity, where 22.4% of employed</w:t>
      </w:r>
      <w:r w:rsidR="00F703A3" w:rsidRPr="00D24BF8">
        <w:t xml:space="preserve"> </w:t>
      </w:r>
      <w:r w:rsidR="00A72D98" w:rsidRPr="00D24BF8">
        <w:t>individuals</w:t>
      </w:r>
      <w:r w:rsidR="00A92EC8" w:rsidRPr="00D24BF8">
        <w:t xml:space="preserve"> in the private sector work in it</w:t>
      </w:r>
      <w:r w:rsidR="005F7114" w:rsidRPr="00D24BF8">
        <w:t>;</w:t>
      </w:r>
      <w:r w:rsidR="00A92EC8" w:rsidRPr="00D24BF8">
        <w:t xml:space="preserve"> 19.9% in the West Bank and 30.1% in Gaza Strip, followed by the industrial sector with 16.0%; 18.1% in the West Bank</w:t>
      </w:r>
      <w:r w:rsidR="00F703A3" w:rsidRPr="00D24BF8">
        <w:t xml:space="preserve"> and </w:t>
      </w:r>
      <w:r w:rsidR="00A92EC8" w:rsidRPr="00D24BF8">
        <w:t>9.7% in Gaza Strip</w:t>
      </w:r>
      <w:r w:rsidR="005F7114" w:rsidRPr="00D24BF8">
        <w:t>. T</w:t>
      </w:r>
      <w:r w:rsidR="00A92EC8" w:rsidRPr="00D24BF8">
        <w:t xml:space="preserve">he rest of the </w:t>
      </w:r>
      <w:r w:rsidR="00F703A3" w:rsidRPr="00D24BF8">
        <w:t xml:space="preserve">employed </w:t>
      </w:r>
      <w:r w:rsidR="00A72D98" w:rsidRPr="00D24BF8">
        <w:t xml:space="preserve">individuals </w:t>
      </w:r>
      <w:r w:rsidR="00F703A3" w:rsidRPr="00D24BF8">
        <w:t xml:space="preserve"> </w:t>
      </w:r>
      <w:r w:rsidR="00A92EC8" w:rsidRPr="00D24BF8">
        <w:t xml:space="preserve">are divided into </w:t>
      </w:r>
      <w:r w:rsidR="005F7114" w:rsidRPr="00D24BF8">
        <w:t xml:space="preserve">the </w:t>
      </w:r>
      <w:r w:rsidR="00A92EC8" w:rsidRPr="00D24BF8">
        <w:t>remaining activities.</w:t>
      </w:r>
    </w:p>
    <w:p w:rsidR="00A92EC8" w:rsidRPr="00D24BF8" w:rsidRDefault="00A92EC8" w:rsidP="00A92EC8">
      <w:pPr>
        <w:shd w:val="clear" w:color="auto" w:fill="FFFFFF"/>
        <w:bidi w:val="0"/>
        <w:jc w:val="both"/>
      </w:pPr>
    </w:p>
    <w:p w:rsidR="005F7114" w:rsidRPr="00D24BF8" w:rsidRDefault="00AD6D8A" w:rsidP="00A92EC8">
      <w:pPr>
        <w:shd w:val="clear" w:color="auto" w:fill="FFFFFF"/>
        <w:bidi w:val="0"/>
        <w:jc w:val="both"/>
        <w:rPr>
          <w:b/>
          <w:bCs/>
          <w:sz w:val="26"/>
          <w:szCs w:val="26"/>
        </w:rPr>
      </w:pPr>
      <w:r w:rsidRPr="00D24BF8">
        <w:rPr>
          <w:b/>
          <w:bCs/>
          <w:sz w:val="26"/>
          <w:szCs w:val="26"/>
        </w:rPr>
        <w:t>Women in the private sector</w:t>
      </w:r>
    </w:p>
    <w:p w:rsidR="00AD6D8A" w:rsidRPr="00D24BF8" w:rsidRDefault="005F7114" w:rsidP="009E6436">
      <w:pPr>
        <w:shd w:val="clear" w:color="auto" w:fill="FFFFFF"/>
        <w:bidi w:val="0"/>
        <w:jc w:val="both"/>
      </w:pPr>
      <w:r w:rsidRPr="00D24BF8">
        <w:t xml:space="preserve">The </w:t>
      </w:r>
      <w:r w:rsidR="00AD6D8A" w:rsidRPr="00D24BF8">
        <w:t xml:space="preserve">number of </w:t>
      </w:r>
      <w:r w:rsidRPr="00D24BF8">
        <w:t xml:space="preserve">working </w:t>
      </w:r>
      <w:r w:rsidR="00AD6D8A" w:rsidRPr="00D24BF8">
        <w:t>women in the private sector was 109 thousand women (68%) in 2019,</w:t>
      </w:r>
      <w:r w:rsidR="00896A83" w:rsidRPr="00D24BF8">
        <w:t xml:space="preserve"> </w:t>
      </w:r>
      <w:r w:rsidR="00AD6D8A" w:rsidRPr="00D24BF8">
        <w:t xml:space="preserve">and about one thousand women work in Israel and </w:t>
      </w:r>
      <w:r w:rsidR="00AA6948" w:rsidRPr="00D24BF8">
        <w:t xml:space="preserve">Israeli </w:t>
      </w:r>
      <w:r w:rsidR="00AD6D8A" w:rsidRPr="00D24BF8">
        <w:t>settlements by 0.6%.</w:t>
      </w:r>
      <w:r w:rsidR="00A92EC8" w:rsidRPr="00D24BF8">
        <w:t xml:space="preserve"> About 59% (72 thousand) of women </w:t>
      </w:r>
      <w:r w:rsidRPr="00D24BF8">
        <w:t xml:space="preserve">who </w:t>
      </w:r>
      <w:r w:rsidR="00A92EC8" w:rsidRPr="00D24BF8">
        <w:t xml:space="preserve">work in the private sector are </w:t>
      </w:r>
      <w:r w:rsidRPr="00D24BF8">
        <w:t xml:space="preserve">wage </w:t>
      </w:r>
      <w:r w:rsidR="00A92EC8" w:rsidRPr="00D24BF8">
        <w:t>employees, most of whom are concentrated in the education activity by 40% and 15% in the health activity</w:t>
      </w:r>
      <w:r w:rsidRPr="00D24BF8">
        <w:t>. T</w:t>
      </w:r>
      <w:r w:rsidR="00A92EC8" w:rsidRPr="00D24BF8">
        <w:t xml:space="preserve">he percentage of </w:t>
      </w:r>
      <w:r w:rsidRPr="00D24BF8">
        <w:t xml:space="preserve">female </w:t>
      </w:r>
      <w:r w:rsidR="00A92EC8" w:rsidRPr="00D24BF8">
        <w:t xml:space="preserve">business owners </w:t>
      </w:r>
      <w:r w:rsidRPr="00D24BF8">
        <w:t xml:space="preserve">is </w:t>
      </w:r>
      <w:r w:rsidR="00A92EC8" w:rsidRPr="00D24BF8">
        <w:t>only 4%</w:t>
      </w:r>
      <w:r w:rsidRPr="00D24BF8">
        <w:t>, which</w:t>
      </w:r>
      <w:r w:rsidR="00A92EC8" w:rsidRPr="00D24BF8">
        <w:t xml:space="preserve"> was also concentrated in the education activity by 33% </w:t>
      </w:r>
      <w:r w:rsidRPr="00D24BF8">
        <w:t xml:space="preserve">The </w:t>
      </w:r>
      <w:r w:rsidR="00A92EC8" w:rsidRPr="00D24BF8">
        <w:t xml:space="preserve">percentage of female workers </w:t>
      </w:r>
      <w:r w:rsidRPr="00D24BF8">
        <w:t>"</w:t>
      </w:r>
      <w:r w:rsidR="009E6436" w:rsidRPr="00D24BF8">
        <w:t>self</w:t>
      </w:r>
      <w:r w:rsidR="00A92EC8" w:rsidRPr="00D24BF8">
        <w:t>-employed</w:t>
      </w:r>
      <w:r w:rsidRPr="00D24BF8">
        <w:t>" is</w:t>
      </w:r>
      <w:r w:rsidR="00A92EC8" w:rsidRPr="00D24BF8">
        <w:t xml:space="preserve"> 17% concentrated in the activity of trade, restaurants and hotels by 27%</w:t>
      </w:r>
      <w:r w:rsidR="009E6436" w:rsidRPr="00D24BF8">
        <w:t>.</w:t>
      </w:r>
    </w:p>
    <w:p w:rsidR="00AD6D8A" w:rsidRPr="00D24BF8" w:rsidRDefault="00AD6D8A" w:rsidP="00AD6D8A">
      <w:pPr>
        <w:pStyle w:val="BodyText2"/>
        <w:jc w:val="both"/>
      </w:pPr>
    </w:p>
    <w:p w:rsidR="005F7114" w:rsidRPr="00D24BF8" w:rsidRDefault="00AD6D8A" w:rsidP="00D24BF8">
      <w:pPr>
        <w:shd w:val="clear" w:color="auto" w:fill="FFFFFF"/>
        <w:bidi w:val="0"/>
        <w:jc w:val="both"/>
        <w:rPr>
          <w:rFonts w:eastAsia="Calibri"/>
          <w:color w:val="000000"/>
          <w:lang w:eastAsia="en-US"/>
        </w:rPr>
      </w:pPr>
      <w:r w:rsidRPr="00D24BF8">
        <w:rPr>
          <w:b/>
          <w:bCs/>
          <w:sz w:val="26"/>
          <w:szCs w:val="26"/>
        </w:rPr>
        <w:t>Employed</w:t>
      </w:r>
      <w:r w:rsidR="00AA6948" w:rsidRPr="00D24BF8">
        <w:rPr>
          <w:b/>
          <w:bCs/>
          <w:sz w:val="26"/>
          <w:szCs w:val="26"/>
        </w:rPr>
        <w:t xml:space="preserve"> individuals </w:t>
      </w:r>
      <w:r w:rsidRPr="00D24BF8">
        <w:rPr>
          <w:b/>
          <w:bCs/>
          <w:sz w:val="26"/>
          <w:szCs w:val="26"/>
        </w:rPr>
        <w:t>in the informal sector</w:t>
      </w:r>
      <w:r w:rsidRPr="00D24BF8">
        <w:t xml:space="preserve"> (i.e.</w:t>
      </w:r>
      <w:r w:rsidR="00AA6948" w:rsidRPr="00D24BF8">
        <w:t xml:space="preserve"> </w:t>
      </w:r>
      <w:r w:rsidR="00255020" w:rsidRPr="00D24BF8">
        <w:t>an</w:t>
      </w:r>
      <w:r w:rsidR="00255020" w:rsidRPr="00D24BF8">
        <w:rPr>
          <w:rStyle w:val="CommentReference"/>
          <w:sz w:val="24"/>
          <w:szCs w:val="24"/>
        </w:rPr>
        <w:t xml:space="preserve"> </w:t>
      </w:r>
      <w:r w:rsidR="00255020" w:rsidRPr="00D24BF8">
        <w:t>employer</w:t>
      </w:r>
      <w:r w:rsidR="00AA6948" w:rsidRPr="00D24BF8">
        <w:t xml:space="preserve"> or self employed, the establishment/enterprise where he/she works doesn’t have tax record nor a book  accounting record)</w:t>
      </w:r>
      <w:r w:rsidR="00AA6948" w:rsidRPr="00D24BF8">
        <w:rPr>
          <w:rFonts w:eastAsia="Calibri"/>
          <w:b/>
          <w:bCs/>
          <w:color w:val="000000"/>
          <w:lang w:eastAsia="en-US"/>
        </w:rPr>
        <w:t xml:space="preserve"> </w:t>
      </w:r>
    </w:p>
    <w:p w:rsidR="00AD6D8A" w:rsidRDefault="00255020" w:rsidP="00AE35F4">
      <w:pPr>
        <w:shd w:val="clear" w:color="auto" w:fill="FFFFFF"/>
        <w:bidi w:val="0"/>
        <w:jc w:val="both"/>
      </w:pPr>
      <w:r w:rsidRPr="00D24BF8">
        <w:rPr>
          <w:rFonts w:eastAsia="Calibri"/>
          <w:color w:val="000000"/>
          <w:lang w:eastAsia="en-US"/>
        </w:rPr>
        <w:t xml:space="preserve">The number of employed individuals in the informal sector reached 320 thousand; out of which 288 thousand are employed male compared to about 32 thousand employed female; where the percentage of </w:t>
      </w:r>
      <w:r w:rsidRPr="00D24BF8">
        <w:rPr>
          <w:rFonts w:eastAsia="Calibri"/>
          <w:color w:val="000000"/>
          <w:lang w:eastAsia="en-US"/>
        </w:rPr>
        <w:lastRenderedPageBreak/>
        <w:t>the employed individuals in th</w:t>
      </w:r>
      <w:r w:rsidR="004B7A52" w:rsidRPr="00D24BF8">
        <w:rPr>
          <w:rFonts w:eastAsia="Calibri"/>
          <w:color w:val="000000"/>
          <w:lang w:eastAsia="en-US"/>
        </w:rPr>
        <w:t xml:space="preserve">is </w:t>
      </w:r>
      <w:r w:rsidRPr="00D24BF8">
        <w:rPr>
          <w:rFonts w:eastAsia="Calibri"/>
          <w:color w:val="000000"/>
          <w:lang w:eastAsia="en-US"/>
        </w:rPr>
        <w:t>sector comprised about 3</w:t>
      </w:r>
      <w:r w:rsidR="004B7A52" w:rsidRPr="00D24BF8">
        <w:rPr>
          <w:rFonts w:eastAsia="Calibri"/>
          <w:color w:val="000000"/>
          <w:lang w:eastAsia="en-US"/>
        </w:rPr>
        <w:t>2</w:t>
      </w:r>
      <w:r w:rsidRPr="00D24BF8">
        <w:rPr>
          <w:rFonts w:eastAsia="Calibri"/>
          <w:color w:val="000000"/>
          <w:lang w:eastAsia="en-US"/>
        </w:rPr>
        <w:t>% of the total employed individuals in Palestine</w:t>
      </w:r>
      <w:r w:rsidR="00AD6D8A" w:rsidRPr="00D24BF8">
        <w:t xml:space="preserve">, with an average daily wage of </w:t>
      </w:r>
      <w:r w:rsidR="00AE35F4" w:rsidRPr="00D24BF8">
        <w:t xml:space="preserve">(NIS </w:t>
      </w:r>
      <w:r w:rsidR="00AD6D8A" w:rsidRPr="00D24BF8">
        <w:t>85</w:t>
      </w:r>
      <w:r w:rsidR="00AE35F4" w:rsidRPr="00D24BF8">
        <w:t>)</w:t>
      </w:r>
      <w:r w:rsidR="00AD6D8A" w:rsidRPr="00D24BF8">
        <w:t>.</w:t>
      </w:r>
    </w:p>
    <w:p w:rsidR="00D24BF8" w:rsidRPr="00D24BF8" w:rsidRDefault="00D24BF8" w:rsidP="00D24BF8">
      <w:pPr>
        <w:shd w:val="clear" w:color="auto" w:fill="FFFFFF"/>
        <w:bidi w:val="0"/>
        <w:jc w:val="both"/>
      </w:pPr>
    </w:p>
    <w:p w:rsidR="00495275" w:rsidRPr="00D24BF8" w:rsidRDefault="00F4417F" w:rsidP="00AE35F4">
      <w:pPr>
        <w:shd w:val="clear" w:color="auto" w:fill="FFFFFF"/>
        <w:bidi w:val="0"/>
        <w:jc w:val="both"/>
        <w:rPr>
          <w:rFonts w:eastAsia="Calibri"/>
          <w:color w:val="000000"/>
          <w:lang w:eastAsia="en-US"/>
        </w:rPr>
      </w:pPr>
      <w:r w:rsidRPr="00D24BF8">
        <w:rPr>
          <w:rFonts w:eastAsia="Calibri"/>
          <w:b/>
          <w:bCs/>
          <w:color w:val="000000"/>
          <w:sz w:val="26"/>
          <w:szCs w:val="26"/>
          <w:lang w:eastAsia="en-US"/>
        </w:rPr>
        <w:t>Employed individuals as informal employment</w:t>
      </w:r>
      <w:r w:rsidRPr="00D24BF8">
        <w:rPr>
          <w:rFonts w:eastAsia="Calibri"/>
          <w:color w:val="000000"/>
          <w:lang w:eastAsia="en-US"/>
        </w:rPr>
        <w:t xml:space="preserve"> in Palestine (those employed individuals in the informal sector in addition to wage employees who don’t receive any of the labour market rights whether it was retirement/end-of-service gratuity, a paid annual leave, nor paid sick leave) reached about 57% of the total employed individuals; out of which 61% are males and 38% are females (59% in the West Bank and 51% in Gaza Strip).</w:t>
      </w:r>
    </w:p>
    <w:p w:rsidR="00495275" w:rsidRPr="00D24BF8" w:rsidRDefault="00495275" w:rsidP="00495275">
      <w:pPr>
        <w:shd w:val="clear" w:color="auto" w:fill="FFFFFF"/>
        <w:bidi w:val="0"/>
        <w:jc w:val="both"/>
        <w:rPr>
          <w:rFonts w:eastAsia="Calibri"/>
          <w:color w:val="000000"/>
          <w:lang w:eastAsia="en-US"/>
        </w:rPr>
      </w:pPr>
    </w:p>
    <w:p w:rsidR="00495275" w:rsidRPr="00D24BF8" w:rsidRDefault="00495275" w:rsidP="00495275">
      <w:pPr>
        <w:shd w:val="clear" w:color="auto" w:fill="FFFFFF"/>
        <w:bidi w:val="0"/>
        <w:jc w:val="both"/>
        <w:rPr>
          <w:rFonts w:eastAsia="Calibri"/>
          <w:color w:val="000000"/>
          <w:lang w:eastAsia="en-US"/>
        </w:rPr>
      </w:pPr>
      <w:r w:rsidRPr="00D24BF8">
        <w:rPr>
          <w:rFonts w:eastAsia="Calibri"/>
          <w:color w:val="000000"/>
          <w:lang w:eastAsia="en-US"/>
        </w:rPr>
        <w:t>There are about 487,000 people suffering from underutilization (including unemployment and time related underemployment and potential labo</w:t>
      </w:r>
      <w:r w:rsidR="00AE35F4" w:rsidRPr="00D24BF8">
        <w:rPr>
          <w:rFonts w:eastAsia="Calibri"/>
          <w:color w:val="000000"/>
          <w:lang w:eastAsia="en-US"/>
        </w:rPr>
        <w:t>u</w:t>
      </w:r>
      <w:r w:rsidRPr="00D24BF8">
        <w:rPr>
          <w:rFonts w:eastAsia="Calibri"/>
          <w:color w:val="000000"/>
          <w:lang w:eastAsia="en-US"/>
        </w:rPr>
        <w:t>r force)</w:t>
      </w:r>
      <w:r w:rsidR="005F7114" w:rsidRPr="00D24BF8">
        <w:rPr>
          <w:rFonts w:eastAsia="Calibri"/>
          <w:color w:val="000000"/>
          <w:lang w:eastAsia="en-US"/>
        </w:rPr>
        <w:t>;</w:t>
      </w:r>
      <w:r w:rsidRPr="00D24BF8">
        <w:rPr>
          <w:rFonts w:eastAsia="Calibri"/>
          <w:color w:val="000000"/>
          <w:lang w:eastAsia="en-US"/>
        </w:rPr>
        <w:t xml:space="preserve"> about 33% in 2019</w:t>
      </w:r>
      <w:r w:rsidR="005F7114" w:rsidRPr="00D24BF8">
        <w:rPr>
          <w:rFonts w:eastAsia="Calibri"/>
          <w:color w:val="000000"/>
          <w:lang w:eastAsia="en-US"/>
        </w:rPr>
        <w:t xml:space="preserve">. This </w:t>
      </w:r>
      <w:r w:rsidRPr="00D24BF8">
        <w:rPr>
          <w:rFonts w:eastAsia="Calibri"/>
          <w:color w:val="000000"/>
          <w:lang w:eastAsia="en-US"/>
        </w:rPr>
        <w:t>number includes about 344,000 unemployed and about 73,000 discouraged job seekers, and about 20 thousand of time related underemployment</w:t>
      </w:r>
      <w:r w:rsidR="005F7114" w:rsidRPr="00D24BF8">
        <w:rPr>
          <w:rFonts w:eastAsia="Calibri"/>
          <w:color w:val="000000"/>
          <w:lang w:eastAsia="en-US"/>
        </w:rPr>
        <w:t>;</w:t>
      </w:r>
      <w:r w:rsidRPr="00D24BF8">
        <w:rPr>
          <w:rFonts w:eastAsia="Calibri"/>
          <w:color w:val="000000"/>
          <w:lang w:eastAsia="en-US"/>
        </w:rPr>
        <w:t xml:space="preserve"> meaning</w:t>
      </w:r>
      <w:r w:rsidR="005F7114" w:rsidRPr="00D24BF8">
        <w:rPr>
          <w:rFonts w:eastAsia="Calibri"/>
          <w:color w:val="000000"/>
          <w:lang w:eastAsia="en-US"/>
        </w:rPr>
        <w:t xml:space="preserve"> that</w:t>
      </w:r>
      <w:r w:rsidRPr="00D24BF8">
        <w:rPr>
          <w:rFonts w:eastAsia="Calibri"/>
          <w:color w:val="000000"/>
          <w:lang w:eastAsia="en-US"/>
        </w:rPr>
        <w:t xml:space="preserve"> they work less than 35 hours per week and seek to increase their working hours.</w:t>
      </w:r>
    </w:p>
    <w:p w:rsidR="007B303F" w:rsidRPr="00D24BF8" w:rsidRDefault="007B303F" w:rsidP="007B303F">
      <w:pPr>
        <w:shd w:val="clear" w:color="auto" w:fill="FFFFFF"/>
        <w:bidi w:val="0"/>
        <w:jc w:val="both"/>
        <w:rPr>
          <w:rFonts w:eastAsia="Calibri"/>
          <w:color w:val="000000"/>
          <w:lang w:eastAsia="en-US"/>
        </w:rPr>
      </w:pPr>
    </w:p>
    <w:p w:rsidR="007B303F" w:rsidRPr="00D24BF8" w:rsidRDefault="007B303F" w:rsidP="007B303F">
      <w:pPr>
        <w:pStyle w:val="BodyText2"/>
        <w:jc w:val="both"/>
        <w:rPr>
          <w:b/>
          <w:bCs/>
          <w:sz w:val="26"/>
          <w:szCs w:val="26"/>
        </w:rPr>
      </w:pPr>
      <w:r w:rsidRPr="00D24BF8">
        <w:rPr>
          <w:b/>
          <w:bCs/>
          <w:sz w:val="26"/>
          <w:szCs w:val="26"/>
        </w:rPr>
        <w:t>One fourth of wage employees in the private sector work in technical and specialized occupations</w:t>
      </w:r>
    </w:p>
    <w:p w:rsidR="007B303F" w:rsidRPr="00D24BF8" w:rsidRDefault="007B303F" w:rsidP="007B303F">
      <w:pPr>
        <w:pStyle w:val="BodyText2"/>
        <w:jc w:val="both"/>
      </w:pPr>
      <w:r w:rsidRPr="00D24BF8">
        <w:t xml:space="preserve">About 27% of wage employees in the private sector work as professionals or technicians in Palestine; with a percentage of 17% for males and 71% for females. In addition, </w:t>
      </w:r>
      <w:r w:rsidR="005F7114" w:rsidRPr="00D24BF8">
        <w:t>18</w:t>
      </w:r>
      <w:r w:rsidRPr="00D24BF8">
        <w:t xml:space="preserve">% of wage employees in Palestine work in craft and related trade worker; </w:t>
      </w:r>
      <w:r w:rsidR="00336EDA" w:rsidRPr="00D24BF8">
        <w:t>22</w:t>
      </w:r>
      <w:r w:rsidRPr="00D24BF8">
        <w:t>% for males and 1% for females.</w:t>
      </w:r>
    </w:p>
    <w:p w:rsidR="007B303F" w:rsidRPr="00D24BF8" w:rsidRDefault="007B303F" w:rsidP="00642AE7">
      <w:pPr>
        <w:pStyle w:val="BodyText2"/>
        <w:jc w:val="both"/>
      </w:pPr>
      <w:r w:rsidRPr="00D24BF8">
        <w:t xml:space="preserve">The services activity is the largest employer of wage employees in the private sector, where the percentage of employees in it </w:t>
      </w:r>
      <w:r w:rsidR="009B3527" w:rsidRPr="00D24BF8">
        <w:t xml:space="preserve">reached </w:t>
      </w:r>
      <w:r w:rsidRPr="00D24BF8">
        <w:t>28.8</w:t>
      </w:r>
      <w:r w:rsidR="009B3527" w:rsidRPr="00D24BF8">
        <w:t xml:space="preserve">%; </w:t>
      </w:r>
      <w:r w:rsidRPr="00D24BF8">
        <w:t xml:space="preserve">75.1% </w:t>
      </w:r>
      <w:r w:rsidR="00642AE7" w:rsidRPr="00D24BF8">
        <w:t xml:space="preserve">for </w:t>
      </w:r>
      <w:r w:rsidRPr="00D24BF8">
        <w:t>female</w:t>
      </w:r>
      <w:r w:rsidR="00642AE7" w:rsidRPr="00D24BF8">
        <w:t>s</w:t>
      </w:r>
      <w:r w:rsidRPr="00D24BF8">
        <w:t xml:space="preserve"> and 18.2% </w:t>
      </w:r>
      <w:r w:rsidR="00642AE7" w:rsidRPr="00D24BF8">
        <w:t xml:space="preserve">for </w:t>
      </w:r>
      <w:r w:rsidRPr="00D24BF8">
        <w:t>male</w:t>
      </w:r>
      <w:r w:rsidR="00642AE7" w:rsidRPr="00D24BF8">
        <w:t>s</w:t>
      </w:r>
      <w:r w:rsidR="009B3527" w:rsidRPr="00D24BF8">
        <w:t xml:space="preserve">. Followed </w:t>
      </w:r>
      <w:r w:rsidRPr="00D24BF8">
        <w:t>by the activity of restaurants, hotels and trade</w:t>
      </w:r>
      <w:r w:rsidR="009B3527" w:rsidRPr="00D24BF8">
        <w:t xml:space="preserve">  </w:t>
      </w:r>
      <w:r w:rsidRPr="00D24BF8">
        <w:t xml:space="preserve">where </w:t>
      </w:r>
      <w:r w:rsidR="00642AE7" w:rsidRPr="00D24BF8">
        <w:t xml:space="preserve">percentage of employees reached </w:t>
      </w:r>
      <w:r w:rsidRPr="00D24BF8">
        <w:t>27.9%</w:t>
      </w:r>
      <w:r w:rsidR="009B3527" w:rsidRPr="00D24BF8">
        <w:t xml:space="preserve">; </w:t>
      </w:r>
      <w:r w:rsidRPr="00D24BF8">
        <w:t xml:space="preserve">31.4% </w:t>
      </w:r>
      <w:r w:rsidR="00642AE7" w:rsidRPr="00D24BF8">
        <w:t xml:space="preserve">for </w:t>
      </w:r>
      <w:r w:rsidRPr="00D24BF8">
        <w:t xml:space="preserve">males and 12.2 % </w:t>
      </w:r>
      <w:r w:rsidR="00642AE7" w:rsidRPr="00D24BF8">
        <w:t xml:space="preserve">for </w:t>
      </w:r>
      <w:r w:rsidRPr="00D24BF8">
        <w:t>females</w:t>
      </w:r>
      <w:r w:rsidR="008D55DB" w:rsidRPr="00D24BF8">
        <w:t xml:space="preserve">.  Followed </w:t>
      </w:r>
      <w:r w:rsidRPr="00D24BF8">
        <w:t>by industry activity</w:t>
      </w:r>
      <w:r w:rsidR="00642AE7" w:rsidRPr="00D24BF8">
        <w:t xml:space="preserve"> with</w:t>
      </w:r>
      <w:r w:rsidRPr="00D24BF8">
        <w:t xml:space="preserve"> 17.6%</w:t>
      </w:r>
      <w:r w:rsidR="008D55DB" w:rsidRPr="00D24BF8">
        <w:t xml:space="preserve">; </w:t>
      </w:r>
      <w:r w:rsidRPr="00D24BF8">
        <w:t xml:space="preserve">19.8% </w:t>
      </w:r>
      <w:r w:rsidR="00642AE7" w:rsidRPr="00D24BF8">
        <w:t xml:space="preserve">for </w:t>
      </w:r>
      <w:r w:rsidRPr="00D24BF8">
        <w:t xml:space="preserve">males and 7.8% </w:t>
      </w:r>
      <w:r w:rsidR="00642AE7" w:rsidRPr="00D24BF8">
        <w:t xml:space="preserve">for </w:t>
      </w:r>
      <w:r w:rsidRPr="00D24BF8">
        <w:t>females</w:t>
      </w:r>
      <w:r w:rsidR="008D55DB" w:rsidRPr="00D24BF8">
        <w:t xml:space="preserve">. The </w:t>
      </w:r>
      <w:r w:rsidRPr="00D24BF8">
        <w:t xml:space="preserve">rest of the </w:t>
      </w:r>
      <w:r w:rsidR="00642AE7" w:rsidRPr="00D24BF8">
        <w:t xml:space="preserve">wage </w:t>
      </w:r>
      <w:r w:rsidRPr="00D24BF8">
        <w:t xml:space="preserve">employees </w:t>
      </w:r>
      <w:r w:rsidR="00642AE7" w:rsidRPr="00D24BF8">
        <w:t>work in</w:t>
      </w:r>
      <w:r w:rsidRPr="00D24BF8">
        <w:t xml:space="preserve"> construction, agriculture, transportation and storage activities.     </w:t>
      </w:r>
    </w:p>
    <w:p w:rsidR="007B303F" w:rsidRPr="00D24BF8" w:rsidRDefault="007B303F" w:rsidP="007B303F">
      <w:pPr>
        <w:shd w:val="clear" w:color="auto" w:fill="FFFFFF"/>
        <w:bidi w:val="0"/>
        <w:jc w:val="both"/>
        <w:rPr>
          <w:rFonts w:eastAsia="Calibri"/>
          <w:color w:val="000000"/>
          <w:lang w:eastAsia="en-US"/>
        </w:rPr>
      </w:pPr>
    </w:p>
    <w:p w:rsidR="007B303F" w:rsidRPr="00D24BF8" w:rsidRDefault="007B303F" w:rsidP="007B303F">
      <w:pPr>
        <w:pStyle w:val="BodyText2"/>
        <w:jc w:val="both"/>
        <w:rPr>
          <w:b/>
          <w:bCs/>
          <w:sz w:val="26"/>
          <w:szCs w:val="26"/>
        </w:rPr>
      </w:pPr>
      <w:r w:rsidRPr="00D24BF8">
        <w:rPr>
          <w:b/>
          <w:bCs/>
          <w:sz w:val="26"/>
          <w:szCs w:val="26"/>
        </w:rPr>
        <w:t xml:space="preserve">Low average of real wages in the private sector </w:t>
      </w:r>
    </w:p>
    <w:p w:rsidR="007B303F" w:rsidRPr="00D24BF8" w:rsidRDefault="007B303F" w:rsidP="00D56B9B">
      <w:pPr>
        <w:pStyle w:val="BodyText2"/>
        <w:jc w:val="both"/>
      </w:pPr>
      <w:r w:rsidRPr="00D24BF8">
        <w:t>The average daily real wage (base year</w:t>
      </w:r>
      <w:r w:rsidRPr="00D24BF8">
        <w:rPr>
          <w:color w:val="000000"/>
          <w:rtl/>
        </w:rPr>
        <w:t>=</w:t>
      </w:r>
      <w:r w:rsidRPr="00D24BF8">
        <w:t xml:space="preserve"> 2010) in the private sector was about </w:t>
      </w:r>
      <w:r w:rsidR="00D56B9B" w:rsidRPr="00D24BF8">
        <w:t xml:space="preserve">(NIS </w:t>
      </w:r>
      <w:r w:rsidRPr="00D24BF8">
        <w:t>86</w:t>
      </w:r>
      <w:r w:rsidR="00D56B9B" w:rsidRPr="00D24BF8">
        <w:t>)</w:t>
      </w:r>
      <w:r w:rsidRPr="00D24BF8">
        <w:t xml:space="preserve"> in Palestine; about </w:t>
      </w:r>
      <w:r w:rsidR="00D56B9B" w:rsidRPr="00D24BF8">
        <w:t xml:space="preserve">(NIS </w:t>
      </w:r>
      <w:r w:rsidRPr="00D24BF8">
        <w:t>43</w:t>
      </w:r>
      <w:r w:rsidR="00D56B9B" w:rsidRPr="00D24BF8">
        <w:t>)</w:t>
      </w:r>
      <w:r w:rsidRPr="00D24BF8">
        <w:t xml:space="preserve"> in Gaza Strip and about </w:t>
      </w:r>
      <w:r w:rsidR="00D56B9B" w:rsidRPr="00D24BF8">
        <w:t xml:space="preserve">(NIS </w:t>
      </w:r>
      <w:r w:rsidRPr="00D24BF8">
        <w:t>102</w:t>
      </w:r>
      <w:r w:rsidR="00D56B9B" w:rsidRPr="00D24BF8">
        <w:t>)</w:t>
      </w:r>
      <w:r w:rsidRPr="00D24BF8">
        <w:t xml:space="preserve"> in the West Bank (wage employee in Israel and </w:t>
      </w:r>
      <w:r w:rsidR="002856D3" w:rsidRPr="00D24BF8">
        <w:t xml:space="preserve">Israeli </w:t>
      </w:r>
      <w:r w:rsidRPr="00D24BF8">
        <w:t xml:space="preserve">settlements are excluded). </w:t>
      </w:r>
    </w:p>
    <w:p w:rsidR="007B303F" w:rsidRPr="00D24BF8" w:rsidRDefault="007B303F" w:rsidP="007B303F">
      <w:pPr>
        <w:pStyle w:val="BodyText2"/>
        <w:jc w:val="both"/>
        <w:rPr>
          <w:color w:val="000000"/>
        </w:rPr>
      </w:pPr>
    </w:p>
    <w:p w:rsidR="007B303F" w:rsidRPr="00D24BF8" w:rsidRDefault="007B303F" w:rsidP="002856D3">
      <w:pPr>
        <w:pStyle w:val="BodyText2"/>
        <w:jc w:val="both"/>
      </w:pPr>
      <w:r w:rsidRPr="00D24BF8">
        <w:t xml:space="preserve">Construction activity in the private sector recorded the highest </w:t>
      </w:r>
      <w:r w:rsidRPr="00D24BF8">
        <w:rPr>
          <w:color w:val="000000"/>
        </w:rPr>
        <w:t>average daily real wage of</w:t>
      </w:r>
      <w:r w:rsidRPr="00D24BF8">
        <w:t xml:space="preserve"> about </w:t>
      </w:r>
      <w:r w:rsidR="002856D3" w:rsidRPr="00D24BF8">
        <w:t xml:space="preserve">(NIS </w:t>
      </w:r>
      <w:r w:rsidRPr="00D24BF8">
        <w:t>112</w:t>
      </w:r>
      <w:r w:rsidR="002856D3" w:rsidRPr="00D24BF8">
        <w:t>)</w:t>
      </w:r>
      <w:r w:rsidRPr="00D24BF8">
        <w:t xml:space="preserve"> in the West Bank and </w:t>
      </w:r>
      <w:r w:rsidR="002856D3" w:rsidRPr="00D24BF8">
        <w:t xml:space="preserve">(NIS </w:t>
      </w:r>
      <w:r w:rsidRPr="00D24BF8">
        <w:t>40</w:t>
      </w:r>
      <w:r w:rsidR="002856D3" w:rsidRPr="00D24BF8">
        <w:t>)</w:t>
      </w:r>
      <w:r w:rsidRPr="00D24BF8">
        <w:t xml:space="preserve"> in Gaza Strip, followed by the services activity with </w:t>
      </w:r>
      <w:r w:rsidR="002856D3" w:rsidRPr="00D24BF8">
        <w:t xml:space="preserve">(NIS </w:t>
      </w:r>
      <w:r w:rsidRPr="00D24BF8">
        <w:t>115</w:t>
      </w:r>
      <w:r w:rsidR="002856D3" w:rsidRPr="00D24BF8">
        <w:t>)</w:t>
      </w:r>
      <w:r w:rsidRPr="00D24BF8">
        <w:t xml:space="preserve"> in the West Bank and </w:t>
      </w:r>
      <w:r w:rsidR="002856D3" w:rsidRPr="00D24BF8">
        <w:t xml:space="preserve">(NIS </w:t>
      </w:r>
      <w:r w:rsidRPr="00D24BF8">
        <w:t>73</w:t>
      </w:r>
      <w:r w:rsidR="002856D3" w:rsidRPr="00D24BF8">
        <w:t>)</w:t>
      </w:r>
      <w:r w:rsidRPr="00D24BF8">
        <w:t xml:space="preserve"> in Gaza Strip. While the agriculture activity recorded the lowest average daily wage at </w:t>
      </w:r>
      <w:r w:rsidR="002856D3" w:rsidRPr="00D24BF8">
        <w:t xml:space="preserve">(NIS </w:t>
      </w:r>
      <w:r w:rsidRPr="00D24BF8">
        <w:t>75</w:t>
      </w:r>
      <w:r w:rsidR="002856D3" w:rsidRPr="00D24BF8">
        <w:t>)</w:t>
      </w:r>
      <w:r w:rsidRPr="00D24BF8">
        <w:t xml:space="preserve"> in the West Bank and </w:t>
      </w:r>
      <w:r w:rsidR="002856D3" w:rsidRPr="00D24BF8">
        <w:t xml:space="preserve">(NIS </w:t>
      </w:r>
      <w:r w:rsidRPr="00D24BF8">
        <w:t>21</w:t>
      </w:r>
      <w:r w:rsidR="002856D3" w:rsidRPr="00D24BF8">
        <w:t>)</w:t>
      </w:r>
      <w:r w:rsidRPr="00D24BF8">
        <w:t xml:space="preserve"> in Gaza Strip.</w:t>
      </w:r>
    </w:p>
    <w:p w:rsidR="00355ACF" w:rsidRPr="00D24BF8" w:rsidRDefault="00355ACF" w:rsidP="00355ACF">
      <w:pPr>
        <w:bidi w:val="0"/>
        <w:jc w:val="center"/>
        <w:rPr>
          <w:rFonts w:eastAsia="Arial Unicode MS"/>
          <w:color w:val="000000"/>
          <w:sz w:val="26"/>
          <w:szCs w:val="26"/>
        </w:rPr>
      </w:pPr>
    </w:p>
    <w:p w:rsidR="00EA06E4" w:rsidRPr="00560A36" w:rsidRDefault="00EA06E4" w:rsidP="002856D3">
      <w:pPr>
        <w:pStyle w:val="BodyText2"/>
        <w:jc w:val="center"/>
      </w:pPr>
      <w:r w:rsidRPr="00560A36">
        <w:rPr>
          <w:b/>
          <w:bCs/>
        </w:rPr>
        <w:t xml:space="preserve">Average Real Wage in NIS for Wage Employees in the Private Sector by </w:t>
      </w:r>
      <w:r w:rsidR="002856D3">
        <w:rPr>
          <w:b/>
          <w:bCs/>
        </w:rPr>
        <w:t>R</w:t>
      </w:r>
      <w:r w:rsidR="002856D3" w:rsidRPr="00560A36">
        <w:rPr>
          <w:b/>
          <w:bCs/>
        </w:rPr>
        <w:t>egion</w:t>
      </w:r>
      <w:r w:rsidRPr="00560A36">
        <w:rPr>
          <w:b/>
          <w:bCs/>
        </w:rPr>
        <w:t xml:space="preserve">, </w:t>
      </w:r>
      <w:r w:rsidR="00DC67D5" w:rsidRPr="00560A36">
        <w:rPr>
          <w:b/>
          <w:bCs/>
        </w:rPr>
        <w:t>2015</w:t>
      </w:r>
      <w:r w:rsidRPr="00560A36">
        <w:rPr>
          <w:b/>
          <w:bCs/>
        </w:rPr>
        <w:t>-</w:t>
      </w:r>
      <w:r w:rsidR="00DC67D5" w:rsidRPr="00560A36">
        <w:rPr>
          <w:b/>
          <w:bCs/>
        </w:rPr>
        <w:t>2019</w:t>
      </w:r>
    </w:p>
    <w:p w:rsidR="00B12129" w:rsidRPr="00560A36" w:rsidRDefault="00B12129" w:rsidP="00EA06E4">
      <w:pPr>
        <w:pStyle w:val="BodyText2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7"/>
      </w:tblGrid>
      <w:tr w:rsidR="00462CED" w:rsidRPr="00560A36" w:rsidTr="00BB177C">
        <w:tc>
          <w:tcPr>
            <w:tcW w:w="9857" w:type="dxa"/>
          </w:tcPr>
          <w:p w:rsidR="00462CED" w:rsidRPr="00560A36" w:rsidRDefault="002C3B6D" w:rsidP="00BB177C">
            <w:pPr>
              <w:pStyle w:val="BodyText2"/>
              <w:jc w:val="both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6096000" cy="2028825"/>
                  <wp:effectExtent l="0" t="0" r="0" b="0"/>
                  <wp:docPr id="1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EA06E4" w:rsidRPr="00560A36" w:rsidRDefault="00EA06E4" w:rsidP="003B0E66">
      <w:pPr>
        <w:pStyle w:val="BodyText2"/>
        <w:jc w:val="both"/>
      </w:pPr>
    </w:p>
    <w:p w:rsidR="00AD1F23" w:rsidRPr="00D24BF8" w:rsidRDefault="00C938BD" w:rsidP="002856D3">
      <w:pPr>
        <w:tabs>
          <w:tab w:val="num" w:pos="900"/>
        </w:tabs>
        <w:bidi w:val="0"/>
        <w:ind w:right="-99"/>
        <w:jc w:val="both"/>
        <w:rPr>
          <w:b/>
          <w:bCs/>
          <w:sz w:val="26"/>
          <w:szCs w:val="26"/>
        </w:rPr>
      </w:pPr>
      <w:r w:rsidRPr="00D24BF8">
        <w:rPr>
          <w:b/>
          <w:bCs/>
          <w:sz w:val="26"/>
          <w:szCs w:val="26"/>
        </w:rPr>
        <w:lastRenderedPageBreak/>
        <w:t xml:space="preserve">About </w:t>
      </w:r>
      <w:r w:rsidR="004F47EF" w:rsidRPr="00D24BF8">
        <w:rPr>
          <w:b/>
          <w:bCs/>
          <w:sz w:val="26"/>
          <w:szCs w:val="26"/>
        </w:rPr>
        <w:t>30</w:t>
      </w:r>
      <w:r w:rsidR="00AD1F23" w:rsidRPr="00D24BF8">
        <w:rPr>
          <w:b/>
          <w:bCs/>
          <w:sz w:val="26"/>
          <w:szCs w:val="26"/>
        </w:rPr>
        <w:t>% of wage employees in the private sector receive less than the</w:t>
      </w:r>
      <w:r w:rsidR="00B37113" w:rsidRPr="00D24BF8">
        <w:rPr>
          <w:b/>
          <w:bCs/>
          <w:sz w:val="26"/>
          <w:szCs w:val="26"/>
        </w:rPr>
        <w:t xml:space="preserve"> monthly</w:t>
      </w:r>
      <w:r w:rsidR="00AD1F23" w:rsidRPr="00D24BF8">
        <w:rPr>
          <w:b/>
          <w:bCs/>
          <w:sz w:val="26"/>
          <w:szCs w:val="26"/>
        </w:rPr>
        <w:t xml:space="preserve"> minimum wage</w:t>
      </w:r>
      <w:r w:rsidR="00E701BB" w:rsidRPr="00D24BF8">
        <w:rPr>
          <w:b/>
          <w:bCs/>
          <w:sz w:val="26"/>
          <w:szCs w:val="26"/>
        </w:rPr>
        <w:t xml:space="preserve"> of</w:t>
      </w:r>
      <w:r w:rsidR="001C0709" w:rsidRPr="00D24BF8">
        <w:rPr>
          <w:b/>
          <w:bCs/>
          <w:sz w:val="26"/>
          <w:szCs w:val="26"/>
        </w:rPr>
        <w:t xml:space="preserve"> </w:t>
      </w:r>
      <w:r w:rsidR="00AD1F23" w:rsidRPr="00D24BF8">
        <w:rPr>
          <w:b/>
          <w:bCs/>
          <w:sz w:val="26"/>
          <w:szCs w:val="26"/>
        </w:rPr>
        <w:t>(</w:t>
      </w:r>
      <w:r w:rsidR="002856D3" w:rsidRPr="00D24BF8">
        <w:rPr>
          <w:b/>
          <w:bCs/>
          <w:sz w:val="26"/>
          <w:szCs w:val="26"/>
        </w:rPr>
        <w:t xml:space="preserve">NIS </w:t>
      </w:r>
      <w:r w:rsidR="00AD1F23" w:rsidRPr="00D24BF8">
        <w:rPr>
          <w:b/>
          <w:bCs/>
          <w:sz w:val="26"/>
          <w:szCs w:val="26"/>
        </w:rPr>
        <w:t>1,450) in Palestine.</w:t>
      </w:r>
    </w:p>
    <w:p w:rsidR="00CA1C05" w:rsidRPr="00D24BF8" w:rsidRDefault="00635F43" w:rsidP="0014757B">
      <w:pPr>
        <w:pStyle w:val="NoSpacing"/>
        <w:bidi w:val="0"/>
        <w:ind w:left="48"/>
        <w:jc w:val="both"/>
        <w:rPr>
          <w:color w:val="000000"/>
        </w:rPr>
      </w:pPr>
      <w:r w:rsidRPr="00D24BF8">
        <w:t>The number of wage employees in the private sector who received less than the minimum monthly wage (NIS 1,450) reached about 109</w:t>
      </w:r>
      <w:r w:rsidRPr="00D24BF8">
        <w:rPr>
          <w:rtl/>
        </w:rPr>
        <w:t xml:space="preserve"> </w:t>
      </w:r>
      <w:r w:rsidRPr="00D24BF8">
        <w:t>thousand</w:t>
      </w:r>
      <w:r w:rsidRPr="00D24BF8">
        <w:rPr>
          <w:rFonts w:eastAsia="Calibri"/>
          <w:color w:val="000000"/>
        </w:rPr>
        <w:t xml:space="preserve">; out </w:t>
      </w:r>
      <w:r w:rsidRPr="00D24BF8">
        <w:t>of which 24</w:t>
      </w:r>
      <w:r w:rsidR="00CA1C05" w:rsidRPr="00D24BF8">
        <w:t xml:space="preserve"> thousand</w:t>
      </w:r>
      <w:r w:rsidRPr="00D24BF8">
        <w:rPr>
          <w:rFonts w:eastAsia="Calibri"/>
          <w:color w:val="000000"/>
        </w:rPr>
        <w:t xml:space="preserve"> wage employees in the West Bank (about 10% of the total number of wage employees in the private sector in the West Bank) with a</w:t>
      </w:r>
      <w:r w:rsidR="0014757B" w:rsidRPr="00D24BF8">
        <w:rPr>
          <w:rFonts w:eastAsia="Calibri"/>
          <w:color w:val="000000"/>
        </w:rPr>
        <w:t>n</w:t>
      </w:r>
      <w:r w:rsidRPr="00D24BF8">
        <w:rPr>
          <w:rFonts w:eastAsia="Calibri"/>
          <w:color w:val="000000"/>
        </w:rPr>
        <w:t xml:space="preserve"> average </w:t>
      </w:r>
      <w:r w:rsidR="0014757B" w:rsidRPr="00D24BF8">
        <w:rPr>
          <w:rFonts w:eastAsia="Calibri"/>
          <w:color w:val="000000"/>
        </w:rPr>
        <w:t xml:space="preserve">monthly </w:t>
      </w:r>
      <w:r w:rsidRPr="00D24BF8">
        <w:rPr>
          <w:rFonts w:eastAsia="Calibri"/>
          <w:color w:val="000000"/>
        </w:rPr>
        <w:t xml:space="preserve">wage </w:t>
      </w:r>
      <w:r w:rsidR="008D55DB" w:rsidRPr="00D24BF8">
        <w:rPr>
          <w:rFonts w:eastAsia="Calibri"/>
          <w:color w:val="000000"/>
        </w:rPr>
        <w:t xml:space="preserve">of </w:t>
      </w:r>
      <w:r w:rsidR="002856D3" w:rsidRPr="00D24BF8">
        <w:rPr>
          <w:rFonts w:eastAsia="Calibri"/>
          <w:color w:val="000000"/>
        </w:rPr>
        <w:t>(</w:t>
      </w:r>
      <w:r w:rsidRPr="00D24BF8">
        <w:rPr>
          <w:rFonts w:eastAsia="Calibri"/>
          <w:color w:val="000000"/>
        </w:rPr>
        <w:t>NIS 1,038</w:t>
      </w:r>
      <w:r w:rsidR="002856D3" w:rsidRPr="00D24BF8">
        <w:rPr>
          <w:rFonts w:eastAsia="Calibri"/>
          <w:color w:val="000000"/>
        </w:rPr>
        <w:t>)</w:t>
      </w:r>
      <w:r w:rsidRPr="00D24BF8">
        <w:rPr>
          <w:rFonts w:eastAsia="Calibri"/>
          <w:color w:val="000000"/>
        </w:rPr>
        <w:t xml:space="preserve"> compared to 84</w:t>
      </w:r>
      <w:r w:rsidR="00CA1C05" w:rsidRPr="00D24BF8">
        <w:rPr>
          <w:rFonts w:eastAsia="Calibri"/>
          <w:color w:val="000000"/>
        </w:rPr>
        <w:t xml:space="preserve"> thousand </w:t>
      </w:r>
      <w:r w:rsidRPr="00D24BF8">
        <w:rPr>
          <w:rFonts w:eastAsia="Calibri"/>
          <w:color w:val="000000"/>
        </w:rPr>
        <w:t>wage employees in Gaza Strip (about 80% of the total number of wage employees in the private sector in Gaza Strip) with a</w:t>
      </w:r>
      <w:r w:rsidR="0014757B" w:rsidRPr="00D24BF8">
        <w:rPr>
          <w:rFonts w:eastAsia="Calibri"/>
          <w:color w:val="000000"/>
        </w:rPr>
        <w:t>n</w:t>
      </w:r>
      <w:r w:rsidRPr="00D24BF8">
        <w:rPr>
          <w:rFonts w:eastAsia="Calibri"/>
          <w:color w:val="000000"/>
        </w:rPr>
        <w:t xml:space="preserve"> </w:t>
      </w:r>
      <w:r w:rsidR="0014757B" w:rsidRPr="00D24BF8">
        <w:rPr>
          <w:rFonts w:eastAsia="Calibri"/>
          <w:color w:val="000000"/>
        </w:rPr>
        <w:t xml:space="preserve">average </w:t>
      </w:r>
      <w:r w:rsidRPr="00D24BF8">
        <w:rPr>
          <w:rFonts w:eastAsia="Calibri"/>
          <w:color w:val="000000"/>
        </w:rPr>
        <w:t>monthly wage</w:t>
      </w:r>
      <w:r w:rsidR="008D55DB" w:rsidRPr="00D24BF8">
        <w:rPr>
          <w:rFonts w:eastAsia="Calibri"/>
          <w:color w:val="000000"/>
        </w:rPr>
        <w:t xml:space="preserve"> of</w:t>
      </w:r>
      <w:r w:rsidRPr="00D24BF8">
        <w:rPr>
          <w:rFonts w:eastAsia="Calibri"/>
          <w:color w:val="000000"/>
        </w:rPr>
        <w:t xml:space="preserve"> </w:t>
      </w:r>
      <w:r w:rsidR="002856D3" w:rsidRPr="00D24BF8">
        <w:rPr>
          <w:rFonts w:eastAsia="Calibri"/>
          <w:color w:val="000000"/>
        </w:rPr>
        <w:t>(</w:t>
      </w:r>
      <w:r w:rsidRPr="00D24BF8">
        <w:rPr>
          <w:rFonts w:eastAsia="Calibri"/>
          <w:color w:val="000000"/>
        </w:rPr>
        <w:t xml:space="preserve">NIS </w:t>
      </w:r>
      <w:r w:rsidR="007B303F" w:rsidRPr="00D24BF8">
        <w:rPr>
          <w:rFonts w:eastAsia="Calibri"/>
          <w:color w:val="000000"/>
        </w:rPr>
        <w:t>660</w:t>
      </w:r>
      <w:r w:rsidR="002856D3" w:rsidRPr="00D24BF8">
        <w:rPr>
          <w:rFonts w:eastAsia="Calibri"/>
          <w:color w:val="000000"/>
        </w:rPr>
        <w:t>)</w:t>
      </w:r>
      <w:r w:rsidR="00602A55" w:rsidRPr="00D24BF8">
        <w:rPr>
          <w:rFonts w:eastAsia="Calibri"/>
          <w:color w:val="000000"/>
        </w:rPr>
        <w:t>.</w:t>
      </w:r>
    </w:p>
    <w:p w:rsidR="00CA1C05" w:rsidRPr="00D24BF8" w:rsidRDefault="00CA1C05" w:rsidP="003F441D">
      <w:pPr>
        <w:pStyle w:val="NoSpacing"/>
        <w:bidi w:val="0"/>
        <w:ind w:left="48"/>
        <w:jc w:val="both"/>
        <w:rPr>
          <w:color w:val="000000"/>
        </w:rPr>
      </w:pPr>
      <w:r w:rsidRPr="00D24BF8">
        <w:rPr>
          <w:color w:val="000000"/>
        </w:rPr>
        <w:t xml:space="preserve">The number of wage employees in the private sector, who received less than </w:t>
      </w:r>
      <w:r w:rsidR="0014757B" w:rsidRPr="00D24BF8">
        <w:rPr>
          <w:color w:val="000000"/>
        </w:rPr>
        <w:t xml:space="preserve">(NIS </w:t>
      </w:r>
      <w:r w:rsidRPr="00D24BF8">
        <w:rPr>
          <w:color w:val="000000"/>
        </w:rPr>
        <w:t>2000</w:t>
      </w:r>
      <w:r w:rsidR="0014757B" w:rsidRPr="00D24BF8">
        <w:rPr>
          <w:color w:val="000000"/>
        </w:rPr>
        <w:t>)</w:t>
      </w:r>
      <w:r w:rsidRPr="00D24BF8">
        <w:rPr>
          <w:color w:val="000000"/>
        </w:rPr>
        <w:t xml:space="preserve"> monthly, is about</w:t>
      </w:r>
      <w:r w:rsidR="00602A55" w:rsidRPr="00D24BF8">
        <w:rPr>
          <w:color w:val="000000"/>
        </w:rPr>
        <w:t xml:space="preserve"> 147 thousand wage employees which is</w:t>
      </w:r>
      <w:r w:rsidRPr="00D24BF8">
        <w:rPr>
          <w:color w:val="000000"/>
        </w:rPr>
        <w:t xml:space="preserve"> 41% of the total wage employees in the private sector (23% in the West Bank, representing about 59 thousand wage employees and 84% in Gaza Strip, representing about 88 thousand wage employees in the private sector</w:t>
      </w:r>
      <w:r w:rsidR="008D55DB" w:rsidRPr="00D24BF8">
        <w:rPr>
          <w:color w:val="000000"/>
        </w:rPr>
        <w:t>. Thus,</w:t>
      </w:r>
      <w:r w:rsidR="003F441D" w:rsidRPr="00D24BF8">
        <w:rPr>
          <w:color w:val="000000"/>
        </w:rPr>
        <w:t xml:space="preserve"> </w:t>
      </w:r>
      <w:r w:rsidR="008D55DB" w:rsidRPr="00D24BF8">
        <w:rPr>
          <w:color w:val="000000"/>
        </w:rPr>
        <w:t xml:space="preserve">the </w:t>
      </w:r>
      <w:r w:rsidR="007B303F" w:rsidRPr="00D24BF8">
        <w:rPr>
          <w:color w:val="000000"/>
        </w:rPr>
        <w:t xml:space="preserve">percentage among males was about 39%, who were concentrated in the activity of trade, restaurants and hotels by 41% compared with 48% of females in the private sector received less than </w:t>
      </w:r>
      <w:r w:rsidR="003F441D" w:rsidRPr="00D24BF8">
        <w:rPr>
          <w:color w:val="000000"/>
        </w:rPr>
        <w:t xml:space="preserve">(NIS </w:t>
      </w:r>
      <w:r w:rsidR="007B303F" w:rsidRPr="00D24BF8">
        <w:rPr>
          <w:color w:val="000000"/>
        </w:rPr>
        <w:t>2000</w:t>
      </w:r>
      <w:r w:rsidR="003F441D" w:rsidRPr="00D24BF8">
        <w:rPr>
          <w:color w:val="000000"/>
        </w:rPr>
        <w:t>)</w:t>
      </w:r>
      <w:r w:rsidR="007B303F" w:rsidRPr="00D24BF8">
        <w:rPr>
          <w:color w:val="000000"/>
        </w:rPr>
        <w:t xml:space="preserve"> per month and concentrated in the education activity (including nurseries, kindergartens and private schools) </w:t>
      </w:r>
      <w:r w:rsidR="003F441D" w:rsidRPr="00D24BF8">
        <w:rPr>
          <w:color w:val="000000"/>
        </w:rPr>
        <w:t xml:space="preserve">by </w:t>
      </w:r>
      <w:r w:rsidR="007B303F" w:rsidRPr="00D24BF8">
        <w:rPr>
          <w:color w:val="000000"/>
        </w:rPr>
        <w:t>34%.</w:t>
      </w:r>
    </w:p>
    <w:p w:rsidR="00896A83" w:rsidRPr="00560A36" w:rsidRDefault="00896A83" w:rsidP="00896A83">
      <w:pPr>
        <w:tabs>
          <w:tab w:val="num" w:pos="900"/>
        </w:tabs>
        <w:bidi w:val="0"/>
        <w:ind w:right="-99"/>
        <w:jc w:val="both"/>
        <w:rPr>
          <w:rtl/>
        </w:rPr>
      </w:pPr>
    </w:p>
    <w:p w:rsidR="003A2ED6" w:rsidRPr="00560A36" w:rsidRDefault="003A2ED6" w:rsidP="00AD1D69">
      <w:pPr>
        <w:pStyle w:val="BodyText2"/>
        <w:jc w:val="both"/>
      </w:pPr>
    </w:p>
    <w:p w:rsidR="00EE156A" w:rsidRPr="00560A36" w:rsidRDefault="00EE156A" w:rsidP="003F441D">
      <w:pPr>
        <w:pStyle w:val="BodyText2"/>
        <w:jc w:val="center"/>
        <w:rPr>
          <w:b/>
          <w:bCs/>
        </w:rPr>
      </w:pPr>
      <w:r w:rsidRPr="00560A36">
        <w:rPr>
          <w:b/>
          <w:bCs/>
        </w:rPr>
        <w:t xml:space="preserve">Percentage of Wage </w:t>
      </w:r>
      <w:r w:rsidR="003F441D">
        <w:rPr>
          <w:b/>
          <w:bCs/>
        </w:rPr>
        <w:t>E</w:t>
      </w:r>
      <w:r w:rsidR="003F441D" w:rsidRPr="00560A36">
        <w:rPr>
          <w:b/>
          <w:bCs/>
        </w:rPr>
        <w:t xml:space="preserve">mployees </w:t>
      </w:r>
      <w:r w:rsidRPr="00560A36">
        <w:rPr>
          <w:b/>
          <w:bCs/>
        </w:rPr>
        <w:t xml:space="preserve">in the Private Sector </w:t>
      </w:r>
      <w:r w:rsidR="003F441D">
        <w:rPr>
          <w:b/>
          <w:bCs/>
        </w:rPr>
        <w:t>w</w:t>
      </w:r>
      <w:r w:rsidR="003F441D" w:rsidRPr="00560A36">
        <w:rPr>
          <w:b/>
          <w:bCs/>
        </w:rPr>
        <w:t xml:space="preserve">ho </w:t>
      </w:r>
      <w:r w:rsidRPr="00560A36">
        <w:rPr>
          <w:b/>
          <w:bCs/>
        </w:rPr>
        <w:t xml:space="preserve">Received Less than Minimum Monthly </w:t>
      </w:r>
      <w:r w:rsidR="00CA1C05" w:rsidRPr="00560A36">
        <w:rPr>
          <w:b/>
          <w:bCs/>
        </w:rPr>
        <w:t>Wage</w:t>
      </w:r>
      <w:r w:rsidR="00B40C91">
        <w:rPr>
          <w:b/>
          <w:bCs/>
        </w:rPr>
        <w:t xml:space="preserve"> (</w:t>
      </w:r>
      <w:r w:rsidR="00181A01">
        <w:rPr>
          <w:b/>
          <w:bCs/>
        </w:rPr>
        <w:t xml:space="preserve">NIS </w:t>
      </w:r>
      <w:r w:rsidR="00B40C91">
        <w:rPr>
          <w:b/>
          <w:bCs/>
        </w:rPr>
        <w:t>1,450)</w:t>
      </w:r>
      <w:r w:rsidRPr="00560A36">
        <w:rPr>
          <w:b/>
          <w:bCs/>
        </w:rPr>
        <w:t xml:space="preserve">, </w:t>
      </w:r>
      <w:r w:rsidR="00973B95" w:rsidRPr="00560A36">
        <w:rPr>
          <w:b/>
          <w:bCs/>
        </w:rPr>
        <w:t>2015</w:t>
      </w:r>
      <w:r w:rsidRPr="00560A36">
        <w:rPr>
          <w:b/>
          <w:bCs/>
        </w:rPr>
        <w:t>-</w:t>
      </w:r>
      <w:r w:rsidR="00973B95" w:rsidRPr="00560A36">
        <w:rPr>
          <w:b/>
          <w:bCs/>
        </w:rPr>
        <w:t>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7"/>
      </w:tblGrid>
      <w:tr w:rsidR="00462CED" w:rsidRPr="00560A36" w:rsidTr="00BB177C">
        <w:tc>
          <w:tcPr>
            <w:tcW w:w="9857" w:type="dxa"/>
          </w:tcPr>
          <w:p w:rsidR="00462CED" w:rsidRPr="00560A36" w:rsidRDefault="002C3B6D" w:rsidP="00BB177C">
            <w:pPr>
              <w:pStyle w:val="BodyText2"/>
              <w:jc w:val="both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6105525" cy="1685925"/>
                  <wp:effectExtent l="0" t="0" r="0" b="0"/>
                  <wp:docPr id="2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EE156A" w:rsidRPr="00560A36" w:rsidRDefault="00EE156A" w:rsidP="00AD1D69">
      <w:pPr>
        <w:pStyle w:val="BodyText2"/>
        <w:jc w:val="both"/>
      </w:pPr>
    </w:p>
    <w:p w:rsidR="00EE156A" w:rsidRPr="00560A36" w:rsidRDefault="00EE156A" w:rsidP="00AD1D69">
      <w:pPr>
        <w:pStyle w:val="BodyText2"/>
        <w:jc w:val="both"/>
      </w:pPr>
    </w:p>
    <w:p w:rsidR="003F6DF7" w:rsidRPr="00D24BF8" w:rsidRDefault="00CA1C05" w:rsidP="003F441D">
      <w:pPr>
        <w:pStyle w:val="BodyText2"/>
        <w:jc w:val="both"/>
        <w:rPr>
          <w:sz w:val="26"/>
          <w:szCs w:val="26"/>
          <w:rtl/>
        </w:rPr>
      </w:pPr>
      <w:r w:rsidRPr="00D24BF8">
        <w:rPr>
          <w:sz w:val="26"/>
          <w:szCs w:val="26"/>
        </w:rPr>
        <w:t xml:space="preserve">In the same context, the </w:t>
      </w:r>
      <w:r w:rsidR="003F6DF7" w:rsidRPr="00D24BF8">
        <w:rPr>
          <w:sz w:val="26"/>
          <w:szCs w:val="26"/>
        </w:rPr>
        <w:t>average actual weekly work hours for wage employees in Palestine was 42 hours; 4</w:t>
      </w:r>
      <w:r w:rsidR="003F441D" w:rsidRPr="00D24BF8">
        <w:rPr>
          <w:sz w:val="26"/>
          <w:szCs w:val="26"/>
        </w:rPr>
        <w:t>0</w:t>
      </w:r>
      <w:r w:rsidR="003F6DF7" w:rsidRPr="00D24BF8">
        <w:rPr>
          <w:sz w:val="26"/>
          <w:szCs w:val="26"/>
        </w:rPr>
        <w:t xml:space="preserve"> hours for wage employees in the public sector, and 43 weekly hours for wage employees in the private sector.</w:t>
      </w:r>
    </w:p>
    <w:p w:rsidR="003F6DF7" w:rsidRPr="00D24BF8" w:rsidRDefault="003F6DF7" w:rsidP="003F441D">
      <w:pPr>
        <w:shd w:val="clear" w:color="auto" w:fill="FFFFFF"/>
        <w:bidi w:val="0"/>
        <w:jc w:val="both"/>
        <w:rPr>
          <w:b/>
          <w:bCs/>
          <w:sz w:val="26"/>
          <w:szCs w:val="26"/>
        </w:rPr>
      </w:pPr>
    </w:p>
    <w:p w:rsidR="002054FF" w:rsidRPr="00D24BF8" w:rsidRDefault="006F550A" w:rsidP="006F550A">
      <w:pPr>
        <w:shd w:val="clear" w:color="auto" w:fill="FFFFFF"/>
        <w:jc w:val="right"/>
        <w:rPr>
          <w:rFonts w:hint="cs"/>
          <w:b/>
          <w:bCs/>
          <w:sz w:val="26"/>
          <w:szCs w:val="26"/>
          <w:rtl/>
        </w:rPr>
      </w:pPr>
      <w:r w:rsidRPr="00D24BF8">
        <w:rPr>
          <w:b/>
          <w:bCs/>
          <w:sz w:val="26"/>
          <w:szCs w:val="26"/>
        </w:rPr>
        <w:t>Less than</w:t>
      </w:r>
      <w:r w:rsidR="002054FF" w:rsidRPr="00D24BF8">
        <w:rPr>
          <w:b/>
          <w:bCs/>
          <w:sz w:val="26"/>
          <w:szCs w:val="26"/>
        </w:rPr>
        <w:t xml:space="preserve"> one </w:t>
      </w:r>
      <w:r w:rsidRPr="00D24BF8">
        <w:rPr>
          <w:b/>
          <w:bCs/>
          <w:sz w:val="26"/>
          <w:szCs w:val="26"/>
        </w:rPr>
        <w:t>third</w:t>
      </w:r>
      <w:r w:rsidR="002054FF" w:rsidRPr="00D24BF8">
        <w:rPr>
          <w:b/>
          <w:bCs/>
          <w:sz w:val="26"/>
          <w:szCs w:val="26"/>
        </w:rPr>
        <w:t xml:space="preserve"> of </w:t>
      </w:r>
      <w:r w:rsidR="003A2ED6" w:rsidRPr="00D24BF8">
        <w:rPr>
          <w:b/>
          <w:bCs/>
          <w:sz w:val="26"/>
          <w:szCs w:val="26"/>
        </w:rPr>
        <w:t xml:space="preserve">private sector wage employees receive benefits </w:t>
      </w:r>
    </w:p>
    <w:p w:rsidR="00560A36" w:rsidRPr="00D24BF8" w:rsidRDefault="002054FF" w:rsidP="00C229E1">
      <w:pPr>
        <w:shd w:val="clear" w:color="auto" w:fill="FFFFFF"/>
        <w:bidi w:val="0"/>
        <w:jc w:val="both"/>
      </w:pPr>
      <w:r w:rsidRPr="00D24BF8">
        <w:t xml:space="preserve">About </w:t>
      </w:r>
      <w:r w:rsidR="006F550A" w:rsidRPr="00D24BF8">
        <w:t>30</w:t>
      </w:r>
      <w:r w:rsidRPr="00D24BF8">
        <w:t>% of</w:t>
      </w:r>
      <w:r w:rsidR="003A2ED6" w:rsidRPr="00D24BF8">
        <w:t xml:space="preserve"> the</w:t>
      </w:r>
      <w:r w:rsidRPr="00D24BF8">
        <w:t xml:space="preserve"> private sector wage employees</w:t>
      </w:r>
      <w:r w:rsidR="003F6DF7" w:rsidRPr="00D24BF8">
        <w:t xml:space="preserve"> </w:t>
      </w:r>
      <w:r w:rsidRPr="00D24BF8">
        <w:t xml:space="preserve">receive </w:t>
      </w:r>
      <w:r w:rsidR="003A2ED6" w:rsidRPr="00D24BF8">
        <w:t>benefits</w:t>
      </w:r>
      <w:r w:rsidR="00C967C0" w:rsidRPr="00D24BF8">
        <w:t xml:space="preserve"> </w:t>
      </w:r>
      <w:r w:rsidRPr="00D24BF8">
        <w:t>(</w:t>
      </w:r>
      <w:r w:rsidR="003512B3" w:rsidRPr="00D24BF8">
        <w:rPr>
          <w:rFonts w:eastAsia="Calibri"/>
          <w:color w:val="000000"/>
          <w:lang w:eastAsia="en-US"/>
        </w:rPr>
        <w:t>retirement/end-of-service gratuity</w:t>
      </w:r>
      <w:r w:rsidRPr="00D24BF8">
        <w:t>,</w:t>
      </w:r>
      <w:r w:rsidR="003F6DF7" w:rsidRPr="00D24BF8">
        <w:t xml:space="preserve"> </w:t>
      </w:r>
      <w:r w:rsidRPr="00D24BF8">
        <w:t>paid annual leave and paid sick leave</w:t>
      </w:r>
      <w:r w:rsidR="008D55DB" w:rsidRPr="00D24BF8">
        <w:t xml:space="preserve">). There </w:t>
      </w:r>
      <w:r w:rsidR="00560A36" w:rsidRPr="00D24BF8">
        <w:t>are about 188,000 wage employees in the private sector working without a work contract</w:t>
      </w:r>
      <w:r w:rsidR="008D55DB" w:rsidRPr="00D24BF8">
        <w:t xml:space="preserve">. The </w:t>
      </w:r>
      <w:r w:rsidR="006F550A" w:rsidRPr="00D24BF8">
        <w:t xml:space="preserve">number of employed </w:t>
      </w:r>
      <w:r w:rsidR="00C229E1" w:rsidRPr="00D24BF8">
        <w:t>individuals</w:t>
      </w:r>
      <w:r w:rsidR="008D55DB" w:rsidRPr="00D24BF8">
        <w:t xml:space="preserve"> </w:t>
      </w:r>
      <w:r w:rsidR="006F550A" w:rsidRPr="00D24BF8">
        <w:t xml:space="preserve">in the private sector who </w:t>
      </w:r>
      <w:r w:rsidR="008D55DB" w:rsidRPr="00D24BF8">
        <w:t>have signed</w:t>
      </w:r>
      <w:r w:rsidR="006F550A" w:rsidRPr="00D24BF8">
        <w:t xml:space="preserve"> </w:t>
      </w:r>
      <w:r w:rsidR="008D55DB" w:rsidRPr="00D24BF8">
        <w:t xml:space="preserve">permanent work </w:t>
      </w:r>
      <w:r w:rsidR="006F550A" w:rsidRPr="00D24BF8">
        <w:t>contract</w:t>
      </w:r>
      <w:r w:rsidR="008D55DB" w:rsidRPr="00D24BF8">
        <w:t>s</w:t>
      </w:r>
      <w:r w:rsidR="008B1FF8" w:rsidRPr="00D24BF8">
        <w:t xml:space="preserve"> was </w:t>
      </w:r>
      <w:r w:rsidR="009271B5" w:rsidRPr="00D24BF8">
        <w:t>67</w:t>
      </w:r>
      <w:r w:rsidR="008B1FF8" w:rsidRPr="00D24BF8">
        <w:t xml:space="preserve"> thousand empl</w:t>
      </w:r>
      <w:r w:rsidR="00560A36" w:rsidRPr="00D24BF8">
        <w:t>oyed</w:t>
      </w:r>
      <w:r w:rsidR="008D55DB" w:rsidRPr="00D24BF8">
        <w:t xml:space="preserve"> </w:t>
      </w:r>
      <w:r w:rsidR="00C229E1" w:rsidRPr="00D24BF8">
        <w:t>individuals</w:t>
      </w:r>
      <w:r w:rsidR="00560A36" w:rsidRPr="00D24BF8">
        <w:t>.</w:t>
      </w:r>
    </w:p>
    <w:p w:rsidR="002054FF" w:rsidRPr="00D24BF8" w:rsidRDefault="009271B5" w:rsidP="00C229E1">
      <w:pPr>
        <w:shd w:val="clear" w:color="auto" w:fill="FFFFFF"/>
        <w:bidi w:val="0"/>
        <w:jc w:val="both"/>
      </w:pPr>
      <w:r w:rsidRPr="00D24BF8">
        <w:t>136</w:t>
      </w:r>
      <w:r w:rsidR="008B1FF8" w:rsidRPr="00D24BF8">
        <w:t xml:space="preserve"> thousand employed </w:t>
      </w:r>
      <w:r w:rsidR="003512B3" w:rsidRPr="00D24BF8">
        <w:t xml:space="preserve">individual </w:t>
      </w:r>
      <w:r w:rsidR="008B1FF8" w:rsidRPr="00D24BF8">
        <w:t xml:space="preserve">in the private sector </w:t>
      </w:r>
      <w:r w:rsidR="008D55DB" w:rsidRPr="00D24BF8">
        <w:t xml:space="preserve">signed </w:t>
      </w:r>
      <w:r w:rsidR="008B1FF8" w:rsidRPr="00D24BF8">
        <w:t>tempora</w:t>
      </w:r>
      <w:r w:rsidR="008D55DB" w:rsidRPr="00D24BF8">
        <w:t>ry</w:t>
      </w:r>
      <w:r w:rsidR="008B1FF8" w:rsidRPr="00D24BF8">
        <w:t xml:space="preserve"> contract</w:t>
      </w:r>
      <w:r w:rsidR="008D55DB" w:rsidRPr="00D24BF8">
        <w:t>s</w:t>
      </w:r>
      <w:r w:rsidR="008B1FF8" w:rsidRPr="00D24BF8">
        <w:t xml:space="preserve">, while about </w:t>
      </w:r>
      <w:r w:rsidR="003512B3" w:rsidRPr="00D24BF8">
        <w:t>48</w:t>
      </w:r>
      <w:r w:rsidR="008B1FF8" w:rsidRPr="00D24BF8">
        <w:t xml:space="preserve">% of </w:t>
      </w:r>
      <w:r w:rsidR="008D55DB" w:rsidRPr="00D24BF8">
        <w:t xml:space="preserve">female </w:t>
      </w:r>
      <w:r w:rsidR="008B1FF8" w:rsidRPr="00D24BF8">
        <w:t>wage employees in</w:t>
      </w:r>
      <w:r w:rsidR="008D55DB" w:rsidRPr="00D24BF8">
        <w:t xml:space="preserve"> the</w:t>
      </w:r>
      <w:r w:rsidR="008B1FF8" w:rsidRPr="00D24BF8">
        <w:t xml:space="preserve"> private sector got a paid maternity leave.</w:t>
      </w:r>
    </w:p>
    <w:p w:rsidR="003F6DF7" w:rsidRPr="00560A36" w:rsidRDefault="003F6DF7" w:rsidP="003F6DF7">
      <w:pPr>
        <w:shd w:val="clear" w:color="auto" w:fill="FFFFFF"/>
        <w:bidi w:val="0"/>
        <w:jc w:val="both"/>
      </w:pPr>
    </w:p>
    <w:p w:rsidR="00DB652B" w:rsidRPr="00560A36" w:rsidRDefault="00DB652B" w:rsidP="00DB652B">
      <w:pPr>
        <w:pStyle w:val="Heading2"/>
        <w:shd w:val="clear" w:color="auto" w:fill="FFFFFF"/>
        <w:bidi w:val="0"/>
        <w:spacing w:before="0" w:after="0"/>
        <w:jc w:val="right"/>
        <w:rPr>
          <w:rFonts w:ascii="Times New Roman" w:hAnsi="Times New Roman"/>
          <w:i w:val="0"/>
          <w:iCs w:val="0"/>
          <w:color w:val="222222"/>
          <w:sz w:val="24"/>
          <w:szCs w:val="24"/>
        </w:rPr>
      </w:pPr>
    </w:p>
    <w:p w:rsidR="00DB652B" w:rsidRPr="00D24BF8" w:rsidRDefault="007B303F" w:rsidP="00C229E1">
      <w:pPr>
        <w:shd w:val="clear" w:color="auto" w:fill="FFFFFF"/>
        <w:bidi w:val="0"/>
        <w:jc w:val="both"/>
        <w:rPr>
          <w:sz w:val="22"/>
          <w:szCs w:val="22"/>
        </w:rPr>
      </w:pPr>
      <w:r w:rsidRPr="00D24BF8">
        <w:rPr>
          <w:b/>
          <w:bCs/>
          <w:sz w:val="22"/>
          <w:szCs w:val="22"/>
        </w:rPr>
        <w:t>Note</w:t>
      </w:r>
      <w:r w:rsidRPr="00D24BF8">
        <w:rPr>
          <w:sz w:val="22"/>
          <w:szCs w:val="22"/>
        </w:rPr>
        <w:t xml:space="preserve">: The private sector also includes </w:t>
      </w:r>
      <w:r w:rsidR="003F441D" w:rsidRPr="00D24BF8">
        <w:rPr>
          <w:sz w:val="22"/>
          <w:szCs w:val="22"/>
        </w:rPr>
        <w:t xml:space="preserve">employed </w:t>
      </w:r>
      <w:r w:rsidR="00C229E1" w:rsidRPr="00D24BF8">
        <w:rPr>
          <w:sz w:val="22"/>
          <w:szCs w:val="22"/>
        </w:rPr>
        <w:t>individuals</w:t>
      </w:r>
      <w:r w:rsidR="003F441D" w:rsidRPr="00D24BF8">
        <w:rPr>
          <w:sz w:val="22"/>
          <w:szCs w:val="22"/>
        </w:rPr>
        <w:t xml:space="preserve"> </w:t>
      </w:r>
      <w:r w:rsidRPr="00D24BF8">
        <w:rPr>
          <w:sz w:val="22"/>
          <w:szCs w:val="22"/>
        </w:rPr>
        <w:t xml:space="preserve">in </w:t>
      </w:r>
      <w:r w:rsidR="003A32D3" w:rsidRPr="00D24BF8">
        <w:rPr>
          <w:sz w:val="22"/>
          <w:szCs w:val="22"/>
        </w:rPr>
        <w:t>the I</w:t>
      </w:r>
      <w:r w:rsidRPr="00D24BF8">
        <w:rPr>
          <w:sz w:val="22"/>
          <w:szCs w:val="22"/>
        </w:rPr>
        <w:t>nternational</w:t>
      </w:r>
      <w:r w:rsidR="003F441D" w:rsidRPr="00D24BF8">
        <w:rPr>
          <w:sz w:val="22"/>
          <w:szCs w:val="22"/>
        </w:rPr>
        <w:t xml:space="preserve"> agencies</w:t>
      </w:r>
      <w:r w:rsidR="003A32D3" w:rsidRPr="00D24BF8">
        <w:rPr>
          <w:sz w:val="22"/>
          <w:szCs w:val="22"/>
        </w:rPr>
        <w:t>,</w:t>
      </w:r>
      <w:r w:rsidRPr="00D24BF8">
        <w:rPr>
          <w:sz w:val="22"/>
          <w:szCs w:val="22"/>
        </w:rPr>
        <w:t xml:space="preserve"> </w:t>
      </w:r>
      <w:r w:rsidR="003A32D3" w:rsidRPr="00D24BF8">
        <w:rPr>
          <w:sz w:val="22"/>
          <w:szCs w:val="22"/>
        </w:rPr>
        <w:t>UNRWA and non</w:t>
      </w:r>
      <w:r w:rsidR="003F441D" w:rsidRPr="00D24BF8">
        <w:rPr>
          <w:sz w:val="22"/>
          <w:szCs w:val="22"/>
        </w:rPr>
        <w:t>-</w:t>
      </w:r>
      <w:r w:rsidR="003A32D3" w:rsidRPr="00D24BF8">
        <w:rPr>
          <w:sz w:val="22"/>
          <w:szCs w:val="22"/>
        </w:rPr>
        <w:t xml:space="preserve">profit </w:t>
      </w:r>
      <w:r w:rsidRPr="00D24BF8">
        <w:rPr>
          <w:sz w:val="22"/>
          <w:szCs w:val="22"/>
        </w:rPr>
        <w:t>organizations.</w:t>
      </w:r>
    </w:p>
    <w:p w:rsidR="00DE3068" w:rsidRPr="00560A36" w:rsidRDefault="00DE3068" w:rsidP="00AD1D69">
      <w:pPr>
        <w:pStyle w:val="BodyText2"/>
        <w:jc w:val="both"/>
      </w:pPr>
    </w:p>
    <w:p w:rsidR="00EF799F" w:rsidRPr="00560A36" w:rsidRDefault="00EF799F" w:rsidP="001E47CD">
      <w:pPr>
        <w:pStyle w:val="BodyText2"/>
        <w:jc w:val="both"/>
      </w:pPr>
    </w:p>
    <w:sectPr w:rsidR="00EF799F" w:rsidRPr="00560A36" w:rsidSect="00731DF4">
      <w:type w:val="continuous"/>
      <w:pgSz w:w="11909" w:h="16834" w:code="9"/>
      <w:pgMar w:top="1134" w:right="964" w:bottom="1134" w:left="964" w:header="567" w:footer="51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D59" w:rsidRPr="00FD6962" w:rsidRDefault="00E53D59" w:rsidP="00FD6962">
      <w:r>
        <w:separator/>
      </w:r>
    </w:p>
  </w:endnote>
  <w:endnote w:type="continuationSeparator" w:id="0">
    <w:p w:rsidR="00E53D59" w:rsidRPr="00FD6962" w:rsidRDefault="00E53D59" w:rsidP="00FD6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D59" w:rsidRPr="00FD6962" w:rsidRDefault="00E53D59" w:rsidP="00FD6962">
      <w:r>
        <w:separator/>
      </w:r>
    </w:p>
  </w:footnote>
  <w:footnote w:type="continuationSeparator" w:id="0">
    <w:p w:rsidR="00E53D59" w:rsidRPr="00FD6962" w:rsidRDefault="00E53D59" w:rsidP="00FD69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10A38"/>
    <w:multiLevelType w:val="hybridMultilevel"/>
    <w:tmpl w:val="8C229776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26B"/>
    <w:rsid w:val="000034FA"/>
    <w:rsid w:val="0000508B"/>
    <w:rsid w:val="000070A0"/>
    <w:rsid w:val="00024E65"/>
    <w:rsid w:val="000252DA"/>
    <w:rsid w:val="00030DE4"/>
    <w:rsid w:val="000321B4"/>
    <w:rsid w:val="0003751C"/>
    <w:rsid w:val="0004525B"/>
    <w:rsid w:val="000616E7"/>
    <w:rsid w:val="00061961"/>
    <w:rsid w:val="000672E0"/>
    <w:rsid w:val="00073FDE"/>
    <w:rsid w:val="00093A09"/>
    <w:rsid w:val="00094E6F"/>
    <w:rsid w:val="00097919"/>
    <w:rsid w:val="000B1C97"/>
    <w:rsid w:val="000B5233"/>
    <w:rsid w:val="000B667C"/>
    <w:rsid w:val="000B6FFF"/>
    <w:rsid w:val="000B7374"/>
    <w:rsid w:val="000C03A8"/>
    <w:rsid w:val="000C3067"/>
    <w:rsid w:val="000C5ED1"/>
    <w:rsid w:val="000C7246"/>
    <w:rsid w:val="000E08ED"/>
    <w:rsid w:val="000E3BAB"/>
    <w:rsid w:val="000E5078"/>
    <w:rsid w:val="000E770B"/>
    <w:rsid w:val="000F3829"/>
    <w:rsid w:val="000F4F44"/>
    <w:rsid w:val="0011738D"/>
    <w:rsid w:val="001235AF"/>
    <w:rsid w:val="00126F31"/>
    <w:rsid w:val="00143F41"/>
    <w:rsid w:val="0014757B"/>
    <w:rsid w:val="0015434D"/>
    <w:rsid w:val="00160612"/>
    <w:rsid w:val="00162095"/>
    <w:rsid w:val="00163682"/>
    <w:rsid w:val="00163C99"/>
    <w:rsid w:val="001642AD"/>
    <w:rsid w:val="0017271F"/>
    <w:rsid w:val="00181A01"/>
    <w:rsid w:val="0018455E"/>
    <w:rsid w:val="001969ED"/>
    <w:rsid w:val="001B45E4"/>
    <w:rsid w:val="001C0709"/>
    <w:rsid w:val="001C6DA9"/>
    <w:rsid w:val="001D3A87"/>
    <w:rsid w:val="001D459A"/>
    <w:rsid w:val="001D556B"/>
    <w:rsid w:val="001E45E8"/>
    <w:rsid w:val="001E47CD"/>
    <w:rsid w:val="001F50C1"/>
    <w:rsid w:val="001F7196"/>
    <w:rsid w:val="00200965"/>
    <w:rsid w:val="00201353"/>
    <w:rsid w:val="00202AC3"/>
    <w:rsid w:val="002054FF"/>
    <w:rsid w:val="002058F5"/>
    <w:rsid w:val="002079D1"/>
    <w:rsid w:val="00210C39"/>
    <w:rsid w:val="0022011B"/>
    <w:rsid w:val="002263F4"/>
    <w:rsid w:val="002345E0"/>
    <w:rsid w:val="00235057"/>
    <w:rsid w:val="00242632"/>
    <w:rsid w:val="0025399F"/>
    <w:rsid w:val="00255020"/>
    <w:rsid w:val="00256823"/>
    <w:rsid w:val="00262B83"/>
    <w:rsid w:val="002667DA"/>
    <w:rsid w:val="002754B7"/>
    <w:rsid w:val="002856D3"/>
    <w:rsid w:val="00286CCB"/>
    <w:rsid w:val="002954CE"/>
    <w:rsid w:val="002958EC"/>
    <w:rsid w:val="002B3580"/>
    <w:rsid w:val="002B418F"/>
    <w:rsid w:val="002B7440"/>
    <w:rsid w:val="002C3B6D"/>
    <w:rsid w:val="002C5650"/>
    <w:rsid w:val="002D436E"/>
    <w:rsid w:val="002D4401"/>
    <w:rsid w:val="002D67E7"/>
    <w:rsid w:val="002E21BA"/>
    <w:rsid w:val="002E7420"/>
    <w:rsid w:val="002F0A86"/>
    <w:rsid w:val="002F68BF"/>
    <w:rsid w:val="002F6E9E"/>
    <w:rsid w:val="003126E8"/>
    <w:rsid w:val="00323974"/>
    <w:rsid w:val="0032630A"/>
    <w:rsid w:val="003355CB"/>
    <w:rsid w:val="00336EDA"/>
    <w:rsid w:val="003512B3"/>
    <w:rsid w:val="0035568C"/>
    <w:rsid w:val="00355ACF"/>
    <w:rsid w:val="0036004A"/>
    <w:rsid w:val="00360A92"/>
    <w:rsid w:val="00363984"/>
    <w:rsid w:val="00363AE0"/>
    <w:rsid w:val="00385F9E"/>
    <w:rsid w:val="003A2ED6"/>
    <w:rsid w:val="003A32D3"/>
    <w:rsid w:val="003B0121"/>
    <w:rsid w:val="003B0E66"/>
    <w:rsid w:val="003B4CF3"/>
    <w:rsid w:val="003B7806"/>
    <w:rsid w:val="003C3710"/>
    <w:rsid w:val="003C41A8"/>
    <w:rsid w:val="003C47C3"/>
    <w:rsid w:val="003C4C68"/>
    <w:rsid w:val="003C631C"/>
    <w:rsid w:val="003D320C"/>
    <w:rsid w:val="003D4AAA"/>
    <w:rsid w:val="003D4B7D"/>
    <w:rsid w:val="003E0CF3"/>
    <w:rsid w:val="003F347F"/>
    <w:rsid w:val="003F40B3"/>
    <w:rsid w:val="003F441D"/>
    <w:rsid w:val="003F6DF7"/>
    <w:rsid w:val="00400A93"/>
    <w:rsid w:val="004179B5"/>
    <w:rsid w:val="00421525"/>
    <w:rsid w:val="00422E34"/>
    <w:rsid w:val="004231EC"/>
    <w:rsid w:val="0042645B"/>
    <w:rsid w:val="00432F47"/>
    <w:rsid w:val="00434441"/>
    <w:rsid w:val="00435C2D"/>
    <w:rsid w:val="004361D7"/>
    <w:rsid w:val="004373A7"/>
    <w:rsid w:val="00445779"/>
    <w:rsid w:val="00447080"/>
    <w:rsid w:val="00447881"/>
    <w:rsid w:val="0045164E"/>
    <w:rsid w:val="00453F95"/>
    <w:rsid w:val="004545E3"/>
    <w:rsid w:val="00457ABB"/>
    <w:rsid w:val="00462CED"/>
    <w:rsid w:val="00495275"/>
    <w:rsid w:val="004A44FD"/>
    <w:rsid w:val="004A4580"/>
    <w:rsid w:val="004B118E"/>
    <w:rsid w:val="004B7A52"/>
    <w:rsid w:val="004C11FC"/>
    <w:rsid w:val="004C6811"/>
    <w:rsid w:val="004D236B"/>
    <w:rsid w:val="004D4FA4"/>
    <w:rsid w:val="004E1878"/>
    <w:rsid w:val="004E71C3"/>
    <w:rsid w:val="004F1DB6"/>
    <w:rsid w:val="004F47EF"/>
    <w:rsid w:val="004F545B"/>
    <w:rsid w:val="004F5E79"/>
    <w:rsid w:val="00502A7A"/>
    <w:rsid w:val="00505F32"/>
    <w:rsid w:val="00531100"/>
    <w:rsid w:val="00544042"/>
    <w:rsid w:val="005519AC"/>
    <w:rsid w:val="00560A36"/>
    <w:rsid w:val="00561D3D"/>
    <w:rsid w:val="0056310C"/>
    <w:rsid w:val="00575171"/>
    <w:rsid w:val="00575DC0"/>
    <w:rsid w:val="0059555B"/>
    <w:rsid w:val="005A0F0A"/>
    <w:rsid w:val="005A59BE"/>
    <w:rsid w:val="005A79AE"/>
    <w:rsid w:val="005B63F5"/>
    <w:rsid w:val="005B7385"/>
    <w:rsid w:val="005C33FB"/>
    <w:rsid w:val="005C3BBF"/>
    <w:rsid w:val="005C6E68"/>
    <w:rsid w:val="005C76A8"/>
    <w:rsid w:val="005D4F01"/>
    <w:rsid w:val="005E1A0E"/>
    <w:rsid w:val="005E1DF3"/>
    <w:rsid w:val="005E2BF4"/>
    <w:rsid w:val="005E60A3"/>
    <w:rsid w:val="005E69CC"/>
    <w:rsid w:val="005E710A"/>
    <w:rsid w:val="005E7510"/>
    <w:rsid w:val="005F7114"/>
    <w:rsid w:val="005F74A1"/>
    <w:rsid w:val="0060086A"/>
    <w:rsid w:val="00602A55"/>
    <w:rsid w:val="006034ED"/>
    <w:rsid w:val="00603CA9"/>
    <w:rsid w:val="006055E9"/>
    <w:rsid w:val="00607574"/>
    <w:rsid w:val="00610CED"/>
    <w:rsid w:val="00621843"/>
    <w:rsid w:val="00627760"/>
    <w:rsid w:val="00635F43"/>
    <w:rsid w:val="00642AE7"/>
    <w:rsid w:val="00653666"/>
    <w:rsid w:val="006553E4"/>
    <w:rsid w:val="00655FB8"/>
    <w:rsid w:val="00657A17"/>
    <w:rsid w:val="00665AA7"/>
    <w:rsid w:val="00665AEE"/>
    <w:rsid w:val="00675D78"/>
    <w:rsid w:val="0067671B"/>
    <w:rsid w:val="00677A20"/>
    <w:rsid w:val="006B7184"/>
    <w:rsid w:val="006C0780"/>
    <w:rsid w:val="006D61E8"/>
    <w:rsid w:val="006E2247"/>
    <w:rsid w:val="006E559E"/>
    <w:rsid w:val="006E6DA3"/>
    <w:rsid w:val="006F064E"/>
    <w:rsid w:val="006F550A"/>
    <w:rsid w:val="006F686D"/>
    <w:rsid w:val="00702FB1"/>
    <w:rsid w:val="007141DB"/>
    <w:rsid w:val="00716933"/>
    <w:rsid w:val="00731DF4"/>
    <w:rsid w:val="00731F49"/>
    <w:rsid w:val="00734C29"/>
    <w:rsid w:val="0074349A"/>
    <w:rsid w:val="007510FA"/>
    <w:rsid w:val="00760294"/>
    <w:rsid w:val="00763522"/>
    <w:rsid w:val="007717ED"/>
    <w:rsid w:val="00777A16"/>
    <w:rsid w:val="007807A1"/>
    <w:rsid w:val="007A1474"/>
    <w:rsid w:val="007A4EB0"/>
    <w:rsid w:val="007A58B1"/>
    <w:rsid w:val="007B303F"/>
    <w:rsid w:val="007B7E90"/>
    <w:rsid w:val="007C167C"/>
    <w:rsid w:val="007C7302"/>
    <w:rsid w:val="007E01CC"/>
    <w:rsid w:val="008013CD"/>
    <w:rsid w:val="00810A04"/>
    <w:rsid w:val="0081428F"/>
    <w:rsid w:val="00821B04"/>
    <w:rsid w:val="0082326B"/>
    <w:rsid w:val="008463E0"/>
    <w:rsid w:val="008521FE"/>
    <w:rsid w:val="0085734C"/>
    <w:rsid w:val="00876122"/>
    <w:rsid w:val="00883434"/>
    <w:rsid w:val="00893538"/>
    <w:rsid w:val="00896A83"/>
    <w:rsid w:val="008A34C1"/>
    <w:rsid w:val="008A54BD"/>
    <w:rsid w:val="008A57E0"/>
    <w:rsid w:val="008B0D1C"/>
    <w:rsid w:val="008B1FF8"/>
    <w:rsid w:val="008B4D50"/>
    <w:rsid w:val="008B7F81"/>
    <w:rsid w:val="008C2309"/>
    <w:rsid w:val="008C535C"/>
    <w:rsid w:val="008D2802"/>
    <w:rsid w:val="008D55DB"/>
    <w:rsid w:val="008D5807"/>
    <w:rsid w:val="008E67EF"/>
    <w:rsid w:val="00901448"/>
    <w:rsid w:val="009113FE"/>
    <w:rsid w:val="00913CB4"/>
    <w:rsid w:val="009154B4"/>
    <w:rsid w:val="009176F6"/>
    <w:rsid w:val="009271B5"/>
    <w:rsid w:val="00934DA9"/>
    <w:rsid w:val="00950397"/>
    <w:rsid w:val="0095283A"/>
    <w:rsid w:val="0095505A"/>
    <w:rsid w:val="0095559E"/>
    <w:rsid w:val="00960BA1"/>
    <w:rsid w:val="0096268C"/>
    <w:rsid w:val="00967C2A"/>
    <w:rsid w:val="00971ADA"/>
    <w:rsid w:val="00973B95"/>
    <w:rsid w:val="00977C76"/>
    <w:rsid w:val="00986429"/>
    <w:rsid w:val="00994DA6"/>
    <w:rsid w:val="009A1FD9"/>
    <w:rsid w:val="009A30A4"/>
    <w:rsid w:val="009A446F"/>
    <w:rsid w:val="009B3527"/>
    <w:rsid w:val="009C5BAF"/>
    <w:rsid w:val="009E1107"/>
    <w:rsid w:val="009E6436"/>
    <w:rsid w:val="009F6857"/>
    <w:rsid w:val="00A01390"/>
    <w:rsid w:val="00A02CB2"/>
    <w:rsid w:val="00A03DAD"/>
    <w:rsid w:val="00A22AB1"/>
    <w:rsid w:val="00A33135"/>
    <w:rsid w:val="00A34D66"/>
    <w:rsid w:val="00A50D1E"/>
    <w:rsid w:val="00A538C9"/>
    <w:rsid w:val="00A61CB1"/>
    <w:rsid w:val="00A63753"/>
    <w:rsid w:val="00A65134"/>
    <w:rsid w:val="00A6581E"/>
    <w:rsid w:val="00A66D98"/>
    <w:rsid w:val="00A70511"/>
    <w:rsid w:val="00A72D98"/>
    <w:rsid w:val="00A748EF"/>
    <w:rsid w:val="00A92EC8"/>
    <w:rsid w:val="00AA6948"/>
    <w:rsid w:val="00AB4F44"/>
    <w:rsid w:val="00AB7611"/>
    <w:rsid w:val="00AC14F1"/>
    <w:rsid w:val="00AD1D69"/>
    <w:rsid w:val="00AD1F23"/>
    <w:rsid w:val="00AD41BA"/>
    <w:rsid w:val="00AD5173"/>
    <w:rsid w:val="00AD6D8A"/>
    <w:rsid w:val="00AE35F4"/>
    <w:rsid w:val="00AE61E7"/>
    <w:rsid w:val="00AF4AE0"/>
    <w:rsid w:val="00AF5D58"/>
    <w:rsid w:val="00AF5E36"/>
    <w:rsid w:val="00AF66B9"/>
    <w:rsid w:val="00B0291C"/>
    <w:rsid w:val="00B04FC0"/>
    <w:rsid w:val="00B11A0D"/>
    <w:rsid w:val="00B12129"/>
    <w:rsid w:val="00B2497D"/>
    <w:rsid w:val="00B32CBF"/>
    <w:rsid w:val="00B33801"/>
    <w:rsid w:val="00B37113"/>
    <w:rsid w:val="00B37A8A"/>
    <w:rsid w:val="00B40C91"/>
    <w:rsid w:val="00B43361"/>
    <w:rsid w:val="00B55947"/>
    <w:rsid w:val="00B60CAB"/>
    <w:rsid w:val="00B613D1"/>
    <w:rsid w:val="00B62B4B"/>
    <w:rsid w:val="00B63768"/>
    <w:rsid w:val="00B71F6D"/>
    <w:rsid w:val="00B72D91"/>
    <w:rsid w:val="00B741AB"/>
    <w:rsid w:val="00B7468F"/>
    <w:rsid w:val="00B75410"/>
    <w:rsid w:val="00B802A5"/>
    <w:rsid w:val="00B80A0E"/>
    <w:rsid w:val="00B8309C"/>
    <w:rsid w:val="00B84E55"/>
    <w:rsid w:val="00B93F0F"/>
    <w:rsid w:val="00BB177C"/>
    <w:rsid w:val="00BB3A6A"/>
    <w:rsid w:val="00BB47E4"/>
    <w:rsid w:val="00BB56A4"/>
    <w:rsid w:val="00BC0292"/>
    <w:rsid w:val="00BC08A6"/>
    <w:rsid w:val="00BC54A5"/>
    <w:rsid w:val="00BC6357"/>
    <w:rsid w:val="00BC74D5"/>
    <w:rsid w:val="00BD0440"/>
    <w:rsid w:val="00BD249D"/>
    <w:rsid w:val="00BD473D"/>
    <w:rsid w:val="00BD60D6"/>
    <w:rsid w:val="00BE0152"/>
    <w:rsid w:val="00BE0207"/>
    <w:rsid w:val="00BE178C"/>
    <w:rsid w:val="00BE79D0"/>
    <w:rsid w:val="00BF0A62"/>
    <w:rsid w:val="00BF473B"/>
    <w:rsid w:val="00BF5346"/>
    <w:rsid w:val="00C00F8A"/>
    <w:rsid w:val="00C02FDE"/>
    <w:rsid w:val="00C04CA2"/>
    <w:rsid w:val="00C229E1"/>
    <w:rsid w:val="00C54627"/>
    <w:rsid w:val="00C570CF"/>
    <w:rsid w:val="00C636C6"/>
    <w:rsid w:val="00C7666A"/>
    <w:rsid w:val="00C822D8"/>
    <w:rsid w:val="00C82F4E"/>
    <w:rsid w:val="00C93770"/>
    <w:rsid w:val="00C938BD"/>
    <w:rsid w:val="00C967C0"/>
    <w:rsid w:val="00CA1C05"/>
    <w:rsid w:val="00CA37F8"/>
    <w:rsid w:val="00CA57E8"/>
    <w:rsid w:val="00CB22ED"/>
    <w:rsid w:val="00CC1A8A"/>
    <w:rsid w:val="00CD1E52"/>
    <w:rsid w:val="00CD27DD"/>
    <w:rsid w:val="00CE0097"/>
    <w:rsid w:val="00CE6A02"/>
    <w:rsid w:val="00CF2F9D"/>
    <w:rsid w:val="00CF3D75"/>
    <w:rsid w:val="00CF78A3"/>
    <w:rsid w:val="00CF7C73"/>
    <w:rsid w:val="00D04C94"/>
    <w:rsid w:val="00D10887"/>
    <w:rsid w:val="00D12C87"/>
    <w:rsid w:val="00D15F82"/>
    <w:rsid w:val="00D24BF8"/>
    <w:rsid w:val="00D27993"/>
    <w:rsid w:val="00D35C23"/>
    <w:rsid w:val="00D456BE"/>
    <w:rsid w:val="00D54988"/>
    <w:rsid w:val="00D56B9B"/>
    <w:rsid w:val="00D60812"/>
    <w:rsid w:val="00D64554"/>
    <w:rsid w:val="00D70BF4"/>
    <w:rsid w:val="00D74187"/>
    <w:rsid w:val="00D87DD6"/>
    <w:rsid w:val="00D933FC"/>
    <w:rsid w:val="00D93401"/>
    <w:rsid w:val="00DA22A3"/>
    <w:rsid w:val="00DA6463"/>
    <w:rsid w:val="00DA6A3A"/>
    <w:rsid w:val="00DB206B"/>
    <w:rsid w:val="00DB5B4A"/>
    <w:rsid w:val="00DB652B"/>
    <w:rsid w:val="00DB71CC"/>
    <w:rsid w:val="00DB78AF"/>
    <w:rsid w:val="00DC1388"/>
    <w:rsid w:val="00DC67D5"/>
    <w:rsid w:val="00DC7611"/>
    <w:rsid w:val="00DD0C87"/>
    <w:rsid w:val="00DD139E"/>
    <w:rsid w:val="00DD19AF"/>
    <w:rsid w:val="00DD78D4"/>
    <w:rsid w:val="00DE03C8"/>
    <w:rsid w:val="00DE2B27"/>
    <w:rsid w:val="00DE3068"/>
    <w:rsid w:val="00DE7F31"/>
    <w:rsid w:val="00DF2A11"/>
    <w:rsid w:val="00DF3879"/>
    <w:rsid w:val="00E06174"/>
    <w:rsid w:val="00E068F2"/>
    <w:rsid w:val="00E06BF4"/>
    <w:rsid w:val="00E11104"/>
    <w:rsid w:val="00E112A5"/>
    <w:rsid w:val="00E12CD4"/>
    <w:rsid w:val="00E40561"/>
    <w:rsid w:val="00E4742E"/>
    <w:rsid w:val="00E53D59"/>
    <w:rsid w:val="00E54675"/>
    <w:rsid w:val="00E701BB"/>
    <w:rsid w:val="00E77446"/>
    <w:rsid w:val="00E80E75"/>
    <w:rsid w:val="00E9296A"/>
    <w:rsid w:val="00EA06E4"/>
    <w:rsid w:val="00EA3328"/>
    <w:rsid w:val="00EB5D80"/>
    <w:rsid w:val="00EB75AF"/>
    <w:rsid w:val="00EC0519"/>
    <w:rsid w:val="00EC099D"/>
    <w:rsid w:val="00EC0E6F"/>
    <w:rsid w:val="00ED458B"/>
    <w:rsid w:val="00ED58E1"/>
    <w:rsid w:val="00ED6D3D"/>
    <w:rsid w:val="00EE156A"/>
    <w:rsid w:val="00EE1EFC"/>
    <w:rsid w:val="00EE3F14"/>
    <w:rsid w:val="00EF3217"/>
    <w:rsid w:val="00EF799F"/>
    <w:rsid w:val="00F01597"/>
    <w:rsid w:val="00F020C9"/>
    <w:rsid w:val="00F04B9C"/>
    <w:rsid w:val="00F07BD9"/>
    <w:rsid w:val="00F14E04"/>
    <w:rsid w:val="00F232C4"/>
    <w:rsid w:val="00F3492F"/>
    <w:rsid w:val="00F36664"/>
    <w:rsid w:val="00F4177C"/>
    <w:rsid w:val="00F4417F"/>
    <w:rsid w:val="00F604B8"/>
    <w:rsid w:val="00F612DC"/>
    <w:rsid w:val="00F703A3"/>
    <w:rsid w:val="00F7141E"/>
    <w:rsid w:val="00F91193"/>
    <w:rsid w:val="00F92A67"/>
    <w:rsid w:val="00F97289"/>
    <w:rsid w:val="00FA14AC"/>
    <w:rsid w:val="00FA210F"/>
    <w:rsid w:val="00FB0A03"/>
    <w:rsid w:val="00FB13F6"/>
    <w:rsid w:val="00FB31DF"/>
    <w:rsid w:val="00FB5DBA"/>
    <w:rsid w:val="00FC70F1"/>
    <w:rsid w:val="00FD1EBB"/>
    <w:rsid w:val="00FD202F"/>
    <w:rsid w:val="00FD6962"/>
    <w:rsid w:val="00FF2005"/>
    <w:rsid w:val="00FF56E6"/>
    <w:rsid w:val="00FF6088"/>
    <w:rsid w:val="00FF67E6"/>
    <w:rsid w:val="00FF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12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3B0121"/>
    <w:pPr>
      <w:keepNext/>
      <w:bidi w:val="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5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B0121"/>
    <w:pPr>
      <w:bidi w:val="0"/>
    </w:pPr>
    <w:rPr>
      <w:b/>
      <w:bCs/>
    </w:rPr>
  </w:style>
  <w:style w:type="paragraph" w:styleId="BodyText2">
    <w:name w:val="Body Text 2"/>
    <w:basedOn w:val="Normal"/>
    <w:semiHidden/>
    <w:rsid w:val="003B0121"/>
    <w:pPr>
      <w:bidi w:val="0"/>
      <w:jc w:val="lowKashida"/>
    </w:pPr>
  </w:style>
  <w:style w:type="paragraph" w:styleId="BodyText3">
    <w:name w:val="Body Text 3"/>
    <w:basedOn w:val="Normal"/>
    <w:semiHidden/>
    <w:rsid w:val="003B0121"/>
    <w:pPr>
      <w:bidi w:val="0"/>
      <w:jc w:val="lowKashida"/>
    </w:pPr>
    <w:rPr>
      <w:i/>
      <w:iCs/>
    </w:rPr>
  </w:style>
  <w:style w:type="character" w:styleId="Hyperlink">
    <w:name w:val="Hyperlink"/>
    <w:semiHidden/>
    <w:rsid w:val="003B01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7E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CA57E8"/>
    <w:rPr>
      <w:rFonts w:ascii="Tahoma" w:hAnsi="Tahoma" w:cs="Tahoma"/>
      <w:sz w:val="16"/>
      <w:szCs w:val="16"/>
      <w:lang w:eastAsia="ar-SA"/>
    </w:rPr>
  </w:style>
  <w:style w:type="paragraph" w:styleId="Footer">
    <w:name w:val="footer"/>
    <w:basedOn w:val="Normal"/>
    <w:link w:val="FooterChar"/>
    <w:semiHidden/>
    <w:rsid w:val="00EF799F"/>
    <w:pPr>
      <w:tabs>
        <w:tab w:val="center" w:pos="4153"/>
        <w:tab w:val="right" w:pos="8306"/>
      </w:tabs>
    </w:pPr>
    <w:rPr>
      <w:snapToGrid w:val="0"/>
      <w:sz w:val="20"/>
      <w:szCs w:val="20"/>
      <w:lang/>
    </w:rPr>
  </w:style>
  <w:style w:type="character" w:customStyle="1" w:styleId="FooterChar">
    <w:name w:val="Footer Char"/>
    <w:link w:val="Footer"/>
    <w:semiHidden/>
    <w:rsid w:val="00EF799F"/>
    <w:rPr>
      <w:snapToGrid w:val="0"/>
    </w:rPr>
  </w:style>
  <w:style w:type="table" w:styleId="TableGrid">
    <w:name w:val="Table Grid"/>
    <w:basedOn w:val="TableNormal"/>
    <w:uiPriority w:val="59"/>
    <w:rsid w:val="00977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D6962"/>
    <w:pPr>
      <w:tabs>
        <w:tab w:val="center" w:pos="4153"/>
        <w:tab w:val="right" w:pos="8306"/>
      </w:tabs>
    </w:pPr>
    <w:rPr>
      <w:lang/>
    </w:rPr>
  </w:style>
  <w:style w:type="character" w:customStyle="1" w:styleId="HeaderChar">
    <w:name w:val="Header Char"/>
    <w:link w:val="Header"/>
    <w:uiPriority w:val="99"/>
    <w:semiHidden/>
    <w:rsid w:val="00FD6962"/>
    <w:rPr>
      <w:sz w:val="24"/>
      <w:szCs w:val="24"/>
      <w:lang w:eastAsia="ar-SA"/>
    </w:rPr>
  </w:style>
  <w:style w:type="character" w:styleId="Emphasis">
    <w:name w:val="Emphasis"/>
    <w:uiPriority w:val="20"/>
    <w:qFormat/>
    <w:rsid w:val="0025399F"/>
    <w:rPr>
      <w:b/>
      <w:bCs/>
      <w:i w:val="0"/>
      <w:iCs w:val="0"/>
    </w:rPr>
  </w:style>
  <w:style w:type="character" w:customStyle="1" w:styleId="st1">
    <w:name w:val="st1"/>
    <w:basedOn w:val="DefaultParagraphFont"/>
    <w:rsid w:val="0025399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6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  <w:lang/>
    </w:rPr>
  </w:style>
  <w:style w:type="character" w:customStyle="1" w:styleId="HTMLPreformattedChar">
    <w:name w:val="HTML Preformatted Char"/>
    <w:link w:val="HTMLPreformatted"/>
    <w:uiPriority w:val="99"/>
    <w:semiHidden/>
    <w:rsid w:val="006F686D"/>
    <w:rPr>
      <w:rFonts w:ascii="Courier New" w:hAnsi="Courier New" w:cs="Courier New"/>
    </w:rPr>
  </w:style>
  <w:style w:type="character" w:customStyle="1" w:styleId="Heading2Char">
    <w:name w:val="Heading 2 Char"/>
    <w:link w:val="Heading2"/>
    <w:uiPriority w:val="9"/>
    <w:semiHidden/>
    <w:rsid w:val="00DB652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CommentReference">
    <w:name w:val="annotation reference"/>
    <w:uiPriority w:val="99"/>
    <w:semiHidden/>
    <w:unhideWhenUsed/>
    <w:rsid w:val="00896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A83"/>
    <w:rPr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semiHidden/>
    <w:rsid w:val="00896A8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A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6A83"/>
    <w:rPr>
      <w:b/>
      <w:bCs/>
      <w:lang w:eastAsia="ar-SA"/>
    </w:rPr>
  </w:style>
  <w:style w:type="paragraph" w:styleId="NoSpacing">
    <w:name w:val="No Spacing"/>
    <w:uiPriority w:val="1"/>
    <w:qFormat/>
    <w:rsid w:val="00CA1C05"/>
    <w:pPr>
      <w:bidi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8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7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56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95896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7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9729">
                  <w:marLeft w:val="-192"/>
                  <w:marRight w:val="-1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2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27243">
                              <w:marLeft w:val="132"/>
                              <w:marRight w:val="1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40291">
                                      <w:marLeft w:val="-132"/>
                                      <w:marRight w:val="-13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311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9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4907">
                  <w:marLeft w:val="-192"/>
                  <w:marRight w:val="-1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2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99512">
                              <w:marLeft w:val="132"/>
                              <w:marRight w:val="1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8265">
                                      <w:marLeft w:val="-132"/>
                                      <w:marRight w:val="-13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3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2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9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017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99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840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5795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6699">
                  <w:marLeft w:val="0"/>
                  <w:marRight w:val="0"/>
                  <w:marTop w:val="0"/>
                  <w:marBottom w:val="0"/>
                  <w:divBdr>
                    <w:top w:val="single" w:sz="4" w:space="0" w:color="DFE1E5"/>
                    <w:left w:val="single" w:sz="4" w:space="0" w:color="DFE1E5"/>
                    <w:bottom w:val="single" w:sz="4" w:space="0" w:color="DFE1E5"/>
                    <w:right w:val="single" w:sz="4" w:space="0" w:color="DFE1E5"/>
                  </w:divBdr>
                  <w:divsChild>
                    <w:div w:id="13293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6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5245">
                                      <w:marLeft w:val="-192"/>
                                      <w:marRight w:val="-19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54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49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01294">
                                                  <w:marLeft w:val="132"/>
                                                  <w:marRight w:val="13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7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72113">
                                                          <w:marLeft w:val="-132"/>
                                                          <w:marRight w:val="-132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969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58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4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6.6936680308326876E-2"/>
          <c:y val="9.9403555687614512E-2"/>
          <c:w val="0.91738229403788951"/>
          <c:h val="0.65374733818650677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West Bank</c:v>
                </c:pt>
              </c:strCache>
            </c:strRef>
          </c:tx>
          <c:dLbls>
            <c:showVal val="1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Sheet1!$B$2:$B$6</c:f>
              <c:numCache>
                <c:formatCode>0.0</c:formatCode>
                <c:ptCount val="5"/>
                <c:pt idx="0">
                  <c:v>77.794362981824563</c:v>
                </c:pt>
                <c:pt idx="1">
                  <c:v>81.898066783831283</c:v>
                </c:pt>
                <c:pt idx="2">
                  <c:v>84.323314878284506</c:v>
                </c:pt>
                <c:pt idx="3">
                  <c:v>92.945912830386803</c:v>
                </c:pt>
                <c:pt idx="4">
                  <c:v>101.69962315013879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Gaza Strip</c:v>
                </c:pt>
              </c:strCache>
            </c:strRef>
          </c:tx>
          <c:dLbls>
            <c:showVal val="1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Sheet1!$C$2:$C$6</c:f>
              <c:numCache>
                <c:formatCode>0.0</c:formatCode>
                <c:ptCount val="5"/>
                <c:pt idx="0">
                  <c:v>48.585310088596756</c:v>
                </c:pt>
                <c:pt idx="1">
                  <c:v>46.402151983860115</c:v>
                </c:pt>
                <c:pt idx="2">
                  <c:v>43.651247600767725</c:v>
                </c:pt>
                <c:pt idx="3">
                  <c:v>44.645462503647472</c:v>
                </c:pt>
                <c:pt idx="4">
                  <c:v>42.690854958961211</c:v>
                </c:pt>
              </c:numCache>
            </c:numRef>
          </c:val>
        </c:ser>
        <c:axId val="123615488"/>
        <c:axId val="123621376"/>
      </c:barChart>
      <c:catAx>
        <c:axId val="123615488"/>
        <c:scaling>
          <c:orientation val="minMax"/>
        </c:scaling>
        <c:axPos val="b"/>
        <c:numFmt formatCode="General" sourceLinked="1"/>
        <c:tickLblPos val="nextTo"/>
        <c:crossAx val="123621376"/>
        <c:crosses val="autoZero"/>
        <c:auto val="1"/>
        <c:lblAlgn val="ctr"/>
        <c:lblOffset val="100"/>
      </c:catAx>
      <c:valAx>
        <c:axId val="123621376"/>
        <c:scaling>
          <c:orientation val="minMax"/>
        </c:scaling>
        <c:axPos val="l"/>
        <c:numFmt formatCode="0.0" sourceLinked="1"/>
        <c:tickLblPos val="nextTo"/>
        <c:crossAx val="1236154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6148969889064994"/>
          <c:y val="3.4482758620689655E-2"/>
          <c:w val="0.54041204437400947"/>
          <c:h val="7.8817733990147826E-2"/>
        </c:manualLayout>
      </c:layout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288425041544364"/>
          <c:y val="6.3583815028901813E-2"/>
          <c:w val="0.85444439267578343"/>
          <c:h val="0.7240491659853997"/>
        </c:manualLayout>
      </c:layout>
      <c:lineChart>
        <c:grouping val="standard"/>
        <c:ser>
          <c:idx val="1"/>
          <c:order val="0"/>
          <c:tx>
            <c:strRef>
              <c:f>Sheet1!$A$2</c:f>
              <c:strCache>
                <c:ptCount val="1"/>
                <c:pt idx="0">
                  <c:v>West Bank</c:v>
                </c:pt>
              </c:strCache>
            </c:strRef>
          </c:tx>
          <c:spPr>
            <a:ln w="10478">
              <a:solidFill>
                <a:srgbClr val="0000FF"/>
              </a:solidFill>
              <a:prstDash val="solid"/>
            </a:ln>
          </c:spPr>
          <c:marker>
            <c:symbol val="square"/>
            <c:size val="2"/>
            <c:spPr>
              <a:solidFill>
                <a:srgbClr val="99CCFF"/>
              </a:solidFill>
              <a:ln>
                <a:solidFill>
                  <a:srgbClr val="00CC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4824227022448115E-2"/>
                  <c:y val="-4.830917874396135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dLblPos val="r"/>
              <c:showVal val="1"/>
            </c:dLbl>
            <c:dLbl>
              <c:idx val="1"/>
              <c:layout>
                <c:manualLayout>
                  <c:x val="-6.353240152477767E-3"/>
                  <c:y val="-8.0515297906602265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dLblPos val="r"/>
              <c:showVal val="1"/>
            </c:dLbl>
            <c:dLbl>
              <c:idx val="2"/>
              <c:layout>
                <c:manualLayout>
                  <c:x val="-6.353240152477767E-3"/>
                  <c:y val="-4.830917874396135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dLblPos val="r"/>
              <c:showVal val="1"/>
            </c:dLbl>
            <c:dLbl>
              <c:idx val="3"/>
              <c:layout>
                <c:manualLayout>
                  <c:x val="-1.0588733587462941E-2"/>
                  <c:y val="-4.830917874396135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dLblPos val="r"/>
              <c:showVal val="1"/>
            </c:dLbl>
            <c:showVal val="1"/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Sheet1!$B$2:$F$2</c:f>
              <c:numCache>
                <c:formatCode>0.0</c:formatCode>
                <c:ptCount val="5"/>
                <c:pt idx="0">
                  <c:v>22.9</c:v>
                </c:pt>
                <c:pt idx="1">
                  <c:v>19.3</c:v>
                </c:pt>
                <c:pt idx="2">
                  <c:v>17.899999999999999</c:v>
                </c:pt>
                <c:pt idx="3">
                  <c:v>13.1</c:v>
                </c:pt>
                <c:pt idx="4">
                  <c:v>9.5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Gaza Strip</c:v>
                </c:pt>
              </c:strCache>
            </c:strRef>
          </c:tx>
          <c:spPr>
            <a:ln w="10478">
              <a:solidFill>
                <a:srgbClr val="FF0000"/>
              </a:solidFill>
              <a:prstDash val="solid"/>
            </a:ln>
          </c:spPr>
          <c:marker>
            <c:symbol val="triangle"/>
            <c:size val="2"/>
            <c:spPr>
              <a:solidFill>
                <a:srgbClr val="FF99CC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9059720457433298E-2"/>
                  <c:y val="6.441223832528185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dLblPos val="r"/>
              <c:showVal val="1"/>
            </c:dLbl>
            <c:dLbl>
              <c:idx val="1"/>
              <c:layout>
                <c:manualLayout>
                  <c:x val="-2.1177467174925892E-2"/>
                  <c:y val="4.830917874396135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dLblPos val="r"/>
              <c:showVal val="1"/>
            </c:dLbl>
            <c:dLbl>
              <c:idx val="2"/>
              <c:layout>
                <c:manualLayout>
                  <c:x val="-1.6941973739940708E-2"/>
                  <c:y val="6.441223832528185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dLblPos val="r"/>
              <c:showVal val="1"/>
            </c:dLbl>
            <c:dLbl>
              <c:idx val="3"/>
              <c:layout>
                <c:manualLayout>
                  <c:x val="-1.0588733587462941E-2"/>
                  <c:y val="6.441223832528185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dLblPos val="r"/>
              <c:showVal val="1"/>
            </c:dLbl>
            <c:showVal val="1"/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Sheet1!$B$3:$F$3</c:f>
              <c:numCache>
                <c:formatCode>0.0</c:formatCode>
                <c:ptCount val="5"/>
                <c:pt idx="0">
                  <c:v>73.400000000000006</c:v>
                </c:pt>
                <c:pt idx="1">
                  <c:v>76.5</c:v>
                </c:pt>
                <c:pt idx="2">
                  <c:v>80.5</c:v>
                </c:pt>
                <c:pt idx="3">
                  <c:v>79.599999999999994</c:v>
                </c:pt>
                <c:pt idx="4">
                  <c:v>80.400000000000006</c:v>
                </c:pt>
              </c:numCache>
            </c:numRef>
          </c:val>
        </c:ser>
        <c:dLbls>
          <c:showVal val="1"/>
        </c:dLbls>
        <c:marker val="1"/>
        <c:axId val="101037184"/>
        <c:axId val="101039104"/>
      </c:lineChart>
      <c:catAx>
        <c:axId val="1010371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593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825" b="1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         </a:t>
                </a:r>
              </a:p>
              <a:p>
                <a:pPr>
                  <a:defRPr sz="593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825" b="1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 Year</a:t>
                </a:r>
              </a:p>
            </c:rich>
          </c:tx>
          <c:layout>
            <c:manualLayout>
              <c:xMode val="edge"/>
              <c:yMode val="edge"/>
              <c:x val="0.5135087227819517"/>
              <c:y val="0.80480492474672549"/>
            </c:manualLayout>
          </c:layout>
          <c:spPr>
            <a:noFill/>
            <a:ln w="20954">
              <a:noFill/>
            </a:ln>
          </c:spPr>
        </c:title>
        <c:numFmt formatCode="General" sourceLinked="1"/>
        <c:tickLblPos val="nextTo"/>
        <c:spPr>
          <a:ln w="261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01039104"/>
        <c:crosses val="autoZero"/>
        <c:auto val="1"/>
        <c:lblAlgn val="ctr"/>
        <c:lblOffset val="100"/>
        <c:tickLblSkip val="1"/>
        <c:tickMarkSkip val="1"/>
      </c:catAx>
      <c:valAx>
        <c:axId val="101039104"/>
        <c:scaling>
          <c:orientation val="minMax"/>
          <c:max val="83"/>
          <c:min val="0"/>
        </c:scaling>
        <c:axPos val="l"/>
        <c:title>
          <c:tx>
            <c:rich>
              <a:bodyPr/>
              <a:lstStyle/>
              <a:p>
                <a:pPr>
                  <a:defRPr sz="8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Percentage</a:t>
                </a:r>
              </a:p>
            </c:rich>
          </c:tx>
          <c:layout>
            <c:manualLayout>
              <c:xMode val="edge"/>
              <c:yMode val="edge"/>
              <c:x val="4.6340633723198833E-2"/>
              <c:y val="0.20232606793716004"/>
            </c:manualLayout>
          </c:layout>
          <c:spPr>
            <a:noFill/>
            <a:ln w="20954">
              <a:noFill/>
            </a:ln>
          </c:spPr>
        </c:title>
        <c:numFmt formatCode="0" sourceLinked="0"/>
        <c:tickLblPos val="nextTo"/>
        <c:spPr>
          <a:ln w="261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5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01037184"/>
        <c:crosses val="autoZero"/>
        <c:crossBetween val="between"/>
      </c:valAx>
      <c:spPr>
        <a:noFill/>
        <a:ln w="22899">
          <a:noFill/>
        </a:ln>
      </c:spPr>
    </c:plotArea>
    <c:legend>
      <c:legendPos val="r"/>
      <c:layout>
        <c:manualLayout>
          <c:xMode val="edge"/>
          <c:yMode val="edge"/>
          <c:x val="0.25673534072900145"/>
          <c:y val="0.25149700598802394"/>
          <c:w val="0.55784469096671963"/>
          <c:h val="0.10778443113772455"/>
        </c:manualLayout>
      </c:layout>
      <c:spPr>
        <a:noFill/>
        <a:ln w="20954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ar-SA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658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0.507</cdr:x>
      <cdr:y>0.3605</cdr:y>
    </cdr:from>
    <cdr:to>
      <cdr:x>0.5235</cdr:x>
      <cdr:y>0.48225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756755" y="732870"/>
          <a:ext cx="57276" cy="18084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12D27-41EF-4F95-9700-317C00AE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</vt:lpstr>
    </vt:vector>
  </TitlesOfParts>
  <Company>Hewlett-Packard Company</Company>
  <LinksUpToDate>false</LinksUpToDate>
  <CharactersWithSpaces>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creator>Sufian Abu Harb</dc:creator>
  <cp:lastModifiedBy>adwikat</cp:lastModifiedBy>
  <cp:revision>2</cp:revision>
  <cp:lastPrinted>2019-04-25T06:38:00Z</cp:lastPrinted>
  <dcterms:created xsi:type="dcterms:W3CDTF">2020-04-30T08:40:00Z</dcterms:created>
  <dcterms:modified xsi:type="dcterms:W3CDTF">2020-04-30T08:40:00Z</dcterms:modified>
</cp:coreProperties>
</file>