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E96" w:rsidRPr="00387E96" w:rsidRDefault="00387E96" w:rsidP="00387E96">
      <w:pPr>
        <w:pStyle w:val="Header"/>
        <w:jc w:val="center"/>
        <w:rPr>
          <w:b/>
          <w:bCs/>
          <w:sz w:val="32"/>
          <w:szCs w:val="32"/>
        </w:rPr>
      </w:pPr>
      <w:r w:rsidRPr="00387E96">
        <w:rPr>
          <w:b/>
          <w:bCs/>
          <w:sz w:val="32"/>
          <w:szCs w:val="32"/>
        </w:rPr>
        <w:t>Palestinian Central Bureau of Statistics (PCBS)</w:t>
      </w:r>
    </w:p>
    <w:p w:rsidR="00387E96" w:rsidRPr="00387E96" w:rsidRDefault="00387E96" w:rsidP="00FD1039">
      <w:pPr>
        <w:pStyle w:val="Title"/>
        <w:bidi w:val="0"/>
        <w:rPr>
          <w:rFonts w:cs="Times New Roman"/>
          <w:sz w:val="16"/>
          <w:szCs w:val="16"/>
        </w:rPr>
      </w:pPr>
    </w:p>
    <w:p w:rsidR="004522A9" w:rsidRPr="00387E96" w:rsidRDefault="004522A9" w:rsidP="00387E96">
      <w:pPr>
        <w:pStyle w:val="Title"/>
        <w:bidi w:val="0"/>
        <w:rPr>
          <w:rFonts w:cs="Times New Roman"/>
          <w:sz w:val="32"/>
          <w:szCs w:val="32"/>
        </w:rPr>
      </w:pPr>
      <w:r w:rsidRPr="00387E96">
        <w:rPr>
          <w:rFonts w:cs="Times New Roman"/>
          <w:sz w:val="32"/>
          <w:szCs w:val="32"/>
        </w:rPr>
        <w:t xml:space="preserve">Press Release by </w:t>
      </w:r>
      <w:r w:rsidR="00663156" w:rsidRPr="00387E96">
        <w:rPr>
          <w:rFonts w:cs="Times New Roman"/>
          <w:sz w:val="32"/>
          <w:szCs w:val="32"/>
        </w:rPr>
        <w:t xml:space="preserve">the </w:t>
      </w:r>
      <w:r w:rsidRPr="00387E96">
        <w:rPr>
          <w:rFonts w:cs="Times New Roman"/>
          <w:sz w:val="32"/>
          <w:szCs w:val="32"/>
        </w:rPr>
        <w:t>Palestinian Central Bureau of Statistics (PCBS) on World Environment Day</w:t>
      </w:r>
      <w:r w:rsidR="00FF1BBB" w:rsidRPr="00387E96">
        <w:rPr>
          <w:rFonts w:cs="Times New Roman"/>
          <w:sz w:val="32"/>
          <w:szCs w:val="32"/>
        </w:rPr>
        <w:t xml:space="preserve"> (WED)</w:t>
      </w:r>
    </w:p>
    <w:p w:rsidR="00387E96" w:rsidRDefault="00387E96" w:rsidP="00FF1BBB">
      <w:pPr>
        <w:pStyle w:val="Title"/>
        <w:bidi w:val="0"/>
        <w:jc w:val="lowKashida"/>
        <w:rPr>
          <w:b w:val="0"/>
          <w:bCs w:val="0"/>
        </w:rPr>
      </w:pPr>
    </w:p>
    <w:p w:rsidR="00387E96" w:rsidRDefault="00387E96" w:rsidP="00387E96">
      <w:pPr>
        <w:pStyle w:val="Title"/>
        <w:bidi w:val="0"/>
        <w:jc w:val="lowKashida"/>
        <w:rPr>
          <w:b w:val="0"/>
          <w:bCs w:val="0"/>
        </w:rPr>
      </w:pPr>
    </w:p>
    <w:p w:rsidR="0095785F" w:rsidRPr="00212BE7" w:rsidRDefault="0095785F" w:rsidP="00387E96">
      <w:pPr>
        <w:pStyle w:val="Title"/>
        <w:bidi w:val="0"/>
        <w:jc w:val="lowKashida"/>
        <w:rPr>
          <w:b w:val="0"/>
          <w:bCs w:val="0"/>
        </w:rPr>
      </w:pPr>
      <w:r w:rsidRPr="00212BE7">
        <w:rPr>
          <w:b w:val="0"/>
          <w:bCs w:val="0"/>
        </w:rPr>
        <w:t>World Environment Day</w:t>
      </w:r>
      <w:r w:rsidR="00FF1BBB">
        <w:rPr>
          <w:b w:val="0"/>
          <w:bCs w:val="0"/>
        </w:rPr>
        <w:t xml:space="preserve"> (WED)</w:t>
      </w:r>
      <w:r w:rsidRPr="00212BE7">
        <w:rPr>
          <w:b w:val="0"/>
          <w:bCs w:val="0"/>
        </w:rPr>
        <w:t xml:space="preserve"> is the United Nations day for encouraging worldwide awareness and action to protect our environment. </w:t>
      </w:r>
      <w:r w:rsidR="00B01F45">
        <w:rPr>
          <w:b w:val="0"/>
          <w:bCs w:val="0"/>
        </w:rPr>
        <w:t xml:space="preserve">This </w:t>
      </w:r>
      <w:r w:rsidRPr="00212BE7">
        <w:rPr>
          <w:b w:val="0"/>
          <w:bCs w:val="0"/>
        </w:rPr>
        <w:t xml:space="preserve">event has grown to become a global platform for public outreach that is widely celebrated in </w:t>
      </w:r>
      <w:r w:rsidR="00096E94">
        <w:rPr>
          <w:b w:val="0"/>
          <w:bCs w:val="0"/>
        </w:rPr>
        <w:t xml:space="preserve">many </w:t>
      </w:r>
      <w:r w:rsidRPr="00212BE7">
        <w:rPr>
          <w:b w:val="0"/>
          <w:bCs w:val="0"/>
        </w:rPr>
        <w:t>countries.</w:t>
      </w:r>
      <w:r w:rsidR="00FA4049">
        <w:rPr>
          <w:b w:val="0"/>
          <w:bCs w:val="0"/>
        </w:rPr>
        <w:t xml:space="preserve">  </w:t>
      </w:r>
      <w:r w:rsidRPr="00212BE7">
        <w:rPr>
          <w:b w:val="0"/>
          <w:bCs w:val="0"/>
        </w:rPr>
        <w:t xml:space="preserve">Each </w:t>
      </w:r>
      <w:r w:rsidR="00FF1BBB">
        <w:rPr>
          <w:b w:val="0"/>
          <w:bCs w:val="0"/>
        </w:rPr>
        <w:t>WED</w:t>
      </w:r>
      <w:r w:rsidRPr="00212BE7">
        <w:rPr>
          <w:b w:val="0"/>
          <w:bCs w:val="0"/>
        </w:rPr>
        <w:t xml:space="preserve"> is organized around a theme that draws attention to a particularly pressing environmental concern. The theme for 2019 is “Air pollution</w:t>
      </w:r>
      <w:r w:rsidR="00FF1BBB" w:rsidRPr="00FF1BBB">
        <w:t xml:space="preserve"> </w:t>
      </w:r>
      <w:r w:rsidR="00FF1BBB">
        <w:t>”</w:t>
      </w:r>
      <w:r w:rsidRPr="00212BE7">
        <w:rPr>
          <w:b w:val="0"/>
          <w:bCs w:val="0"/>
        </w:rPr>
        <w:t>.</w:t>
      </w:r>
    </w:p>
    <w:p w:rsidR="0095785F" w:rsidRPr="00387E96" w:rsidRDefault="0095785F" w:rsidP="00FD1039">
      <w:pPr>
        <w:pStyle w:val="Title"/>
        <w:bidi w:val="0"/>
        <w:jc w:val="lowKashida"/>
        <w:rPr>
          <w:b w:val="0"/>
          <w:bCs w:val="0"/>
          <w:sz w:val="16"/>
          <w:szCs w:val="16"/>
        </w:rPr>
      </w:pPr>
    </w:p>
    <w:p w:rsidR="00202C7E" w:rsidRDefault="00202C7E" w:rsidP="00FF1BBB">
      <w:pPr>
        <w:pStyle w:val="Title"/>
        <w:bidi w:val="0"/>
        <w:jc w:val="lowKashida"/>
        <w:rPr>
          <w:b w:val="0"/>
          <w:bCs w:val="0"/>
        </w:rPr>
      </w:pPr>
      <w:r w:rsidRPr="00212BE7">
        <w:rPr>
          <w:b w:val="0"/>
          <w:bCs w:val="0"/>
        </w:rPr>
        <w:t xml:space="preserve">“Air pollution”, is a call </w:t>
      </w:r>
      <w:r w:rsidR="00EC18A4">
        <w:rPr>
          <w:b w:val="0"/>
          <w:bCs w:val="0"/>
        </w:rPr>
        <w:t>for</w:t>
      </w:r>
      <w:r w:rsidR="00EC18A4" w:rsidRPr="00212BE7">
        <w:rPr>
          <w:b w:val="0"/>
          <w:bCs w:val="0"/>
        </w:rPr>
        <w:t xml:space="preserve"> </w:t>
      </w:r>
      <w:r w:rsidRPr="00212BE7">
        <w:rPr>
          <w:b w:val="0"/>
          <w:bCs w:val="0"/>
        </w:rPr>
        <w:t xml:space="preserve">action to combat one of the greatest environmental challenges of our time. </w:t>
      </w:r>
      <w:r w:rsidR="00B01F45">
        <w:rPr>
          <w:b w:val="0"/>
          <w:bCs w:val="0"/>
        </w:rPr>
        <w:t>T</w:t>
      </w:r>
      <w:r w:rsidRPr="00212BE7">
        <w:rPr>
          <w:b w:val="0"/>
          <w:bCs w:val="0"/>
        </w:rPr>
        <w:t xml:space="preserve">he theme of </w:t>
      </w:r>
      <w:r w:rsidR="00FF1BBB">
        <w:rPr>
          <w:b w:val="0"/>
          <w:bCs w:val="0"/>
        </w:rPr>
        <w:t>WED</w:t>
      </w:r>
      <w:r w:rsidRPr="00212BE7">
        <w:rPr>
          <w:b w:val="0"/>
          <w:bCs w:val="0"/>
        </w:rPr>
        <w:t xml:space="preserve"> 2019 </w:t>
      </w:r>
      <w:r w:rsidR="00FF1BBB">
        <w:rPr>
          <w:b w:val="0"/>
          <w:bCs w:val="0"/>
        </w:rPr>
        <w:t>encourages</w:t>
      </w:r>
      <w:r w:rsidR="00FF1BBB" w:rsidRPr="00212BE7">
        <w:rPr>
          <w:b w:val="0"/>
          <w:bCs w:val="0"/>
        </w:rPr>
        <w:t xml:space="preserve"> </w:t>
      </w:r>
      <w:r w:rsidRPr="00212BE7">
        <w:rPr>
          <w:b w:val="0"/>
          <w:bCs w:val="0"/>
        </w:rPr>
        <w:t xml:space="preserve">us all to consider how we can make changes in our everyday lives to reduce the amount of air pollution we produce, and </w:t>
      </w:r>
      <w:r w:rsidR="00FF1BBB">
        <w:rPr>
          <w:b w:val="0"/>
          <w:bCs w:val="0"/>
        </w:rPr>
        <w:t>reduce</w:t>
      </w:r>
      <w:r w:rsidR="00FF1BBB" w:rsidRPr="00212BE7">
        <w:rPr>
          <w:b w:val="0"/>
          <w:bCs w:val="0"/>
        </w:rPr>
        <w:t xml:space="preserve"> </w:t>
      </w:r>
      <w:r w:rsidRPr="00212BE7">
        <w:rPr>
          <w:b w:val="0"/>
          <w:bCs w:val="0"/>
        </w:rPr>
        <w:t>its contribution to global warming and  our health</w:t>
      </w:r>
      <w:r w:rsidR="00FF1BBB">
        <w:rPr>
          <w:b w:val="0"/>
          <w:bCs w:val="0"/>
        </w:rPr>
        <w:t xml:space="preserve"> as well</w:t>
      </w:r>
      <w:r w:rsidRPr="00212BE7">
        <w:rPr>
          <w:b w:val="0"/>
          <w:bCs w:val="0"/>
        </w:rPr>
        <w:t>.</w:t>
      </w:r>
    </w:p>
    <w:p w:rsidR="00132BEC" w:rsidRPr="00387E96" w:rsidRDefault="00132BEC" w:rsidP="00FD1039">
      <w:pPr>
        <w:pStyle w:val="Title"/>
        <w:bidi w:val="0"/>
        <w:jc w:val="lowKashida"/>
        <w:rPr>
          <w:b w:val="0"/>
          <w:bCs w:val="0"/>
          <w:sz w:val="16"/>
          <w:szCs w:val="16"/>
        </w:rPr>
      </w:pPr>
    </w:p>
    <w:p w:rsidR="00132BEC" w:rsidRDefault="00B01F45" w:rsidP="00333755">
      <w:pPr>
        <w:pStyle w:val="Title"/>
        <w:bidi w:val="0"/>
        <w:jc w:val="lowKashida"/>
        <w:rPr>
          <w:b w:val="0"/>
          <w:bCs w:val="0"/>
        </w:rPr>
      </w:pPr>
      <w:r w:rsidRPr="00B01F45">
        <w:rPr>
          <w:b w:val="0"/>
          <w:bCs w:val="0"/>
        </w:rPr>
        <w:t xml:space="preserve">Air pollution is the biggest threat to environmental health, killing about 7 million people every year. </w:t>
      </w:r>
      <w:r w:rsidR="00333755">
        <w:rPr>
          <w:b w:val="0"/>
          <w:bCs w:val="0"/>
        </w:rPr>
        <w:t xml:space="preserve"> </w:t>
      </w:r>
      <w:r w:rsidR="00FB1DB5" w:rsidRPr="00B01F45">
        <w:rPr>
          <w:b w:val="0"/>
          <w:bCs w:val="0"/>
        </w:rPr>
        <w:t xml:space="preserve">The </w:t>
      </w:r>
      <w:r w:rsidRPr="00B01F45">
        <w:rPr>
          <w:b w:val="0"/>
          <w:bCs w:val="0"/>
        </w:rPr>
        <w:t>pollutants contribute to global warming, reduce labor productivity and increase food insecurity around the world</w:t>
      </w:r>
      <w:r>
        <w:rPr>
          <w:b w:val="0"/>
          <w:bCs w:val="0"/>
        </w:rPr>
        <w:t>.</w:t>
      </w:r>
    </w:p>
    <w:p w:rsidR="00B01F45" w:rsidRPr="00387E96" w:rsidRDefault="00B01F45" w:rsidP="00B01F45">
      <w:pPr>
        <w:pStyle w:val="Title"/>
        <w:bidi w:val="0"/>
        <w:jc w:val="lowKashida"/>
        <w:rPr>
          <w:b w:val="0"/>
          <w:bCs w:val="0"/>
          <w:sz w:val="16"/>
          <w:szCs w:val="16"/>
        </w:rPr>
      </w:pPr>
    </w:p>
    <w:p w:rsidR="00B84EDF" w:rsidRDefault="00560F65" w:rsidP="009B2B8B">
      <w:pPr>
        <w:pStyle w:val="Title"/>
        <w:bidi w:val="0"/>
        <w:jc w:val="lowKashida"/>
        <w:rPr>
          <w:b w:val="0"/>
          <w:bCs w:val="0"/>
        </w:rPr>
      </w:pPr>
      <w:r>
        <w:rPr>
          <w:b w:val="0"/>
          <w:bCs w:val="0"/>
        </w:rPr>
        <w:t>Below are facts and data about air pollution in Palestine</w:t>
      </w:r>
      <w:r w:rsidR="00B84EDF">
        <w:rPr>
          <w:b w:val="0"/>
          <w:bCs w:val="0"/>
        </w:rPr>
        <w:t>:</w:t>
      </w:r>
    </w:p>
    <w:p w:rsidR="00827242" w:rsidRPr="00387E96" w:rsidRDefault="00827242" w:rsidP="00FD1039">
      <w:pPr>
        <w:pStyle w:val="Title"/>
        <w:bidi w:val="0"/>
        <w:jc w:val="lowKashida"/>
        <w:rPr>
          <w:b w:val="0"/>
          <w:bCs w:val="0"/>
          <w:sz w:val="16"/>
          <w:szCs w:val="16"/>
        </w:rPr>
      </w:pPr>
    </w:p>
    <w:p w:rsidR="00333755" w:rsidRPr="00387E96" w:rsidRDefault="00333755" w:rsidP="00FE67D9">
      <w:pPr>
        <w:pStyle w:val="NormalWeb"/>
        <w:shd w:val="clear" w:color="auto" w:fill="FFFFFF"/>
        <w:spacing w:before="0" w:beforeAutospacing="0" w:after="0" w:afterAutospacing="0"/>
        <w:jc w:val="both"/>
        <w:rPr>
          <w:b/>
          <w:bCs/>
          <w:sz w:val="26"/>
          <w:szCs w:val="26"/>
          <w:lang w:eastAsia="ar-SA"/>
        </w:rPr>
      </w:pPr>
      <w:r w:rsidRPr="00387E96">
        <w:rPr>
          <w:b/>
          <w:bCs/>
          <w:sz w:val="26"/>
          <w:szCs w:val="26"/>
          <w:lang w:eastAsia="ar-SA"/>
        </w:rPr>
        <w:t xml:space="preserve">Fifth of the Palestinian Households </w:t>
      </w:r>
      <w:r w:rsidR="009B2B8B" w:rsidRPr="00387E96">
        <w:rPr>
          <w:b/>
          <w:bCs/>
          <w:sz w:val="26"/>
          <w:szCs w:val="26"/>
          <w:lang w:eastAsia="ar-SA"/>
        </w:rPr>
        <w:t xml:space="preserve">are </w:t>
      </w:r>
      <w:r w:rsidRPr="00387E96">
        <w:rPr>
          <w:b/>
          <w:bCs/>
          <w:sz w:val="26"/>
          <w:szCs w:val="26"/>
          <w:lang w:eastAsia="ar-SA"/>
        </w:rPr>
        <w:t xml:space="preserve">Exposed to Smells and Gaza Strip is the </w:t>
      </w:r>
      <w:r w:rsidR="00FE67D9" w:rsidRPr="00387E96">
        <w:rPr>
          <w:b/>
          <w:bCs/>
          <w:sz w:val="26"/>
          <w:szCs w:val="26"/>
          <w:lang w:eastAsia="ar-SA"/>
        </w:rPr>
        <w:t>M</w:t>
      </w:r>
      <w:r w:rsidRPr="00387E96">
        <w:rPr>
          <w:b/>
          <w:bCs/>
          <w:sz w:val="26"/>
          <w:szCs w:val="26"/>
          <w:lang w:eastAsia="ar-SA"/>
        </w:rPr>
        <w:t xml:space="preserve">ost </w:t>
      </w:r>
      <w:r w:rsidR="00FE67D9" w:rsidRPr="00387E96">
        <w:rPr>
          <w:b/>
          <w:bCs/>
          <w:sz w:val="26"/>
          <w:szCs w:val="26"/>
          <w:lang w:eastAsia="ar-SA"/>
        </w:rPr>
        <w:t>E</w:t>
      </w:r>
      <w:r w:rsidRPr="00387E96">
        <w:rPr>
          <w:b/>
          <w:bCs/>
          <w:sz w:val="26"/>
          <w:szCs w:val="26"/>
          <w:lang w:eastAsia="ar-SA"/>
        </w:rPr>
        <w:t xml:space="preserve">xposure to </w:t>
      </w:r>
      <w:r w:rsidR="00FE67D9" w:rsidRPr="00387E96">
        <w:rPr>
          <w:b/>
          <w:bCs/>
          <w:sz w:val="26"/>
          <w:szCs w:val="26"/>
          <w:lang w:eastAsia="ar-SA"/>
        </w:rPr>
        <w:t>E</w:t>
      </w:r>
      <w:r w:rsidRPr="00387E96">
        <w:rPr>
          <w:b/>
          <w:bCs/>
          <w:sz w:val="26"/>
          <w:szCs w:val="26"/>
          <w:lang w:eastAsia="ar-SA"/>
        </w:rPr>
        <w:t xml:space="preserve">xternal </w:t>
      </w:r>
      <w:r w:rsidR="00FE67D9" w:rsidRPr="00387E96">
        <w:rPr>
          <w:b/>
          <w:bCs/>
          <w:sz w:val="26"/>
          <w:szCs w:val="26"/>
          <w:lang w:eastAsia="ar-SA"/>
        </w:rPr>
        <w:t>E</w:t>
      </w:r>
      <w:r w:rsidRPr="00387E96">
        <w:rPr>
          <w:b/>
          <w:bCs/>
          <w:sz w:val="26"/>
          <w:szCs w:val="26"/>
          <w:lang w:eastAsia="ar-SA"/>
        </w:rPr>
        <w:t>ffects</w:t>
      </w:r>
    </w:p>
    <w:p w:rsidR="00387E96" w:rsidRPr="00387E96" w:rsidRDefault="00371C0B" w:rsidP="00387E96">
      <w:pPr>
        <w:pStyle w:val="Title"/>
        <w:bidi w:val="0"/>
        <w:jc w:val="lowKashida"/>
        <w:rPr>
          <w:b w:val="0"/>
          <w:bCs w:val="0"/>
        </w:rPr>
      </w:pPr>
      <w:r w:rsidRPr="00034BEA">
        <w:rPr>
          <w:b w:val="0"/>
          <w:bCs w:val="0"/>
        </w:rPr>
        <w:t xml:space="preserve">Data of </w:t>
      </w:r>
      <w:r w:rsidR="00034BEA" w:rsidRPr="00034BEA">
        <w:rPr>
          <w:b w:val="0"/>
          <w:bCs w:val="0"/>
        </w:rPr>
        <w:t xml:space="preserve">Socio-Economic Conditions Survey 2018 </w:t>
      </w:r>
      <w:r w:rsidR="00856129" w:rsidRPr="002F305A">
        <w:rPr>
          <w:b w:val="0"/>
          <w:bCs w:val="0"/>
        </w:rPr>
        <w:t xml:space="preserve">showed that </w:t>
      </w:r>
      <w:r w:rsidR="00FE67D9">
        <w:rPr>
          <w:b w:val="0"/>
          <w:bCs w:val="0"/>
        </w:rPr>
        <w:t>29</w:t>
      </w:r>
      <w:r w:rsidR="00856129" w:rsidRPr="002F305A">
        <w:rPr>
          <w:b w:val="0"/>
          <w:bCs w:val="0"/>
        </w:rPr>
        <w:t xml:space="preserve">% </w:t>
      </w:r>
      <w:r w:rsidR="00627880">
        <w:rPr>
          <w:b w:val="0"/>
          <w:bCs w:val="0"/>
        </w:rPr>
        <w:t xml:space="preserve">of households in Palestine </w:t>
      </w:r>
      <w:r w:rsidR="004A185D">
        <w:rPr>
          <w:b w:val="0"/>
          <w:bCs w:val="0"/>
        </w:rPr>
        <w:t xml:space="preserve">were </w:t>
      </w:r>
      <w:r w:rsidR="00627880">
        <w:rPr>
          <w:b w:val="0"/>
          <w:bCs w:val="0"/>
        </w:rPr>
        <w:t xml:space="preserve">exposed to noise, whereas </w:t>
      </w:r>
      <w:r w:rsidR="00FE67D9">
        <w:rPr>
          <w:b w:val="0"/>
          <w:bCs w:val="0"/>
        </w:rPr>
        <w:t>21</w:t>
      </w:r>
      <w:r w:rsidR="00627880">
        <w:rPr>
          <w:b w:val="0"/>
          <w:bCs w:val="0"/>
        </w:rPr>
        <w:t xml:space="preserve">% of households </w:t>
      </w:r>
      <w:r w:rsidR="004A185D">
        <w:rPr>
          <w:b w:val="0"/>
          <w:bCs w:val="0"/>
        </w:rPr>
        <w:t xml:space="preserve">were </w:t>
      </w:r>
      <w:r w:rsidR="00627880">
        <w:rPr>
          <w:b w:val="0"/>
          <w:bCs w:val="0"/>
        </w:rPr>
        <w:t xml:space="preserve">exposed to smells, </w:t>
      </w:r>
      <w:r w:rsidR="00FE67D9">
        <w:rPr>
          <w:b w:val="0"/>
          <w:bCs w:val="0"/>
        </w:rPr>
        <w:t>14</w:t>
      </w:r>
      <w:r w:rsidR="00627880">
        <w:rPr>
          <w:b w:val="0"/>
          <w:bCs w:val="0"/>
        </w:rPr>
        <w:t xml:space="preserve">% of households </w:t>
      </w:r>
      <w:r w:rsidR="004A185D">
        <w:rPr>
          <w:b w:val="0"/>
          <w:bCs w:val="0"/>
        </w:rPr>
        <w:t xml:space="preserve">were </w:t>
      </w:r>
      <w:r w:rsidR="00627880">
        <w:rPr>
          <w:b w:val="0"/>
          <w:bCs w:val="0"/>
        </w:rPr>
        <w:t>exposed to dust</w:t>
      </w:r>
      <w:r w:rsidR="001D2AB2">
        <w:rPr>
          <w:b w:val="0"/>
          <w:bCs w:val="0"/>
        </w:rPr>
        <w:t>,</w:t>
      </w:r>
      <w:r w:rsidR="00627880">
        <w:rPr>
          <w:b w:val="0"/>
          <w:bCs w:val="0"/>
        </w:rPr>
        <w:t xml:space="preserve"> and </w:t>
      </w:r>
      <w:r w:rsidR="00FE67D9">
        <w:rPr>
          <w:b w:val="0"/>
          <w:bCs w:val="0"/>
        </w:rPr>
        <w:t>8</w:t>
      </w:r>
      <w:r w:rsidR="00627880">
        <w:rPr>
          <w:b w:val="0"/>
          <w:bCs w:val="0"/>
        </w:rPr>
        <w:t xml:space="preserve">% of households </w:t>
      </w:r>
      <w:r w:rsidR="004A185D">
        <w:rPr>
          <w:b w:val="0"/>
          <w:bCs w:val="0"/>
        </w:rPr>
        <w:t xml:space="preserve">were </w:t>
      </w:r>
      <w:r w:rsidR="00627880">
        <w:rPr>
          <w:b w:val="0"/>
          <w:bCs w:val="0"/>
        </w:rPr>
        <w:t>exposed to smoke in 2018.</w:t>
      </w:r>
      <w:r w:rsidR="00832C4C">
        <w:rPr>
          <w:b w:val="0"/>
          <w:bCs w:val="0"/>
        </w:rPr>
        <w:t xml:space="preserve"> </w:t>
      </w:r>
      <w:r w:rsidR="00C05F92">
        <w:rPr>
          <w:b w:val="0"/>
          <w:bCs w:val="0"/>
        </w:rPr>
        <w:t xml:space="preserve">It is noted that Gaza Strip </w:t>
      </w:r>
      <w:r w:rsidR="00832C4C">
        <w:rPr>
          <w:b w:val="0"/>
          <w:bCs w:val="0"/>
        </w:rPr>
        <w:t xml:space="preserve">were </w:t>
      </w:r>
      <w:r w:rsidR="00C05F92">
        <w:rPr>
          <w:b w:val="0"/>
          <w:bCs w:val="0"/>
        </w:rPr>
        <w:t xml:space="preserve">exposed to external effects more than West Bank. </w:t>
      </w:r>
    </w:p>
    <w:p w:rsidR="00387E96" w:rsidRPr="00387E96" w:rsidRDefault="00387E96" w:rsidP="00387E96">
      <w:pPr>
        <w:pStyle w:val="Title"/>
        <w:bidi w:val="0"/>
        <w:rPr>
          <w:rFonts w:asciiTheme="minorBidi" w:hAnsiTheme="minorBidi" w:cstheme="minorBidi"/>
          <w:sz w:val="16"/>
          <w:szCs w:val="16"/>
        </w:rPr>
      </w:pPr>
    </w:p>
    <w:p w:rsidR="001D2AB2" w:rsidRDefault="00911532" w:rsidP="001D2AB2">
      <w:pPr>
        <w:pStyle w:val="Title"/>
        <w:bidi w:val="0"/>
        <w:rPr>
          <w:rFonts w:asciiTheme="majorBidi" w:hAnsiTheme="majorBidi" w:cstheme="majorBidi"/>
          <w:sz w:val="26"/>
          <w:szCs w:val="26"/>
        </w:rPr>
      </w:pPr>
      <w:r w:rsidRPr="00387E96">
        <w:rPr>
          <w:rFonts w:asciiTheme="majorBidi" w:hAnsiTheme="majorBidi" w:cstheme="majorBidi"/>
          <w:sz w:val="26"/>
          <w:szCs w:val="26"/>
        </w:rPr>
        <w:t>Percentage of Households that were exposed to external effects by effect and region, 2018</w:t>
      </w:r>
    </w:p>
    <w:p w:rsidR="00387E96" w:rsidRPr="00387E96" w:rsidRDefault="00387E96" w:rsidP="00387E96">
      <w:pPr>
        <w:pStyle w:val="Title"/>
        <w:bidi w:val="0"/>
        <w:rPr>
          <w:rFonts w:asciiTheme="majorBidi" w:hAnsiTheme="majorBidi" w:cstheme="majorBidi"/>
          <w:sz w:val="14"/>
          <w:szCs w:val="14"/>
        </w:rPr>
      </w:pPr>
    </w:p>
    <w:p w:rsidR="002B7BE4" w:rsidRDefault="002B7BE4" w:rsidP="002B7BE4">
      <w:pPr>
        <w:pBdr>
          <w:top w:val="single" w:sz="4" w:space="1" w:color="auto"/>
          <w:left w:val="single" w:sz="4" w:space="4" w:color="auto"/>
          <w:bottom w:val="single" w:sz="4" w:space="1" w:color="auto"/>
          <w:right w:val="single" w:sz="4" w:space="4" w:color="auto"/>
        </w:pBdr>
        <w:spacing w:line="20" w:lineRule="atLeast"/>
        <w:ind w:right="57"/>
        <w:jc w:val="center"/>
        <w:rPr>
          <w:rFonts w:cs="Simplified Arabic"/>
          <w:rtl/>
        </w:rPr>
      </w:pPr>
      <w:r w:rsidRPr="003669E6">
        <w:rPr>
          <w:rFonts w:cs="Simplified Arabic" w:hint="cs"/>
          <w:noProof/>
          <w:rtl/>
          <w:lang w:eastAsia="en-US"/>
        </w:rPr>
        <w:drawing>
          <wp:inline distT="0" distB="0" distL="0" distR="0">
            <wp:extent cx="2619375" cy="1714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7BE4" w:rsidRPr="00387E96" w:rsidRDefault="002B7BE4">
      <w:pPr>
        <w:bidi w:val="0"/>
        <w:rPr>
          <w:b/>
          <w:bCs/>
          <w:sz w:val="16"/>
          <w:szCs w:val="16"/>
        </w:rPr>
      </w:pPr>
    </w:p>
    <w:p w:rsidR="00A72007" w:rsidRPr="00387E96" w:rsidRDefault="00986226" w:rsidP="00A72007">
      <w:pPr>
        <w:pStyle w:val="NormalWeb"/>
        <w:shd w:val="clear" w:color="auto" w:fill="FFFFFF"/>
        <w:spacing w:before="0" w:beforeAutospacing="0" w:after="0" w:afterAutospacing="0"/>
        <w:jc w:val="both"/>
        <w:rPr>
          <w:sz w:val="26"/>
          <w:szCs w:val="26"/>
        </w:rPr>
      </w:pPr>
      <w:r w:rsidRPr="00387E96">
        <w:rPr>
          <w:b/>
          <w:bCs/>
          <w:sz w:val="26"/>
          <w:szCs w:val="26"/>
          <w:lang w:eastAsia="ar-SA"/>
        </w:rPr>
        <w:t>Continuous Increase in Emissions During the Last Decade</w:t>
      </w:r>
    </w:p>
    <w:p w:rsidR="00986226" w:rsidRPr="00A72007" w:rsidRDefault="00A72007" w:rsidP="00813FF0">
      <w:pPr>
        <w:pStyle w:val="NormalWeb"/>
        <w:shd w:val="clear" w:color="auto" w:fill="FFFFFF"/>
        <w:spacing w:before="0" w:beforeAutospacing="0" w:after="0" w:afterAutospacing="0"/>
        <w:jc w:val="both"/>
        <w:rPr>
          <w:b/>
          <w:bCs/>
        </w:rPr>
      </w:pPr>
      <w:r w:rsidRPr="00C169A1">
        <w:t xml:space="preserve">In </w:t>
      </w:r>
      <w:r>
        <w:t>2017</w:t>
      </w:r>
      <w:r w:rsidRPr="00C169A1">
        <w:t xml:space="preserve">, Palestine </w:t>
      </w:r>
      <w:r>
        <w:t xml:space="preserve">emissions from energy, agriculture and waste sectors were estimated 4,777.2 thousand </w:t>
      </w:r>
      <w:r w:rsidRPr="00C169A1">
        <w:t>metric tons CO</w:t>
      </w:r>
      <w:r w:rsidRPr="002B7BE4">
        <w:t>2</w:t>
      </w:r>
      <w:r w:rsidRPr="00C169A1">
        <w:t xml:space="preserve"> eq.</w:t>
      </w:r>
      <w:r w:rsidR="00554962">
        <w:t xml:space="preserve"> with a 45% increase </w:t>
      </w:r>
      <w:r w:rsidR="00813FF0">
        <w:t xml:space="preserve">compared to </w:t>
      </w:r>
      <w:r w:rsidR="00554962">
        <w:t>2010.</w:t>
      </w:r>
      <w:r>
        <w:t xml:space="preserve">  </w:t>
      </w:r>
    </w:p>
    <w:p w:rsidR="00A72007" w:rsidRPr="00387E96" w:rsidRDefault="00A72007" w:rsidP="00A72007">
      <w:pPr>
        <w:pStyle w:val="Default"/>
        <w:rPr>
          <w:rFonts w:asciiTheme="majorBidi" w:hAnsiTheme="majorBidi" w:cstheme="majorBidi"/>
          <w:sz w:val="16"/>
          <w:szCs w:val="1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387E96" w:rsidRDefault="00387E96" w:rsidP="00986226">
      <w:pPr>
        <w:pStyle w:val="CM27"/>
        <w:jc w:val="center"/>
        <w:rPr>
          <w:rFonts w:asciiTheme="majorBidi" w:eastAsia="Times New Roman" w:hAnsiTheme="majorBidi" w:cstheme="majorBidi"/>
          <w:b/>
          <w:bCs/>
          <w:sz w:val="26"/>
          <w:szCs w:val="26"/>
        </w:rPr>
      </w:pPr>
    </w:p>
    <w:p w:rsidR="00986226" w:rsidRPr="00387E96" w:rsidRDefault="00911532" w:rsidP="00986226">
      <w:pPr>
        <w:pStyle w:val="CM27"/>
        <w:jc w:val="center"/>
        <w:rPr>
          <w:rFonts w:asciiTheme="majorBidi" w:eastAsia="Times New Roman" w:hAnsiTheme="majorBidi" w:cstheme="majorBidi"/>
          <w:b/>
          <w:bCs/>
          <w:sz w:val="26"/>
          <w:szCs w:val="26"/>
        </w:rPr>
      </w:pPr>
      <w:r w:rsidRPr="00387E96">
        <w:rPr>
          <w:rFonts w:asciiTheme="majorBidi" w:eastAsia="Times New Roman" w:hAnsiTheme="majorBidi" w:cstheme="majorBidi"/>
          <w:b/>
          <w:bCs/>
          <w:sz w:val="26"/>
          <w:szCs w:val="26"/>
        </w:rPr>
        <w:t xml:space="preserve">Overall GHG Emissions by Year (1000 ton </w:t>
      </w:r>
      <w:r w:rsidRPr="00387E96">
        <w:rPr>
          <w:rFonts w:asciiTheme="majorBidi" w:hAnsiTheme="majorBidi" w:cstheme="majorBidi"/>
          <w:b/>
          <w:bCs/>
          <w:sz w:val="26"/>
          <w:szCs w:val="26"/>
        </w:rPr>
        <w:t>CO</w:t>
      </w:r>
      <w:r w:rsidRPr="00387E96">
        <w:rPr>
          <w:rFonts w:asciiTheme="majorBidi" w:hAnsiTheme="majorBidi" w:cstheme="majorBidi"/>
          <w:b/>
          <w:bCs/>
          <w:sz w:val="26"/>
          <w:szCs w:val="26"/>
          <w:vertAlign w:val="subscript"/>
        </w:rPr>
        <w:t>2</w:t>
      </w:r>
      <w:r w:rsidRPr="00387E96">
        <w:rPr>
          <w:rFonts w:asciiTheme="majorBidi" w:hAnsiTheme="majorBidi" w:cstheme="majorBidi"/>
          <w:b/>
          <w:bCs/>
          <w:sz w:val="26"/>
          <w:szCs w:val="26"/>
        </w:rPr>
        <w:t xml:space="preserve"> </w:t>
      </w:r>
      <w:r w:rsidRPr="00387E96">
        <w:rPr>
          <w:rFonts w:asciiTheme="majorBidi" w:eastAsia="Times New Roman" w:hAnsiTheme="majorBidi" w:cstheme="majorBidi"/>
          <w:b/>
          <w:bCs/>
          <w:sz w:val="26"/>
          <w:szCs w:val="26"/>
        </w:rPr>
        <w:t>eq.)*, 2010-2017</w:t>
      </w:r>
    </w:p>
    <w:p w:rsidR="00986226" w:rsidRPr="008F54D3" w:rsidRDefault="00986226" w:rsidP="00986226">
      <w:pPr>
        <w:tabs>
          <w:tab w:val="left" w:pos="1309"/>
        </w:tabs>
        <w:ind w:left="1"/>
        <w:rPr>
          <w:rFonts w:cs="Simplified Arabic"/>
          <w:sz w:val="8"/>
          <w:szCs w:val="8"/>
          <w:rtl/>
        </w:rPr>
      </w:pPr>
      <w:r>
        <w:rPr>
          <w:rFonts w:cs="Simplified Arabic"/>
          <w:sz w:val="8"/>
          <w:szCs w:val="8"/>
          <w:rtl/>
        </w:rPr>
        <w:tab/>
      </w: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872"/>
        <w:gridCol w:w="1202"/>
        <w:gridCol w:w="812"/>
        <w:gridCol w:w="799"/>
        <w:gridCol w:w="1712"/>
      </w:tblGrid>
      <w:tr w:rsidR="00986226" w:rsidRPr="00387E96" w:rsidTr="00387E96">
        <w:trPr>
          <w:trHeight w:val="340"/>
          <w:jc w:val="center"/>
        </w:trPr>
        <w:tc>
          <w:tcPr>
            <w:tcW w:w="782" w:type="dxa"/>
            <w:vMerge w:val="restart"/>
            <w:shd w:val="clear" w:color="auto" w:fill="FFFFFF" w:themeFill="background1"/>
            <w:vAlign w:val="center"/>
            <w:hideMark/>
          </w:tcPr>
          <w:p w:rsidR="00986226" w:rsidRPr="00387E96" w:rsidRDefault="00986226" w:rsidP="00B70194">
            <w:pPr>
              <w:jc w:val="center"/>
              <w:rPr>
                <w:rFonts w:asciiTheme="majorBidi" w:hAnsiTheme="majorBidi" w:cstheme="majorBidi"/>
                <w:b/>
                <w:bCs/>
              </w:rPr>
            </w:pPr>
            <w:r w:rsidRPr="00387E96">
              <w:rPr>
                <w:rFonts w:asciiTheme="majorBidi" w:hAnsiTheme="majorBidi" w:cstheme="majorBidi"/>
                <w:b/>
                <w:bCs/>
              </w:rPr>
              <w:t>Year</w:t>
            </w:r>
          </w:p>
        </w:tc>
        <w:tc>
          <w:tcPr>
            <w:tcW w:w="2813" w:type="dxa"/>
            <w:gridSpan w:val="3"/>
            <w:shd w:val="clear" w:color="auto" w:fill="FFFFFF" w:themeFill="background1"/>
            <w:vAlign w:val="center"/>
            <w:hideMark/>
          </w:tcPr>
          <w:p w:rsidR="00986226" w:rsidRPr="00387E96" w:rsidRDefault="00986226" w:rsidP="00B70194">
            <w:pPr>
              <w:bidi w:val="0"/>
              <w:jc w:val="center"/>
              <w:rPr>
                <w:rFonts w:asciiTheme="majorBidi" w:hAnsiTheme="majorBidi" w:cstheme="majorBidi"/>
                <w:b/>
                <w:bCs/>
                <w:rtl/>
              </w:rPr>
            </w:pPr>
            <w:r w:rsidRPr="00387E96">
              <w:rPr>
                <w:rFonts w:asciiTheme="majorBidi" w:hAnsiTheme="majorBidi" w:cstheme="majorBidi"/>
                <w:b/>
                <w:bCs/>
              </w:rPr>
              <w:t>Overall GHG emissions by type</w:t>
            </w:r>
            <w:r w:rsidRPr="00387E96">
              <w:rPr>
                <w:rFonts w:asciiTheme="majorBidi" w:hAnsiTheme="majorBidi" w:cstheme="majorBidi"/>
                <w:b/>
                <w:bCs/>
                <w:rtl/>
              </w:rPr>
              <w:t xml:space="preserve"> </w:t>
            </w:r>
            <w:r w:rsidRPr="00387E96">
              <w:rPr>
                <w:rFonts w:asciiTheme="majorBidi" w:hAnsiTheme="majorBidi" w:cstheme="majorBidi"/>
                <w:b/>
                <w:bCs/>
              </w:rPr>
              <w:t>(1000 ton)</w:t>
            </w:r>
          </w:p>
        </w:tc>
        <w:tc>
          <w:tcPr>
            <w:tcW w:w="1712" w:type="dxa"/>
            <w:vMerge w:val="restart"/>
            <w:shd w:val="clear" w:color="auto" w:fill="FFFFFF" w:themeFill="background1"/>
            <w:vAlign w:val="center"/>
            <w:hideMark/>
          </w:tcPr>
          <w:p w:rsidR="00986226" w:rsidRPr="00387E96" w:rsidRDefault="00986226" w:rsidP="00B70194">
            <w:pPr>
              <w:jc w:val="center"/>
              <w:rPr>
                <w:rFonts w:asciiTheme="majorBidi" w:hAnsiTheme="majorBidi" w:cstheme="majorBidi"/>
                <w:b/>
                <w:bCs/>
              </w:rPr>
            </w:pPr>
            <w:r w:rsidRPr="00387E96">
              <w:rPr>
                <w:rFonts w:asciiTheme="majorBidi" w:hAnsiTheme="majorBidi" w:cstheme="majorBidi"/>
                <w:b/>
                <w:bCs/>
              </w:rPr>
              <w:t>Overall GHG emissions</w:t>
            </w:r>
            <w:r w:rsidRPr="00387E96">
              <w:rPr>
                <w:rFonts w:asciiTheme="majorBidi" w:hAnsiTheme="majorBidi" w:cstheme="majorBidi"/>
                <w:b/>
                <w:bCs/>
                <w:rtl/>
              </w:rPr>
              <w:t xml:space="preserve"> </w:t>
            </w:r>
            <w:r w:rsidRPr="00387E96">
              <w:rPr>
                <w:rFonts w:asciiTheme="majorBidi" w:hAnsiTheme="majorBidi" w:cstheme="majorBidi"/>
                <w:b/>
                <w:bCs/>
              </w:rPr>
              <w:t>(1000 ton CO</w:t>
            </w:r>
            <w:r w:rsidRPr="00387E96">
              <w:rPr>
                <w:rFonts w:asciiTheme="majorBidi" w:hAnsiTheme="majorBidi" w:cstheme="majorBidi"/>
                <w:b/>
                <w:bCs/>
                <w:vertAlign w:val="subscript"/>
              </w:rPr>
              <w:t>2</w:t>
            </w:r>
            <w:r w:rsidRPr="00387E96">
              <w:rPr>
                <w:rFonts w:asciiTheme="majorBidi" w:hAnsiTheme="majorBidi" w:cstheme="majorBidi"/>
                <w:b/>
                <w:bCs/>
              </w:rPr>
              <w:t xml:space="preserve"> eq.)</w:t>
            </w:r>
          </w:p>
        </w:tc>
      </w:tr>
      <w:tr w:rsidR="00986226" w:rsidRPr="00387E96" w:rsidTr="00387E96">
        <w:trPr>
          <w:trHeight w:val="340"/>
          <w:jc w:val="center"/>
        </w:trPr>
        <w:tc>
          <w:tcPr>
            <w:tcW w:w="782" w:type="dxa"/>
            <w:vMerge/>
            <w:shd w:val="clear" w:color="auto" w:fill="FFFFFF" w:themeFill="background1"/>
            <w:noWrap/>
            <w:vAlign w:val="center"/>
            <w:hideMark/>
          </w:tcPr>
          <w:p w:rsidR="00986226" w:rsidRPr="00387E96" w:rsidRDefault="00986226" w:rsidP="00B70194">
            <w:pPr>
              <w:jc w:val="center"/>
              <w:rPr>
                <w:rFonts w:asciiTheme="majorBidi" w:hAnsiTheme="majorBidi" w:cstheme="majorBidi"/>
                <w:b/>
                <w:bCs/>
              </w:rPr>
            </w:pPr>
          </w:p>
        </w:tc>
        <w:tc>
          <w:tcPr>
            <w:tcW w:w="1202" w:type="dxa"/>
            <w:shd w:val="clear" w:color="auto" w:fill="FFFFFF" w:themeFill="background1"/>
            <w:vAlign w:val="center"/>
            <w:hideMark/>
          </w:tcPr>
          <w:p w:rsidR="00986226" w:rsidRPr="00387E96" w:rsidRDefault="00911532" w:rsidP="00B70194">
            <w:pPr>
              <w:jc w:val="center"/>
              <w:rPr>
                <w:rFonts w:asciiTheme="majorBidi" w:hAnsiTheme="majorBidi" w:cstheme="majorBidi"/>
              </w:rPr>
            </w:pPr>
            <w:r w:rsidRPr="00387E96">
              <w:rPr>
                <w:rFonts w:asciiTheme="majorBidi" w:hAnsiTheme="majorBidi" w:cstheme="majorBidi"/>
              </w:rPr>
              <w:t>CO</w:t>
            </w:r>
            <w:r w:rsidRPr="00387E96">
              <w:rPr>
                <w:rFonts w:asciiTheme="majorBidi" w:hAnsiTheme="majorBidi" w:cstheme="majorBidi"/>
                <w:vertAlign w:val="subscript"/>
              </w:rPr>
              <w:t>2</w:t>
            </w:r>
            <w:r w:rsidRPr="00387E96">
              <w:rPr>
                <w:rFonts w:asciiTheme="majorBidi" w:hAnsiTheme="majorBidi" w:cstheme="majorBidi"/>
              </w:rPr>
              <w:t xml:space="preserve"> </w:t>
            </w:r>
          </w:p>
        </w:tc>
        <w:tc>
          <w:tcPr>
            <w:tcW w:w="812" w:type="dxa"/>
            <w:shd w:val="clear" w:color="auto" w:fill="FFFFFF" w:themeFill="background1"/>
            <w:vAlign w:val="center"/>
            <w:hideMark/>
          </w:tcPr>
          <w:p w:rsidR="00986226" w:rsidRPr="00387E96" w:rsidRDefault="00911532" w:rsidP="00B70194">
            <w:pPr>
              <w:jc w:val="center"/>
              <w:rPr>
                <w:rFonts w:asciiTheme="majorBidi" w:hAnsiTheme="majorBidi" w:cstheme="majorBidi"/>
              </w:rPr>
            </w:pPr>
            <w:r w:rsidRPr="00387E96">
              <w:rPr>
                <w:rFonts w:asciiTheme="majorBidi" w:hAnsiTheme="majorBidi" w:cstheme="majorBidi"/>
              </w:rPr>
              <w:t>CH</w:t>
            </w:r>
            <w:r w:rsidRPr="00387E96">
              <w:rPr>
                <w:rFonts w:asciiTheme="majorBidi" w:hAnsiTheme="majorBidi" w:cstheme="majorBidi"/>
                <w:vertAlign w:val="subscript"/>
              </w:rPr>
              <w:t>4</w:t>
            </w:r>
          </w:p>
        </w:tc>
        <w:tc>
          <w:tcPr>
            <w:tcW w:w="799" w:type="dxa"/>
            <w:shd w:val="clear" w:color="auto" w:fill="FFFFFF" w:themeFill="background1"/>
            <w:vAlign w:val="center"/>
            <w:hideMark/>
          </w:tcPr>
          <w:p w:rsidR="00986226" w:rsidRPr="00387E96" w:rsidRDefault="00911532" w:rsidP="00B70194">
            <w:pPr>
              <w:jc w:val="center"/>
              <w:rPr>
                <w:rFonts w:asciiTheme="majorBidi" w:hAnsiTheme="majorBidi" w:cstheme="majorBidi"/>
              </w:rPr>
            </w:pPr>
            <w:r w:rsidRPr="00387E96">
              <w:rPr>
                <w:rFonts w:asciiTheme="majorBidi" w:hAnsiTheme="majorBidi" w:cstheme="majorBidi"/>
              </w:rPr>
              <w:t>N</w:t>
            </w:r>
            <w:r w:rsidRPr="00387E96">
              <w:rPr>
                <w:rFonts w:asciiTheme="majorBidi" w:hAnsiTheme="majorBidi" w:cstheme="majorBidi"/>
                <w:vertAlign w:val="subscript"/>
              </w:rPr>
              <w:t>2</w:t>
            </w:r>
            <w:r w:rsidRPr="00387E96">
              <w:rPr>
                <w:rFonts w:asciiTheme="majorBidi" w:hAnsiTheme="majorBidi" w:cstheme="majorBidi"/>
              </w:rPr>
              <w:t>O</w:t>
            </w:r>
          </w:p>
        </w:tc>
        <w:tc>
          <w:tcPr>
            <w:tcW w:w="1712" w:type="dxa"/>
            <w:vMerge/>
            <w:shd w:val="clear" w:color="auto" w:fill="FFFFFF" w:themeFill="background1"/>
            <w:vAlign w:val="center"/>
            <w:hideMark/>
          </w:tcPr>
          <w:p w:rsidR="00986226" w:rsidRPr="00387E96" w:rsidRDefault="00986226" w:rsidP="00B70194">
            <w:pPr>
              <w:jc w:val="center"/>
              <w:rPr>
                <w:rFonts w:asciiTheme="majorBidi" w:hAnsiTheme="majorBidi" w:cstheme="majorBidi"/>
              </w:rPr>
            </w:pP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2010</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2,049.7</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35.7</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1.5</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3,276.5</w:t>
            </w: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2011</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1,900.2</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38.2</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1.7</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3,226.3</w:t>
            </w: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2012</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2,059.3</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38.5</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1.7</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3,380.6</w:t>
            </w: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2013</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2,294.7</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38.5</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1.6</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3,612.0</w:t>
            </w: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2014</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3,180.3</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40.5</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1.9</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4,614.9</w:t>
            </w: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2015</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3,013.4</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42.8</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1.9</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4,496.1</w:t>
            </w:r>
          </w:p>
        </w:tc>
      </w:tr>
      <w:tr w:rsidR="00986226" w:rsidRPr="00387E96" w:rsidTr="00387E96">
        <w:trPr>
          <w:trHeight w:val="340"/>
          <w:jc w:val="center"/>
        </w:trPr>
        <w:tc>
          <w:tcPr>
            <w:tcW w:w="78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2016</w:t>
            </w:r>
          </w:p>
        </w:tc>
        <w:tc>
          <w:tcPr>
            <w:tcW w:w="120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3,254.5</w:t>
            </w:r>
          </w:p>
        </w:tc>
        <w:tc>
          <w:tcPr>
            <w:tcW w:w="8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44.2</w:t>
            </w:r>
          </w:p>
        </w:tc>
        <w:tc>
          <w:tcPr>
            <w:tcW w:w="799"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1.5</w:t>
            </w:r>
          </w:p>
        </w:tc>
        <w:tc>
          <w:tcPr>
            <w:tcW w:w="1712" w:type="dxa"/>
            <w:shd w:val="clear" w:color="auto" w:fill="FFFFFF" w:themeFill="background1"/>
            <w:noWrap/>
            <w:vAlign w:val="center"/>
            <w:hideMark/>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4,645.5</w:t>
            </w:r>
          </w:p>
        </w:tc>
      </w:tr>
      <w:tr w:rsidR="00986226" w:rsidRPr="00387E96" w:rsidTr="00387E96">
        <w:trPr>
          <w:trHeight w:val="340"/>
          <w:jc w:val="center"/>
        </w:trPr>
        <w:tc>
          <w:tcPr>
            <w:tcW w:w="782" w:type="dxa"/>
            <w:shd w:val="clear" w:color="auto" w:fill="FFFFFF" w:themeFill="background1"/>
            <w:noWrap/>
            <w:vAlign w:val="center"/>
          </w:tcPr>
          <w:p w:rsidR="00986226" w:rsidRPr="00387E96" w:rsidRDefault="00986226" w:rsidP="00B70194">
            <w:pPr>
              <w:bidi w:val="0"/>
              <w:ind w:right="176"/>
              <w:rPr>
                <w:rFonts w:asciiTheme="majorBidi" w:hAnsiTheme="majorBidi" w:cstheme="majorBidi"/>
                <w:b/>
                <w:bCs/>
                <w:lang w:eastAsia="en-US"/>
              </w:rPr>
            </w:pPr>
            <w:r w:rsidRPr="00387E96">
              <w:rPr>
                <w:rFonts w:asciiTheme="majorBidi" w:hAnsiTheme="majorBidi" w:cstheme="majorBidi"/>
                <w:b/>
                <w:bCs/>
                <w:lang w:eastAsia="en-US"/>
              </w:rPr>
              <w:t>2017</w:t>
            </w:r>
          </w:p>
        </w:tc>
        <w:tc>
          <w:tcPr>
            <w:tcW w:w="1202" w:type="dxa"/>
            <w:shd w:val="clear" w:color="auto" w:fill="FFFFFF" w:themeFill="background1"/>
            <w:noWrap/>
            <w:vAlign w:val="center"/>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3,284.3</w:t>
            </w:r>
          </w:p>
        </w:tc>
        <w:tc>
          <w:tcPr>
            <w:tcW w:w="812" w:type="dxa"/>
            <w:shd w:val="clear" w:color="auto" w:fill="FFFFFF" w:themeFill="background1"/>
            <w:noWrap/>
            <w:vAlign w:val="center"/>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44.2</w:t>
            </w:r>
          </w:p>
        </w:tc>
        <w:tc>
          <w:tcPr>
            <w:tcW w:w="799" w:type="dxa"/>
            <w:shd w:val="clear" w:color="auto" w:fill="FFFFFF" w:themeFill="background1"/>
            <w:noWrap/>
            <w:vAlign w:val="center"/>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1.8</w:t>
            </w:r>
          </w:p>
        </w:tc>
        <w:tc>
          <w:tcPr>
            <w:tcW w:w="1712" w:type="dxa"/>
            <w:shd w:val="clear" w:color="auto" w:fill="FFFFFF" w:themeFill="background1"/>
            <w:noWrap/>
            <w:vAlign w:val="center"/>
          </w:tcPr>
          <w:p w:rsidR="00986226" w:rsidRPr="00387E96" w:rsidRDefault="00986226" w:rsidP="00B70194">
            <w:pPr>
              <w:bidi w:val="0"/>
              <w:ind w:right="176"/>
              <w:rPr>
                <w:rFonts w:asciiTheme="majorBidi" w:hAnsiTheme="majorBidi" w:cstheme="majorBidi"/>
              </w:rPr>
            </w:pPr>
            <w:r w:rsidRPr="00387E96">
              <w:rPr>
                <w:rFonts w:asciiTheme="majorBidi" w:hAnsiTheme="majorBidi" w:cstheme="majorBidi"/>
              </w:rPr>
              <w:t>4,777.2</w:t>
            </w:r>
          </w:p>
        </w:tc>
      </w:tr>
    </w:tbl>
    <w:p w:rsidR="00387E96" w:rsidRPr="00387E96" w:rsidRDefault="00387E96" w:rsidP="003A1360">
      <w:pPr>
        <w:bidi w:val="0"/>
        <w:ind w:left="-284" w:right="-356"/>
        <w:jc w:val="both"/>
        <w:rPr>
          <w:sz w:val="16"/>
          <w:szCs w:val="16"/>
        </w:rPr>
      </w:pPr>
    </w:p>
    <w:p w:rsidR="00986226" w:rsidRPr="00FA6CCC" w:rsidRDefault="003A1360" w:rsidP="00387E96">
      <w:pPr>
        <w:bidi w:val="0"/>
        <w:ind w:left="-284" w:right="-356"/>
        <w:jc w:val="both"/>
        <w:rPr>
          <w:color w:val="000000"/>
          <w:w w:val="110"/>
          <w:sz w:val="20"/>
          <w:szCs w:val="20"/>
        </w:rPr>
      </w:pPr>
      <w:r w:rsidRPr="00FA6CCC">
        <w:rPr>
          <w:sz w:val="20"/>
          <w:szCs w:val="20"/>
        </w:rPr>
        <w:t>*</w:t>
      </w:r>
      <w:r w:rsidR="00986226" w:rsidRPr="00FA6CCC">
        <w:rPr>
          <w:sz w:val="20"/>
          <w:szCs w:val="20"/>
        </w:rPr>
        <w:t>Methodology:</w:t>
      </w:r>
      <w:r w:rsidRPr="00FA6CCC">
        <w:rPr>
          <w:sz w:val="20"/>
          <w:szCs w:val="20"/>
        </w:rPr>
        <w:t xml:space="preserve"> </w:t>
      </w:r>
      <w:r w:rsidR="00986226" w:rsidRPr="00FA6CCC">
        <w:rPr>
          <w:rFonts w:cs="Simplified Arabic"/>
          <w:sz w:val="20"/>
          <w:szCs w:val="20"/>
        </w:rPr>
        <w:t>The estimates of emissions to air is based on the 2006 IPCC Guidelines for National Greenhouse Gas Inventories (2006 Guidelines). Those guidelines provide internationally agreed methodologies intended for use by countries to estimate greenhouse gas inventories</w:t>
      </w:r>
      <w:r w:rsidR="00986226" w:rsidRPr="00FA6CCC">
        <w:rPr>
          <w:color w:val="000000"/>
          <w:w w:val="110"/>
          <w:sz w:val="20"/>
          <w:szCs w:val="20"/>
        </w:rPr>
        <w:t>.</w:t>
      </w:r>
    </w:p>
    <w:p w:rsidR="00986226" w:rsidRPr="00387E96" w:rsidRDefault="00986226" w:rsidP="00986226">
      <w:pPr>
        <w:bidi w:val="0"/>
        <w:jc w:val="both"/>
        <w:textAlignment w:val="top"/>
        <w:rPr>
          <w:color w:val="000000"/>
          <w:w w:val="110"/>
          <w:sz w:val="16"/>
          <w:szCs w:val="16"/>
        </w:rPr>
      </w:pPr>
    </w:p>
    <w:p w:rsidR="002B7BE4" w:rsidRPr="00387E96" w:rsidRDefault="008E1965" w:rsidP="008E1965">
      <w:pPr>
        <w:bidi w:val="0"/>
        <w:rPr>
          <w:b/>
          <w:bCs/>
          <w:sz w:val="26"/>
          <w:szCs w:val="26"/>
        </w:rPr>
      </w:pPr>
      <w:r w:rsidRPr="00387E96">
        <w:rPr>
          <w:b/>
          <w:bCs/>
          <w:sz w:val="26"/>
          <w:szCs w:val="26"/>
        </w:rPr>
        <w:t>Energy Sector is the Biggest Source of Emissions in Palestine</w:t>
      </w:r>
    </w:p>
    <w:p w:rsidR="002B7BE4" w:rsidRPr="002B7BE4" w:rsidRDefault="002B7BE4" w:rsidP="00C960B4">
      <w:pPr>
        <w:pStyle w:val="Title"/>
        <w:bidi w:val="0"/>
        <w:jc w:val="both"/>
        <w:rPr>
          <w:b w:val="0"/>
          <w:bCs w:val="0"/>
        </w:rPr>
      </w:pPr>
      <w:r w:rsidRPr="002B7BE4">
        <w:rPr>
          <w:b w:val="0"/>
          <w:bCs w:val="0"/>
        </w:rPr>
        <w:t xml:space="preserve">Energy sector share was </w:t>
      </w:r>
      <w:r w:rsidR="00E80FE9">
        <w:rPr>
          <w:b w:val="0"/>
          <w:bCs w:val="0"/>
        </w:rPr>
        <w:t>71</w:t>
      </w:r>
      <w:r w:rsidRPr="002B7BE4">
        <w:rPr>
          <w:b w:val="0"/>
          <w:bCs w:val="0"/>
        </w:rPr>
        <w:t xml:space="preserve">% of </w:t>
      </w:r>
      <w:r w:rsidR="00793E45">
        <w:rPr>
          <w:b w:val="0"/>
          <w:bCs w:val="0"/>
        </w:rPr>
        <w:t>the total emissions</w:t>
      </w:r>
      <w:r w:rsidRPr="002B7BE4">
        <w:rPr>
          <w:b w:val="0"/>
          <w:bCs w:val="0"/>
        </w:rPr>
        <w:t xml:space="preserve">, whereas solid waste sector share was 19%, and the rest came from agriculture sector </w:t>
      </w:r>
      <w:r w:rsidR="00E80FE9">
        <w:rPr>
          <w:b w:val="0"/>
          <w:bCs w:val="0"/>
        </w:rPr>
        <w:t>10</w:t>
      </w:r>
      <w:r w:rsidR="001D2AB2">
        <w:rPr>
          <w:b w:val="0"/>
          <w:bCs w:val="0"/>
        </w:rPr>
        <w:t>%.</w:t>
      </w:r>
    </w:p>
    <w:p w:rsidR="002B7BE4" w:rsidRDefault="002B7BE4" w:rsidP="002B7BE4">
      <w:pPr>
        <w:pStyle w:val="NormalWeb"/>
        <w:shd w:val="clear" w:color="auto" w:fill="FFFFFF"/>
        <w:spacing w:before="0" w:beforeAutospacing="0" w:after="0" w:afterAutospacing="0"/>
        <w:jc w:val="both"/>
      </w:pPr>
    </w:p>
    <w:p w:rsidR="00387E96" w:rsidRDefault="00911532" w:rsidP="00A019BA">
      <w:pPr>
        <w:bidi w:val="0"/>
        <w:jc w:val="center"/>
        <w:rPr>
          <w:rFonts w:asciiTheme="majorBidi" w:hAnsiTheme="majorBidi" w:cstheme="majorBidi"/>
          <w:b/>
          <w:bCs/>
          <w:sz w:val="26"/>
          <w:szCs w:val="26"/>
        </w:rPr>
      </w:pPr>
      <w:r w:rsidRPr="00387E96">
        <w:rPr>
          <w:rFonts w:asciiTheme="majorBidi" w:hAnsiTheme="majorBidi" w:cstheme="majorBidi"/>
          <w:b/>
          <w:bCs/>
          <w:sz w:val="26"/>
          <w:szCs w:val="26"/>
        </w:rPr>
        <w:t xml:space="preserve">Emissions of Greenhouse Gas Inventory by Sector and Type of </w:t>
      </w:r>
      <w:r w:rsidR="00A019BA" w:rsidRPr="00387E96">
        <w:rPr>
          <w:rFonts w:asciiTheme="majorBidi" w:hAnsiTheme="majorBidi" w:cstheme="majorBidi"/>
          <w:b/>
          <w:bCs/>
          <w:sz w:val="26"/>
          <w:szCs w:val="26"/>
        </w:rPr>
        <w:t>Emission</w:t>
      </w:r>
    </w:p>
    <w:p w:rsidR="002B7BE4" w:rsidRPr="00387E96" w:rsidRDefault="00911532" w:rsidP="00387E96">
      <w:pPr>
        <w:bidi w:val="0"/>
        <w:jc w:val="center"/>
        <w:rPr>
          <w:rFonts w:asciiTheme="majorBidi" w:hAnsiTheme="majorBidi" w:cstheme="majorBidi"/>
          <w:b/>
          <w:bCs/>
          <w:sz w:val="26"/>
          <w:szCs w:val="26"/>
        </w:rPr>
      </w:pPr>
      <w:r w:rsidRPr="00387E96">
        <w:rPr>
          <w:rFonts w:asciiTheme="majorBidi" w:hAnsiTheme="majorBidi" w:cstheme="majorBidi"/>
          <w:b/>
          <w:bCs/>
          <w:sz w:val="26"/>
          <w:szCs w:val="26"/>
        </w:rPr>
        <w:t xml:space="preserve"> (Thousand ton of CO</w:t>
      </w:r>
      <w:r w:rsidRPr="00387E96">
        <w:rPr>
          <w:rFonts w:asciiTheme="majorBidi" w:hAnsiTheme="majorBidi" w:cstheme="majorBidi"/>
          <w:b/>
          <w:bCs/>
          <w:sz w:val="26"/>
          <w:szCs w:val="26"/>
          <w:vertAlign w:val="subscript"/>
        </w:rPr>
        <w:t>2</w:t>
      </w:r>
      <w:r w:rsidRPr="00387E96">
        <w:rPr>
          <w:rFonts w:asciiTheme="majorBidi" w:hAnsiTheme="majorBidi" w:cstheme="majorBidi"/>
          <w:b/>
          <w:bCs/>
          <w:sz w:val="26"/>
          <w:szCs w:val="26"/>
        </w:rPr>
        <w:t xml:space="preserve"> eq.), 2017</w:t>
      </w:r>
    </w:p>
    <w:tbl>
      <w:tblPr>
        <w:tblStyle w:val="TableGrid"/>
        <w:tblW w:w="4991" w:type="dxa"/>
        <w:jc w:val="center"/>
        <w:tblInd w:w="-455" w:type="dxa"/>
        <w:tblLook w:val="04A0"/>
      </w:tblPr>
      <w:tblGrid>
        <w:gridCol w:w="1900"/>
        <w:gridCol w:w="1559"/>
        <w:gridCol w:w="1532"/>
      </w:tblGrid>
      <w:tr w:rsidR="002B7BE4" w:rsidRPr="00387E96" w:rsidTr="00387E96">
        <w:trPr>
          <w:jc w:val="center"/>
        </w:trPr>
        <w:tc>
          <w:tcPr>
            <w:tcW w:w="1900" w:type="dxa"/>
          </w:tcPr>
          <w:p w:rsidR="002B7BE4" w:rsidRPr="00387E96" w:rsidRDefault="00911532" w:rsidP="00A019BA">
            <w:pPr>
              <w:bidi w:val="0"/>
              <w:jc w:val="center"/>
              <w:rPr>
                <w:rFonts w:asciiTheme="majorBidi" w:hAnsiTheme="majorBidi" w:cstheme="majorBidi"/>
                <w:b/>
                <w:bCs/>
                <w:rtl/>
              </w:rPr>
            </w:pPr>
            <w:r w:rsidRPr="00387E96">
              <w:rPr>
                <w:rFonts w:asciiTheme="majorBidi" w:hAnsiTheme="majorBidi" w:cstheme="majorBidi"/>
                <w:b/>
                <w:bCs/>
              </w:rPr>
              <w:t>Sector/Emission</w:t>
            </w:r>
          </w:p>
        </w:tc>
        <w:tc>
          <w:tcPr>
            <w:tcW w:w="1559" w:type="dxa"/>
          </w:tcPr>
          <w:p w:rsidR="002B7BE4" w:rsidRPr="00387E96" w:rsidRDefault="00911532" w:rsidP="00234E9D">
            <w:pPr>
              <w:bidi w:val="0"/>
              <w:jc w:val="center"/>
              <w:rPr>
                <w:rFonts w:asciiTheme="majorBidi" w:hAnsiTheme="majorBidi" w:cstheme="majorBidi"/>
                <w:b/>
                <w:bCs/>
              </w:rPr>
            </w:pPr>
            <w:r w:rsidRPr="00387E96">
              <w:rPr>
                <w:rFonts w:asciiTheme="majorBidi" w:hAnsiTheme="majorBidi" w:cstheme="majorBidi"/>
                <w:b/>
                <w:bCs/>
              </w:rPr>
              <w:t xml:space="preserve">GHG inventory </w:t>
            </w:r>
          </w:p>
          <w:p w:rsidR="002B7BE4" w:rsidRPr="00387E96" w:rsidRDefault="00911532" w:rsidP="00234E9D">
            <w:pPr>
              <w:bidi w:val="0"/>
              <w:jc w:val="center"/>
              <w:rPr>
                <w:rFonts w:asciiTheme="majorBidi" w:hAnsiTheme="majorBidi" w:cstheme="majorBidi"/>
                <w:b/>
                <w:bCs/>
              </w:rPr>
            </w:pPr>
            <w:r w:rsidRPr="00387E96">
              <w:rPr>
                <w:rFonts w:asciiTheme="majorBidi" w:hAnsiTheme="majorBidi" w:cstheme="majorBidi"/>
                <w:b/>
                <w:bCs/>
              </w:rPr>
              <w:t>Thousand ton of CO</w:t>
            </w:r>
            <w:r w:rsidRPr="00387E96">
              <w:rPr>
                <w:rFonts w:asciiTheme="majorBidi" w:hAnsiTheme="majorBidi" w:cstheme="majorBidi"/>
                <w:b/>
                <w:bCs/>
                <w:vertAlign w:val="subscript"/>
              </w:rPr>
              <w:t>2</w:t>
            </w:r>
            <w:r w:rsidRPr="00387E96">
              <w:rPr>
                <w:rFonts w:asciiTheme="majorBidi" w:hAnsiTheme="majorBidi" w:cstheme="majorBidi"/>
                <w:b/>
                <w:bCs/>
              </w:rPr>
              <w:t xml:space="preserve"> eq.</w:t>
            </w:r>
          </w:p>
        </w:tc>
        <w:tc>
          <w:tcPr>
            <w:tcW w:w="1532" w:type="dxa"/>
          </w:tcPr>
          <w:p w:rsidR="002B7BE4" w:rsidRPr="00387E96" w:rsidRDefault="00911532" w:rsidP="00234E9D">
            <w:pPr>
              <w:bidi w:val="0"/>
              <w:jc w:val="center"/>
              <w:rPr>
                <w:rFonts w:asciiTheme="majorBidi" w:hAnsiTheme="majorBidi" w:cstheme="majorBidi"/>
                <w:b/>
                <w:bCs/>
                <w:rtl/>
              </w:rPr>
            </w:pPr>
            <w:r w:rsidRPr="00387E96">
              <w:rPr>
                <w:rFonts w:asciiTheme="majorBidi" w:hAnsiTheme="majorBidi" w:cstheme="majorBidi"/>
                <w:b/>
                <w:bCs/>
              </w:rPr>
              <w:t>Share of sectors in GHG inventory, %</w:t>
            </w:r>
          </w:p>
        </w:tc>
      </w:tr>
      <w:tr w:rsidR="002B7BE4" w:rsidRPr="00387E96" w:rsidTr="00387E96">
        <w:trPr>
          <w:jc w:val="center"/>
        </w:trPr>
        <w:tc>
          <w:tcPr>
            <w:tcW w:w="1900" w:type="dxa"/>
          </w:tcPr>
          <w:p w:rsidR="002B7BE4" w:rsidRPr="00387E96" w:rsidRDefault="00911532" w:rsidP="00234E9D">
            <w:pPr>
              <w:bidi w:val="0"/>
              <w:jc w:val="both"/>
              <w:rPr>
                <w:rFonts w:asciiTheme="majorBidi" w:hAnsiTheme="majorBidi" w:cstheme="majorBidi"/>
                <w:b/>
                <w:bCs/>
                <w:rtl/>
              </w:rPr>
            </w:pPr>
            <w:r w:rsidRPr="00387E96">
              <w:rPr>
                <w:rFonts w:asciiTheme="majorBidi" w:hAnsiTheme="majorBidi" w:cstheme="majorBidi"/>
                <w:b/>
                <w:bCs/>
              </w:rPr>
              <w:t>Sector</w:t>
            </w:r>
          </w:p>
        </w:tc>
        <w:tc>
          <w:tcPr>
            <w:tcW w:w="1559" w:type="dxa"/>
          </w:tcPr>
          <w:p w:rsidR="002B7BE4" w:rsidRPr="00387E96" w:rsidRDefault="002B7BE4" w:rsidP="00234E9D">
            <w:pPr>
              <w:bidi w:val="0"/>
              <w:jc w:val="both"/>
              <w:rPr>
                <w:rFonts w:asciiTheme="majorBidi" w:hAnsiTheme="majorBidi" w:cstheme="majorBidi"/>
                <w:rtl/>
              </w:rPr>
            </w:pPr>
          </w:p>
        </w:tc>
        <w:tc>
          <w:tcPr>
            <w:tcW w:w="1532" w:type="dxa"/>
          </w:tcPr>
          <w:p w:rsidR="002B7BE4" w:rsidRPr="00387E96" w:rsidRDefault="002B7BE4" w:rsidP="00234E9D">
            <w:pPr>
              <w:bidi w:val="0"/>
              <w:jc w:val="both"/>
              <w:rPr>
                <w:rFonts w:asciiTheme="majorBidi" w:hAnsiTheme="majorBidi" w:cstheme="majorBidi"/>
                <w:rtl/>
              </w:rPr>
            </w:pPr>
          </w:p>
        </w:tc>
      </w:tr>
      <w:tr w:rsidR="009704C3" w:rsidRPr="00387E96" w:rsidTr="00387E96">
        <w:trPr>
          <w:jc w:val="center"/>
        </w:trPr>
        <w:tc>
          <w:tcPr>
            <w:tcW w:w="1900" w:type="dxa"/>
          </w:tcPr>
          <w:p w:rsidR="009704C3" w:rsidRPr="00387E96" w:rsidRDefault="00911532" w:rsidP="00234E9D">
            <w:pPr>
              <w:bidi w:val="0"/>
              <w:ind w:left="284"/>
              <w:jc w:val="both"/>
              <w:rPr>
                <w:rFonts w:asciiTheme="majorBidi" w:hAnsiTheme="majorBidi" w:cstheme="majorBidi"/>
              </w:rPr>
            </w:pPr>
            <w:r w:rsidRPr="00387E96">
              <w:rPr>
                <w:rFonts w:asciiTheme="majorBidi" w:hAnsiTheme="majorBidi" w:cstheme="majorBidi"/>
              </w:rPr>
              <w:t>Energy</w:t>
            </w:r>
          </w:p>
        </w:tc>
        <w:tc>
          <w:tcPr>
            <w:tcW w:w="1559" w:type="dxa"/>
          </w:tcPr>
          <w:p w:rsidR="009704C3" w:rsidRPr="00387E96" w:rsidRDefault="00911532" w:rsidP="009704C3">
            <w:pPr>
              <w:bidi w:val="0"/>
              <w:ind w:firstLine="212"/>
              <w:rPr>
                <w:rFonts w:asciiTheme="majorBidi" w:hAnsiTheme="majorBidi" w:cstheme="majorBidi"/>
              </w:rPr>
            </w:pPr>
            <w:r w:rsidRPr="00387E96">
              <w:rPr>
                <w:rFonts w:asciiTheme="majorBidi" w:hAnsiTheme="majorBidi" w:cstheme="majorBidi"/>
              </w:rPr>
              <w:t>3,392.4</w:t>
            </w:r>
          </w:p>
        </w:tc>
        <w:tc>
          <w:tcPr>
            <w:tcW w:w="1532" w:type="dxa"/>
          </w:tcPr>
          <w:p w:rsidR="009704C3" w:rsidRPr="00387E96" w:rsidRDefault="00911532" w:rsidP="00E80FE9">
            <w:pPr>
              <w:bidi w:val="0"/>
              <w:ind w:left="423"/>
              <w:jc w:val="both"/>
              <w:rPr>
                <w:rFonts w:asciiTheme="majorBidi" w:hAnsiTheme="majorBidi" w:cstheme="majorBidi"/>
                <w:rtl/>
              </w:rPr>
            </w:pPr>
            <w:r w:rsidRPr="00387E96">
              <w:rPr>
                <w:rFonts w:asciiTheme="majorBidi" w:hAnsiTheme="majorBidi" w:cstheme="majorBidi"/>
                <w:rtl/>
              </w:rPr>
              <w:t>71.0</w:t>
            </w:r>
          </w:p>
        </w:tc>
      </w:tr>
      <w:tr w:rsidR="009704C3" w:rsidRPr="00387E96" w:rsidTr="00387E96">
        <w:trPr>
          <w:jc w:val="center"/>
        </w:trPr>
        <w:tc>
          <w:tcPr>
            <w:tcW w:w="1900" w:type="dxa"/>
          </w:tcPr>
          <w:p w:rsidR="009704C3" w:rsidRPr="00387E96" w:rsidRDefault="00911532" w:rsidP="00234E9D">
            <w:pPr>
              <w:bidi w:val="0"/>
              <w:ind w:left="284"/>
              <w:jc w:val="both"/>
              <w:rPr>
                <w:rFonts w:asciiTheme="majorBidi" w:hAnsiTheme="majorBidi" w:cstheme="majorBidi"/>
                <w:rtl/>
              </w:rPr>
            </w:pPr>
            <w:r w:rsidRPr="00387E96">
              <w:rPr>
                <w:rFonts w:asciiTheme="majorBidi" w:hAnsiTheme="majorBidi" w:cstheme="majorBidi"/>
              </w:rPr>
              <w:t>Agriculture</w:t>
            </w:r>
          </w:p>
        </w:tc>
        <w:tc>
          <w:tcPr>
            <w:tcW w:w="1559" w:type="dxa"/>
          </w:tcPr>
          <w:p w:rsidR="009704C3" w:rsidRPr="00387E96" w:rsidRDefault="00911532" w:rsidP="009704C3">
            <w:pPr>
              <w:tabs>
                <w:tab w:val="center" w:pos="4153"/>
                <w:tab w:val="right" w:pos="8306"/>
              </w:tabs>
              <w:bidi w:val="0"/>
              <w:ind w:firstLine="212"/>
              <w:rPr>
                <w:rFonts w:asciiTheme="majorBidi" w:hAnsiTheme="majorBidi" w:cstheme="majorBidi"/>
              </w:rPr>
            </w:pPr>
            <w:r w:rsidRPr="00387E96">
              <w:rPr>
                <w:rFonts w:asciiTheme="majorBidi" w:hAnsiTheme="majorBidi" w:cstheme="majorBidi"/>
              </w:rPr>
              <w:t>477.5</w:t>
            </w:r>
          </w:p>
        </w:tc>
        <w:tc>
          <w:tcPr>
            <w:tcW w:w="1532" w:type="dxa"/>
          </w:tcPr>
          <w:p w:rsidR="009704C3" w:rsidRPr="00387E96" w:rsidRDefault="00911532" w:rsidP="00E80FE9">
            <w:pPr>
              <w:tabs>
                <w:tab w:val="center" w:pos="4153"/>
                <w:tab w:val="right" w:pos="8306"/>
              </w:tabs>
              <w:bidi w:val="0"/>
              <w:ind w:left="423"/>
              <w:jc w:val="both"/>
              <w:rPr>
                <w:rFonts w:asciiTheme="majorBidi" w:hAnsiTheme="majorBidi" w:cstheme="majorBidi"/>
                <w:rtl/>
              </w:rPr>
            </w:pPr>
            <w:r w:rsidRPr="00387E96">
              <w:rPr>
                <w:rFonts w:asciiTheme="majorBidi" w:hAnsiTheme="majorBidi" w:cstheme="majorBidi"/>
                <w:rtl/>
              </w:rPr>
              <w:t>10.0</w:t>
            </w:r>
          </w:p>
        </w:tc>
      </w:tr>
      <w:tr w:rsidR="009704C3" w:rsidRPr="00387E96" w:rsidTr="00387E96">
        <w:trPr>
          <w:jc w:val="center"/>
        </w:trPr>
        <w:tc>
          <w:tcPr>
            <w:tcW w:w="1900" w:type="dxa"/>
          </w:tcPr>
          <w:p w:rsidR="009704C3" w:rsidRPr="00387E96" w:rsidRDefault="00911532" w:rsidP="00234E9D">
            <w:pPr>
              <w:tabs>
                <w:tab w:val="center" w:pos="4153"/>
                <w:tab w:val="right" w:pos="8306"/>
              </w:tabs>
              <w:bidi w:val="0"/>
              <w:ind w:left="284"/>
              <w:jc w:val="both"/>
              <w:rPr>
                <w:rFonts w:asciiTheme="majorBidi" w:hAnsiTheme="majorBidi" w:cstheme="majorBidi"/>
                <w:rtl/>
              </w:rPr>
            </w:pPr>
            <w:r w:rsidRPr="00387E96">
              <w:rPr>
                <w:rFonts w:asciiTheme="majorBidi" w:hAnsiTheme="majorBidi" w:cstheme="majorBidi"/>
              </w:rPr>
              <w:t>Waste</w:t>
            </w:r>
          </w:p>
        </w:tc>
        <w:tc>
          <w:tcPr>
            <w:tcW w:w="1559" w:type="dxa"/>
          </w:tcPr>
          <w:p w:rsidR="009704C3" w:rsidRPr="00387E96" w:rsidRDefault="00911532" w:rsidP="009704C3">
            <w:pPr>
              <w:tabs>
                <w:tab w:val="center" w:pos="4153"/>
                <w:tab w:val="right" w:pos="8306"/>
              </w:tabs>
              <w:bidi w:val="0"/>
              <w:ind w:firstLine="212"/>
              <w:rPr>
                <w:rFonts w:asciiTheme="majorBidi" w:hAnsiTheme="majorBidi" w:cstheme="majorBidi"/>
              </w:rPr>
            </w:pPr>
            <w:r w:rsidRPr="00387E96">
              <w:rPr>
                <w:rFonts w:asciiTheme="majorBidi" w:hAnsiTheme="majorBidi" w:cstheme="majorBidi"/>
              </w:rPr>
              <w:t>907.3</w:t>
            </w:r>
          </w:p>
        </w:tc>
        <w:tc>
          <w:tcPr>
            <w:tcW w:w="1532" w:type="dxa"/>
          </w:tcPr>
          <w:p w:rsidR="009704C3" w:rsidRPr="00387E96" w:rsidRDefault="00911532" w:rsidP="00E80FE9">
            <w:pPr>
              <w:tabs>
                <w:tab w:val="center" w:pos="4153"/>
                <w:tab w:val="right" w:pos="8306"/>
              </w:tabs>
              <w:bidi w:val="0"/>
              <w:ind w:left="423"/>
              <w:jc w:val="both"/>
              <w:rPr>
                <w:rFonts w:asciiTheme="majorBidi" w:hAnsiTheme="majorBidi" w:cstheme="majorBidi"/>
                <w:rtl/>
              </w:rPr>
            </w:pPr>
            <w:r w:rsidRPr="00387E96">
              <w:rPr>
                <w:rFonts w:asciiTheme="majorBidi" w:hAnsiTheme="majorBidi" w:cstheme="majorBidi"/>
                <w:rtl/>
              </w:rPr>
              <w:t>19.0</w:t>
            </w:r>
          </w:p>
        </w:tc>
      </w:tr>
      <w:tr w:rsidR="009704C3" w:rsidRPr="00387E96" w:rsidTr="00387E96">
        <w:trPr>
          <w:jc w:val="center"/>
        </w:trPr>
        <w:tc>
          <w:tcPr>
            <w:tcW w:w="1900" w:type="dxa"/>
          </w:tcPr>
          <w:p w:rsidR="009704C3" w:rsidRPr="00387E96" w:rsidRDefault="00911532" w:rsidP="00234E9D">
            <w:pPr>
              <w:tabs>
                <w:tab w:val="center" w:pos="4153"/>
                <w:tab w:val="right" w:pos="8306"/>
              </w:tabs>
              <w:bidi w:val="0"/>
              <w:jc w:val="both"/>
              <w:rPr>
                <w:rFonts w:asciiTheme="majorBidi" w:hAnsiTheme="majorBidi" w:cstheme="majorBidi"/>
                <w:b/>
                <w:bCs/>
                <w:rtl/>
              </w:rPr>
            </w:pPr>
            <w:r w:rsidRPr="00387E96">
              <w:rPr>
                <w:rFonts w:asciiTheme="majorBidi" w:hAnsiTheme="majorBidi" w:cstheme="majorBidi"/>
                <w:b/>
                <w:bCs/>
              </w:rPr>
              <w:t>GHG inventory</w:t>
            </w:r>
          </w:p>
        </w:tc>
        <w:tc>
          <w:tcPr>
            <w:tcW w:w="1559" w:type="dxa"/>
          </w:tcPr>
          <w:p w:rsidR="009704C3" w:rsidRPr="00387E96" w:rsidRDefault="00911532" w:rsidP="009704C3">
            <w:pPr>
              <w:tabs>
                <w:tab w:val="center" w:pos="4153"/>
                <w:tab w:val="right" w:pos="8306"/>
              </w:tabs>
              <w:bidi w:val="0"/>
              <w:ind w:firstLine="212"/>
              <w:rPr>
                <w:rFonts w:asciiTheme="majorBidi" w:hAnsiTheme="majorBidi" w:cstheme="majorBidi"/>
                <w:b/>
                <w:bCs/>
              </w:rPr>
            </w:pPr>
            <w:r w:rsidRPr="00387E96">
              <w:rPr>
                <w:rFonts w:asciiTheme="majorBidi" w:hAnsiTheme="majorBidi" w:cstheme="majorBidi"/>
                <w:b/>
                <w:bCs/>
              </w:rPr>
              <w:t>4,777.2</w:t>
            </w:r>
          </w:p>
        </w:tc>
        <w:tc>
          <w:tcPr>
            <w:tcW w:w="1532" w:type="dxa"/>
          </w:tcPr>
          <w:p w:rsidR="009704C3" w:rsidRPr="00387E96" w:rsidRDefault="00911532" w:rsidP="00E80FE9">
            <w:pPr>
              <w:tabs>
                <w:tab w:val="center" w:pos="4153"/>
                <w:tab w:val="right" w:pos="8306"/>
              </w:tabs>
              <w:bidi w:val="0"/>
              <w:ind w:left="423"/>
              <w:jc w:val="both"/>
              <w:rPr>
                <w:rFonts w:asciiTheme="majorBidi" w:hAnsiTheme="majorBidi" w:cstheme="majorBidi"/>
                <w:b/>
                <w:bCs/>
                <w:rtl/>
              </w:rPr>
            </w:pPr>
            <w:r w:rsidRPr="00387E96">
              <w:rPr>
                <w:rFonts w:asciiTheme="majorBidi" w:hAnsiTheme="majorBidi" w:cstheme="majorBidi"/>
                <w:b/>
                <w:bCs/>
                <w:rtl/>
              </w:rPr>
              <w:t>100</w:t>
            </w:r>
          </w:p>
        </w:tc>
      </w:tr>
      <w:tr w:rsidR="009704C3" w:rsidRPr="00387E96" w:rsidTr="00387E96">
        <w:trPr>
          <w:jc w:val="center"/>
        </w:trPr>
        <w:tc>
          <w:tcPr>
            <w:tcW w:w="1900" w:type="dxa"/>
          </w:tcPr>
          <w:p w:rsidR="009704C3" w:rsidRPr="00387E96" w:rsidRDefault="00911532" w:rsidP="00234E9D">
            <w:pPr>
              <w:bidi w:val="0"/>
              <w:jc w:val="both"/>
              <w:rPr>
                <w:rFonts w:asciiTheme="majorBidi" w:hAnsiTheme="majorBidi" w:cstheme="majorBidi"/>
                <w:b/>
                <w:bCs/>
                <w:rtl/>
              </w:rPr>
            </w:pPr>
            <w:r w:rsidRPr="00387E96">
              <w:rPr>
                <w:rFonts w:asciiTheme="majorBidi" w:hAnsiTheme="majorBidi" w:cstheme="majorBidi"/>
                <w:b/>
                <w:bCs/>
              </w:rPr>
              <w:t>Emission</w:t>
            </w:r>
          </w:p>
        </w:tc>
        <w:tc>
          <w:tcPr>
            <w:tcW w:w="1559" w:type="dxa"/>
          </w:tcPr>
          <w:p w:rsidR="009704C3" w:rsidRPr="00387E96" w:rsidRDefault="009704C3" w:rsidP="009704C3">
            <w:pPr>
              <w:bidi w:val="0"/>
              <w:ind w:firstLine="212"/>
              <w:rPr>
                <w:rFonts w:asciiTheme="majorBidi" w:hAnsiTheme="majorBidi" w:cstheme="majorBidi"/>
                <w:rtl/>
              </w:rPr>
            </w:pPr>
          </w:p>
        </w:tc>
        <w:tc>
          <w:tcPr>
            <w:tcW w:w="1532" w:type="dxa"/>
          </w:tcPr>
          <w:p w:rsidR="009704C3" w:rsidRPr="00387E96" w:rsidRDefault="009704C3" w:rsidP="00E80FE9">
            <w:pPr>
              <w:bidi w:val="0"/>
              <w:ind w:left="423"/>
              <w:jc w:val="both"/>
              <w:rPr>
                <w:rFonts w:asciiTheme="majorBidi" w:hAnsiTheme="majorBidi" w:cstheme="majorBidi"/>
                <w:rtl/>
              </w:rPr>
            </w:pPr>
          </w:p>
        </w:tc>
      </w:tr>
      <w:tr w:rsidR="009704C3" w:rsidRPr="00387E96" w:rsidTr="00387E96">
        <w:trPr>
          <w:jc w:val="center"/>
        </w:trPr>
        <w:tc>
          <w:tcPr>
            <w:tcW w:w="1900" w:type="dxa"/>
          </w:tcPr>
          <w:p w:rsidR="009704C3" w:rsidRPr="00387E96" w:rsidRDefault="00911532" w:rsidP="00234E9D">
            <w:pPr>
              <w:bidi w:val="0"/>
              <w:ind w:left="284"/>
              <w:jc w:val="both"/>
              <w:rPr>
                <w:rFonts w:asciiTheme="majorBidi" w:hAnsiTheme="majorBidi" w:cstheme="majorBidi"/>
              </w:rPr>
            </w:pPr>
            <w:r w:rsidRPr="00387E96">
              <w:rPr>
                <w:rFonts w:asciiTheme="majorBidi" w:hAnsiTheme="majorBidi" w:cstheme="majorBidi"/>
              </w:rPr>
              <w:t>CO</w:t>
            </w:r>
            <w:r w:rsidRPr="00387E96">
              <w:rPr>
                <w:rFonts w:asciiTheme="majorBidi" w:hAnsiTheme="majorBidi" w:cstheme="majorBidi"/>
                <w:vertAlign w:val="subscript"/>
              </w:rPr>
              <w:t>2</w:t>
            </w:r>
          </w:p>
        </w:tc>
        <w:tc>
          <w:tcPr>
            <w:tcW w:w="1559" w:type="dxa"/>
          </w:tcPr>
          <w:p w:rsidR="009704C3" w:rsidRPr="00387E96" w:rsidRDefault="00911532" w:rsidP="009704C3">
            <w:pPr>
              <w:bidi w:val="0"/>
              <w:ind w:firstLine="212"/>
              <w:rPr>
                <w:rFonts w:asciiTheme="majorBidi" w:hAnsiTheme="majorBidi" w:cstheme="majorBidi"/>
              </w:rPr>
            </w:pPr>
            <w:r w:rsidRPr="00387E96">
              <w:rPr>
                <w:rFonts w:asciiTheme="majorBidi" w:hAnsiTheme="majorBidi" w:cstheme="majorBidi"/>
              </w:rPr>
              <w:t>3,284.3</w:t>
            </w:r>
          </w:p>
        </w:tc>
        <w:tc>
          <w:tcPr>
            <w:tcW w:w="1532" w:type="dxa"/>
          </w:tcPr>
          <w:p w:rsidR="009704C3" w:rsidRPr="00387E96" w:rsidRDefault="00911532" w:rsidP="00E80FE9">
            <w:pPr>
              <w:bidi w:val="0"/>
              <w:ind w:left="423"/>
              <w:jc w:val="both"/>
              <w:rPr>
                <w:rFonts w:asciiTheme="majorBidi" w:hAnsiTheme="majorBidi" w:cstheme="majorBidi"/>
                <w:rtl/>
              </w:rPr>
            </w:pPr>
            <w:r w:rsidRPr="00387E96">
              <w:rPr>
                <w:rFonts w:asciiTheme="majorBidi" w:hAnsiTheme="majorBidi" w:cstheme="majorBidi"/>
                <w:rtl/>
              </w:rPr>
              <w:t>68.8</w:t>
            </w:r>
          </w:p>
        </w:tc>
      </w:tr>
      <w:tr w:rsidR="009704C3" w:rsidRPr="00387E96" w:rsidTr="00387E96">
        <w:trPr>
          <w:jc w:val="center"/>
        </w:trPr>
        <w:tc>
          <w:tcPr>
            <w:tcW w:w="1900" w:type="dxa"/>
          </w:tcPr>
          <w:p w:rsidR="009704C3" w:rsidRPr="00387E96" w:rsidRDefault="00911532" w:rsidP="00234E9D">
            <w:pPr>
              <w:bidi w:val="0"/>
              <w:ind w:left="284"/>
              <w:jc w:val="both"/>
              <w:rPr>
                <w:rFonts w:asciiTheme="majorBidi" w:hAnsiTheme="majorBidi" w:cstheme="majorBidi"/>
              </w:rPr>
            </w:pPr>
            <w:r w:rsidRPr="00387E96">
              <w:rPr>
                <w:rFonts w:asciiTheme="majorBidi" w:hAnsiTheme="majorBidi" w:cstheme="majorBidi"/>
              </w:rPr>
              <w:t>CH</w:t>
            </w:r>
            <w:r w:rsidRPr="00387E96">
              <w:rPr>
                <w:rFonts w:asciiTheme="majorBidi" w:hAnsiTheme="majorBidi" w:cstheme="majorBidi"/>
                <w:vertAlign w:val="subscript"/>
              </w:rPr>
              <w:t>4</w:t>
            </w:r>
          </w:p>
        </w:tc>
        <w:tc>
          <w:tcPr>
            <w:tcW w:w="1559" w:type="dxa"/>
          </w:tcPr>
          <w:p w:rsidR="009704C3" w:rsidRPr="00387E96" w:rsidRDefault="00911532" w:rsidP="009704C3">
            <w:pPr>
              <w:bidi w:val="0"/>
              <w:ind w:firstLine="212"/>
              <w:rPr>
                <w:rFonts w:asciiTheme="majorBidi" w:hAnsiTheme="majorBidi" w:cstheme="majorBidi"/>
              </w:rPr>
            </w:pPr>
            <w:r w:rsidRPr="00387E96">
              <w:rPr>
                <w:rFonts w:asciiTheme="majorBidi" w:hAnsiTheme="majorBidi" w:cstheme="majorBidi"/>
              </w:rPr>
              <w:t>928.1</w:t>
            </w:r>
          </w:p>
        </w:tc>
        <w:tc>
          <w:tcPr>
            <w:tcW w:w="1532" w:type="dxa"/>
          </w:tcPr>
          <w:p w:rsidR="009704C3" w:rsidRPr="00387E96" w:rsidRDefault="00911532" w:rsidP="00E80FE9">
            <w:pPr>
              <w:bidi w:val="0"/>
              <w:ind w:left="423"/>
              <w:jc w:val="both"/>
              <w:rPr>
                <w:rFonts w:asciiTheme="majorBidi" w:hAnsiTheme="majorBidi" w:cstheme="majorBidi"/>
                <w:rtl/>
              </w:rPr>
            </w:pPr>
            <w:r w:rsidRPr="00387E96">
              <w:rPr>
                <w:rFonts w:asciiTheme="majorBidi" w:hAnsiTheme="majorBidi" w:cstheme="majorBidi"/>
                <w:rtl/>
              </w:rPr>
              <w:t>19.4</w:t>
            </w:r>
          </w:p>
        </w:tc>
      </w:tr>
      <w:tr w:rsidR="009704C3" w:rsidRPr="00387E96" w:rsidTr="00387E96">
        <w:trPr>
          <w:jc w:val="center"/>
        </w:trPr>
        <w:tc>
          <w:tcPr>
            <w:tcW w:w="1900" w:type="dxa"/>
          </w:tcPr>
          <w:p w:rsidR="009704C3" w:rsidRPr="00387E96" w:rsidRDefault="00911532" w:rsidP="00234E9D">
            <w:pPr>
              <w:bidi w:val="0"/>
              <w:ind w:left="284"/>
              <w:jc w:val="both"/>
              <w:rPr>
                <w:rFonts w:asciiTheme="majorBidi" w:hAnsiTheme="majorBidi" w:cstheme="majorBidi"/>
              </w:rPr>
            </w:pPr>
            <w:r w:rsidRPr="00387E96">
              <w:rPr>
                <w:rFonts w:asciiTheme="majorBidi" w:hAnsiTheme="majorBidi" w:cstheme="majorBidi"/>
              </w:rPr>
              <w:t>N</w:t>
            </w:r>
            <w:r w:rsidRPr="00387E96">
              <w:rPr>
                <w:rFonts w:asciiTheme="majorBidi" w:hAnsiTheme="majorBidi" w:cstheme="majorBidi"/>
                <w:vertAlign w:val="subscript"/>
              </w:rPr>
              <w:t>2</w:t>
            </w:r>
            <w:r w:rsidRPr="00387E96">
              <w:rPr>
                <w:rFonts w:asciiTheme="majorBidi" w:hAnsiTheme="majorBidi" w:cstheme="majorBidi"/>
              </w:rPr>
              <w:t>O</w:t>
            </w:r>
          </w:p>
        </w:tc>
        <w:tc>
          <w:tcPr>
            <w:tcW w:w="1559" w:type="dxa"/>
          </w:tcPr>
          <w:p w:rsidR="009704C3" w:rsidRPr="00387E96" w:rsidRDefault="00911532" w:rsidP="009704C3">
            <w:pPr>
              <w:bidi w:val="0"/>
              <w:ind w:firstLine="212"/>
              <w:rPr>
                <w:rFonts w:asciiTheme="majorBidi" w:hAnsiTheme="majorBidi" w:cstheme="majorBidi"/>
              </w:rPr>
            </w:pPr>
            <w:r w:rsidRPr="00387E96">
              <w:rPr>
                <w:rFonts w:asciiTheme="majorBidi" w:hAnsiTheme="majorBidi" w:cstheme="majorBidi"/>
              </w:rPr>
              <w:t>564.8</w:t>
            </w:r>
          </w:p>
        </w:tc>
        <w:tc>
          <w:tcPr>
            <w:tcW w:w="1532" w:type="dxa"/>
          </w:tcPr>
          <w:p w:rsidR="009704C3" w:rsidRPr="00387E96" w:rsidRDefault="00911532" w:rsidP="00E80FE9">
            <w:pPr>
              <w:bidi w:val="0"/>
              <w:ind w:left="423"/>
              <w:jc w:val="both"/>
              <w:rPr>
                <w:rFonts w:asciiTheme="majorBidi" w:hAnsiTheme="majorBidi" w:cstheme="majorBidi"/>
                <w:rtl/>
              </w:rPr>
            </w:pPr>
            <w:r w:rsidRPr="00387E96">
              <w:rPr>
                <w:rFonts w:asciiTheme="majorBidi" w:hAnsiTheme="majorBidi" w:cstheme="majorBidi"/>
                <w:rtl/>
              </w:rPr>
              <w:t>11.8</w:t>
            </w:r>
          </w:p>
        </w:tc>
      </w:tr>
      <w:tr w:rsidR="009704C3" w:rsidRPr="00387E96" w:rsidTr="00387E96">
        <w:trPr>
          <w:jc w:val="center"/>
        </w:trPr>
        <w:tc>
          <w:tcPr>
            <w:tcW w:w="1900" w:type="dxa"/>
          </w:tcPr>
          <w:p w:rsidR="009704C3" w:rsidRPr="00387E96" w:rsidRDefault="00911532" w:rsidP="00234E9D">
            <w:pPr>
              <w:bidi w:val="0"/>
              <w:jc w:val="both"/>
              <w:rPr>
                <w:rFonts w:asciiTheme="majorBidi" w:hAnsiTheme="majorBidi" w:cstheme="majorBidi"/>
                <w:b/>
                <w:bCs/>
                <w:rtl/>
              </w:rPr>
            </w:pPr>
            <w:r w:rsidRPr="00387E96">
              <w:rPr>
                <w:rFonts w:asciiTheme="majorBidi" w:hAnsiTheme="majorBidi" w:cstheme="majorBidi"/>
                <w:b/>
                <w:bCs/>
              </w:rPr>
              <w:t>GHG inventory</w:t>
            </w:r>
          </w:p>
        </w:tc>
        <w:tc>
          <w:tcPr>
            <w:tcW w:w="1559" w:type="dxa"/>
          </w:tcPr>
          <w:p w:rsidR="009704C3" w:rsidRPr="00387E96" w:rsidRDefault="00911532" w:rsidP="009704C3">
            <w:pPr>
              <w:bidi w:val="0"/>
              <w:ind w:firstLine="212"/>
              <w:rPr>
                <w:rFonts w:asciiTheme="majorBidi" w:hAnsiTheme="majorBidi" w:cstheme="majorBidi"/>
                <w:b/>
                <w:bCs/>
              </w:rPr>
            </w:pPr>
            <w:r w:rsidRPr="00387E96">
              <w:rPr>
                <w:rFonts w:asciiTheme="majorBidi" w:hAnsiTheme="majorBidi" w:cstheme="majorBidi"/>
                <w:b/>
                <w:bCs/>
              </w:rPr>
              <w:t>4,777.2</w:t>
            </w:r>
          </w:p>
        </w:tc>
        <w:tc>
          <w:tcPr>
            <w:tcW w:w="1532" w:type="dxa"/>
          </w:tcPr>
          <w:p w:rsidR="009704C3" w:rsidRPr="00387E96" w:rsidRDefault="00911532" w:rsidP="00E80FE9">
            <w:pPr>
              <w:bidi w:val="0"/>
              <w:ind w:left="423"/>
              <w:jc w:val="both"/>
              <w:rPr>
                <w:rFonts w:asciiTheme="majorBidi" w:hAnsiTheme="majorBidi" w:cstheme="majorBidi"/>
                <w:b/>
                <w:bCs/>
                <w:rtl/>
              </w:rPr>
            </w:pPr>
            <w:r w:rsidRPr="00387E96">
              <w:rPr>
                <w:rFonts w:asciiTheme="majorBidi" w:hAnsiTheme="majorBidi" w:cstheme="majorBidi"/>
                <w:b/>
                <w:bCs/>
                <w:rtl/>
              </w:rPr>
              <w:t>100</w:t>
            </w:r>
          </w:p>
        </w:tc>
      </w:tr>
    </w:tbl>
    <w:p w:rsidR="002B7BE4" w:rsidRPr="00C87035" w:rsidRDefault="002B7BE4" w:rsidP="002B7BE4">
      <w:pPr>
        <w:pStyle w:val="Title"/>
        <w:bidi w:val="0"/>
        <w:jc w:val="both"/>
        <w:rPr>
          <w:b w:val="0"/>
          <w:bCs w:val="0"/>
          <w:sz w:val="16"/>
          <w:szCs w:val="16"/>
        </w:rPr>
      </w:pPr>
    </w:p>
    <w:p w:rsidR="000A6558" w:rsidRPr="00387E96" w:rsidRDefault="000A6558" w:rsidP="000A6558">
      <w:pPr>
        <w:pStyle w:val="Title"/>
        <w:bidi w:val="0"/>
        <w:jc w:val="both"/>
        <w:rPr>
          <w:sz w:val="26"/>
          <w:szCs w:val="26"/>
        </w:rPr>
      </w:pPr>
      <w:r w:rsidRPr="00387E96">
        <w:rPr>
          <w:sz w:val="26"/>
          <w:szCs w:val="26"/>
        </w:rPr>
        <w:t>Per Capita Emissions of CO2 in Palestine is the less comparing with the Neighboring Countries</w:t>
      </w:r>
    </w:p>
    <w:p w:rsidR="002B7BE4" w:rsidRDefault="002B7BE4" w:rsidP="000A6558">
      <w:pPr>
        <w:pStyle w:val="Title"/>
        <w:bidi w:val="0"/>
        <w:jc w:val="both"/>
        <w:rPr>
          <w:b w:val="0"/>
          <w:bCs w:val="0"/>
        </w:rPr>
      </w:pPr>
      <w:r w:rsidRPr="00C169A1">
        <w:rPr>
          <w:b w:val="0"/>
          <w:bCs w:val="0"/>
        </w:rPr>
        <w:t>Palestine’s emissions per capita</w:t>
      </w:r>
      <w:r w:rsidR="00842145">
        <w:rPr>
          <w:b w:val="0"/>
          <w:bCs w:val="0"/>
        </w:rPr>
        <w:t xml:space="preserve"> during </w:t>
      </w:r>
      <w:r w:rsidR="00A540D2">
        <w:rPr>
          <w:b w:val="0"/>
          <w:bCs w:val="0"/>
        </w:rPr>
        <w:t>2017</w:t>
      </w:r>
      <w:r w:rsidRPr="00C169A1">
        <w:rPr>
          <w:b w:val="0"/>
          <w:bCs w:val="0"/>
        </w:rPr>
        <w:t xml:space="preserve"> </w:t>
      </w:r>
      <w:r w:rsidR="00842145">
        <w:rPr>
          <w:b w:val="0"/>
          <w:bCs w:val="0"/>
        </w:rPr>
        <w:t xml:space="preserve">was </w:t>
      </w:r>
      <w:r w:rsidRPr="00C169A1">
        <w:rPr>
          <w:b w:val="0"/>
          <w:bCs w:val="0"/>
        </w:rPr>
        <w:t xml:space="preserve">approximately </w:t>
      </w:r>
      <w:r w:rsidR="00A540D2">
        <w:rPr>
          <w:b w:val="0"/>
          <w:bCs w:val="0"/>
        </w:rPr>
        <w:t>1.0</w:t>
      </w:r>
      <w:r w:rsidRPr="00C169A1">
        <w:rPr>
          <w:b w:val="0"/>
          <w:bCs w:val="0"/>
        </w:rPr>
        <w:t xml:space="preserve"> tons CO</w:t>
      </w:r>
      <w:r w:rsidRPr="00DB7D0A">
        <w:rPr>
          <w:b w:val="0"/>
          <w:bCs w:val="0"/>
          <w:vertAlign w:val="subscript"/>
        </w:rPr>
        <w:t>2</w:t>
      </w:r>
      <w:r w:rsidRPr="00C169A1">
        <w:rPr>
          <w:b w:val="0"/>
          <w:bCs w:val="0"/>
        </w:rPr>
        <w:t xml:space="preserve"> eq.</w:t>
      </w:r>
      <w:r>
        <w:rPr>
          <w:b w:val="0"/>
          <w:bCs w:val="0"/>
        </w:rPr>
        <w:t xml:space="preserve">, where as this figure was 0.8 ton/capita in 2011. </w:t>
      </w:r>
      <w:r w:rsidRPr="00C169A1">
        <w:rPr>
          <w:b w:val="0"/>
          <w:bCs w:val="0"/>
        </w:rPr>
        <w:t xml:space="preserve">Palestine’s emissions per capita </w:t>
      </w:r>
      <w:r w:rsidR="00827157">
        <w:rPr>
          <w:b w:val="0"/>
          <w:bCs w:val="0"/>
        </w:rPr>
        <w:t>we</w:t>
      </w:r>
      <w:r w:rsidR="00827157" w:rsidRPr="00C169A1">
        <w:rPr>
          <w:b w:val="0"/>
          <w:bCs w:val="0"/>
        </w:rPr>
        <w:t xml:space="preserve">re </w:t>
      </w:r>
      <w:r w:rsidRPr="00C169A1">
        <w:rPr>
          <w:b w:val="0"/>
          <w:bCs w:val="0"/>
        </w:rPr>
        <w:t xml:space="preserve">significantly lower than its neighboring countries. The </w:t>
      </w:r>
      <w:r w:rsidR="00E6420B">
        <w:rPr>
          <w:b w:val="0"/>
          <w:bCs w:val="0"/>
        </w:rPr>
        <w:t xml:space="preserve">figure </w:t>
      </w:r>
      <w:r w:rsidRPr="00C169A1">
        <w:rPr>
          <w:b w:val="0"/>
          <w:bCs w:val="0"/>
        </w:rPr>
        <w:t xml:space="preserve">below provides the approximate per capita emissions of </w:t>
      </w:r>
      <w:r w:rsidR="00827157" w:rsidRPr="00C169A1">
        <w:rPr>
          <w:b w:val="0"/>
          <w:bCs w:val="0"/>
        </w:rPr>
        <w:t>th</w:t>
      </w:r>
      <w:r w:rsidR="00827157">
        <w:rPr>
          <w:b w:val="0"/>
          <w:bCs w:val="0"/>
        </w:rPr>
        <w:t>o</w:t>
      </w:r>
      <w:r w:rsidR="00827157" w:rsidRPr="00C169A1">
        <w:rPr>
          <w:b w:val="0"/>
          <w:bCs w:val="0"/>
        </w:rPr>
        <w:t xml:space="preserve">se </w:t>
      </w:r>
      <w:r w:rsidRPr="00C169A1">
        <w:rPr>
          <w:b w:val="0"/>
          <w:bCs w:val="0"/>
        </w:rPr>
        <w:t>countries in CO</w:t>
      </w:r>
      <w:r w:rsidRPr="00DF023C">
        <w:rPr>
          <w:b w:val="0"/>
          <w:bCs w:val="0"/>
          <w:vertAlign w:val="subscript"/>
        </w:rPr>
        <w:t>2</w:t>
      </w:r>
      <w:r w:rsidRPr="00C169A1">
        <w:rPr>
          <w:b w:val="0"/>
          <w:bCs w:val="0"/>
        </w:rPr>
        <w:t xml:space="preserve"> equivalents for comparison: </w:t>
      </w:r>
    </w:p>
    <w:p w:rsidR="00C87035" w:rsidRDefault="00C87035" w:rsidP="000A6558">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Default="00387E96" w:rsidP="00387E96">
      <w:pPr>
        <w:bidi w:val="0"/>
        <w:jc w:val="center"/>
        <w:rPr>
          <w:rFonts w:asciiTheme="majorBidi" w:hAnsiTheme="majorBidi" w:cstheme="majorBidi"/>
          <w:b/>
          <w:bCs/>
          <w:sz w:val="16"/>
          <w:szCs w:val="16"/>
        </w:rPr>
      </w:pPr>
    </w:p>
    <w:p w:rsidR="00387E96" w:rsidRPr="00C87035" w:rsidRDefault="00387E96" w:rsidP="00387E96">
      <w:pPr>
        <w:bidi w:val="0"/>
        <w:jc w:val="center"/>
        <w:rPr>
          <w:rFonts w:asciiTheme="majorBidi" w:hAnsiTheme="majorBidi" w:cstheme="majorBidi"/>
          <w:b/>
          <w:bCs/>
          <w:sz w:val="16"/>
          <w:szCs w:val="16"/>
        </w:rPr>
      </w:pPr>
    </w:p>
    <w:p w:rsidR="00097760" w:rsidRPr="00387E96" w:rsidRDefault="00911532" w:rsidP="00387E96">
      <w:pPr>
        <w:bidi w:val="0"/>
        <w:jc w:val="center"/>
        <w:rPr>
          <w:rFonts w:asciiTheme="majorBidi" w:hAnsiTheme="majorBidi" w:cstheme="majorBidi"/>
          <w:b/>
          <w:bCs/>
          <w:sz w:val="26"/>
          <w:szCs w:val="26"/>
        </w:rPr>
      </w:pPr>
      <w:r w:rsidRPr="00387E96">
        <w:rPr>
          <w:rFonts w:asciiTheme="majorBidi" w:hAnsiTheme="majorBidi" w:cstheme="majorBidi"/>
          <w:b/>
          <w:bCs/>
          <w:sz w:val="26"/>
          <w:szCs w:val="26"/>
        </w:rPr>
        <w:t>Per Capita Emissions of CO</w:t>
      </w:r>
      <w:r w:rsidRPr="00387E96">
        <w:rPr>
          <w:rFonts w:asciiTheme="majorBidi" w:hAnsiTheme="majorBidi" w:cstheme="majorBidi"/>
          <w:b/>
          <w:bCs/>
          <w:sz w:val="26"/>
          <w:szCs w:val="26"/>
          <w:vertAlign w:val="subscript"/>
        </w:rPr>
        <w:t>2</w:t>
      </w:r>
      <w:r w:rsidRPr="00387E96">
        <w:rPr>
          <w:rFonts w:asciiTheme="majorBidi" w:hAnsiTheme="majorBidi" w:cstheme="majorBidi"/>
          <w:b/>
          <w:bCs/>
          <w:sz w:val="26"/>
          <w:szCs w:val="26"/>
        </w:rPr>
        <w:t xml:space="preserve"> in Palestine and Neighboring Countries (ton CO</w:t>
      </w:r>
      <w:r w:rsidRPr="00387E96">
        <w:rPr>
          <w:rFonts w:asciiTheme="majorBidi" w:hAnsiTheme="majorBidi" w:cstheme="majorBidi"/>
          <w:b/>
          <w:bCs/>
          <w:sz w:val="26"/>
          <w:szCs w:val="26"/>
          <w:vertAlign w:val="subscript"/>
        </w:rPr>
        <w:t>2</w:t>
      </w:r>
      <w:r w:rsidRPr="00387E96">
        <w:rPr>
          <w:rFonts w:asciiTheme="majorBidi" w:hAnsiTheme="majorBidi" w:cstheme="majorBidi"/>
          <w:b/>
          <w:bCs/>
          <w:sz w:val="26"/>
          <w:szCs w:val="26"/>
        </w:rPr>
        <w:t xml:space="preserve"> eq.)</w:t>
      </w:r>
      <w:proofErr w:type="spellStart"/>
      <w:r w:rsidRPr="00387E96">
        <w:rPr>
          <w:rFonts w:asciiTheme="majorBidi" w:hAnsiTheme="majorBidi" w:cstheme="majorBidi"/>
          <w:b/>
          <w:bCs/>
          <w:sz w:val="26"/>
          <w:szCs w:val="26"/>
          <w:rtl/>
        </w:rPr>
        <w:t>*</w:t>
      </w:r>
      <w:proofErr w:type="spellEnd"/>
    </w:p>
    <w:p w:rsidR="00097760" w:rsidRDefault="00097760" w:rsidP="00387E96">
      <w:pPr>
        <w:pBdr>
          <w:top w:val="single" w:sz="4" w:space="1" w:color="auto"/>
          <w:left w:val="single" w:sz="4" w:space="0" w:color="auto"/>
          <w:bottom w:val="single" w:sz="4" w:space="1" w:color="auto"/>
          <w:right w:val="single" w:sz="4" w:space="4" w:color="auto"/>
        </w:pBdr>
        <w:bidi w:val="0"/>
        <w:jc w:val="center"/>
        <w:rPr>
          <w:rFonts w:cs="Simplified Arabic"/>
          <w:b/>
          <w:bCs/>
          <w:sz w:val="22"/>
          <w:szCs w:val="22"/>
          <w:rtl/>
        </w:rPr>
      </w:pPr>
      <w:r w:rsidRPr="005E1511">
        <w:rPr>
          <w:rFonts w:cs="Simplified Arabic"/>
          <w:b/>
          <w:bCs/>
          <w:noProof/>
          <w:sz w:val="22"/>
          <w:szCs w:val="22"/>
          <w:rtl/>
          <w:lang w:eastAsia="en-US"/>
        </w:rPr>
        <w:drawing>
          <wp:inline distT="0" distB="0" distL="0" distR="0">
            <wp:extent cx="3152775" cy="17907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7E96" w:rsidRPr="00387E96" w:rsidRDefault="00387E96" w:rsidP="000A6558">
      <w:pPr>
        <w:bidi w:val="0"/>
        <w:jc w:val="both"/>
        <w:textAlignment w:val="top"/>
        <w:rPr>
          <w:rFonts w:cs="Simplified Arabic"/>
          <w:sz w:val="4"/>
          <w:szCs w:val="4"/>
        </w:rPr>
      </w:pPr>
    </w:p>
    <w:p w:rsidR="000A6558" w:rsidRPr="000A6558" w:rsidRDefault="000A6558" w:rsidP="00387E96">
      <w:pPr>
        <w:bidi w:val="0"/>
        <w:jc w:val="both"/>
        <w:textAlignment w:val="top"/>
        <w:rPr>
          <w:rFonts w:cs="Simplified Arabic"/>
          <w:sz w:val="20"/>
          <w:szCs w:val="20"/>
        </w:rPr>
      </w:pPr>
      <w:r w:rsidRPr="000A6558">
        <w:rPr>
          <w:rFonts w:cs="Simplified Arabic"/>
          <w:sz w:val="20"/>
          <w:szCs w:val="20"/>
        </w:rPr>
        <w:t>*: Data represent the last year</w:t>
      </w:r>
    </w:p>
    <w:p w:rsidR="00387E96" w:rsidRPr="00387E96" w:rsidRDefault="00387E96" w:rsidP="00A019BA">
      <w:pPr>
        <w:bidi w:val="0"/>
        <w:jc w:val="both"/>
        <w:textAlignment w:val="top"/>
        <w:rPr>
          <w:rFonts w:cs="Simplified Arabic"/>
          <w:b/>
          <w:bCs/>
          <w:sz w:val="16"/>
          <w:szCs w:val="16"/>
        </w:rPr>
      </w:pPr>
    </w:p>
    <w:p w:rsidR="003C7BB9" w:rsidRPr="00387E96" w:rsidRDefault="007C6597" w:rsidP="00387E96">
      <w:pPr>
        <w:bidi w:val="0"/>
        <w:jc w:val="both"/>
        <w:textAlignment w:val="top"/>
        <w:rPr>
          <w:rFonts w:cs="Simplified Arabic"/>
          <w:b/>
          <w:bCs/>
          <w:sz w:val="26"/>
          <w:szCs w:val="26"/>
        </w:rPr>
      </w:pPr>
      <w:r w:rsidRPr="00387E96">
        <w:rPr>
          <w:rFonts w:cs="Simplified Arabic"/>
          <w:b/>
          <w:bCs/>
          <w:sz w:val="26"/>
          <w:szCs w:val="26"/>
        </w:rPr>
        <w:t xml:space="preserve">Sharp </w:t>
      </w:r>
      <w:r w:rsidR="00A019BA" w:rsidRPr="00387E96">
        <w:rPr>
          <w:rFonts w:cs="Simplified Arabic"/>
          <w:b/>
          <w:bCs/>
          <w:sz w:val="26"/>
          <w:szCs w:val="26"/>
        </w:rPr>
        <w:t xml:space="preserve">Decrease </w:t>
      </w:r>
      <w:r w:rsidRPr="00387E96">
        <w:rPr>
          <w:rFonts w:cs="Simplified Arabic"/>
          <w:b/>
          <w:bCs/>
          <w:sz w:val="26"/>
          <w:szCs w:val="26"/>
        </w:rPr>
        <w:t xml:space="preserve">in </w:t>
      </w:r>
      <w:r w:rsidR="003C7BB9" w:rsidRPr="00387E96">
        <w:rPr>
          <w:rFonts w:cs="Simplified Arabic"/>
          <w:b/>
          <w:bCs/>
          <w:sz w:val="26"/>
          <w:szCs w:val="26"/>
        </w:rPr>
        <w:t>Renewable Energy Share in the Total Final Energy Consumption</w:t>
      </w:r>
    </w:p>
    <w:p w:rsidR="003C7BB9" w:rsidRDefault="003C7BB9" w:rsidP="007C6597">
      <w:pPr>
        <w:bidi w:val="0"/>
        <w:jc w:val="both"/>
        <w:textAlignment w:val="top"/>
        <w:rPr>
          <w:rFonts w:cs="Simplified Arabic"/>
        </w:rPr>
      </w:pPr>
      <w:r w:rsidRPr="003C7BB9">
        <w:rPr>
          <w:rFonts w:cs="Simplified Arabic"/>
        </w:rPr>
        <w:t xml:space="preserve">Data showed that the percentage of renewable energy in the total final energy consumption in Palestine was </w:t>
      </w:r>
      <w:r w:rsidR="007C6597">
        <w:rPr>
          <w:rFonts w:cs="Simplified Arabic"/>
        </w:rPr>
        <w:t>10</w:t>
      </w:r>
      <w:r w:rsidRPr="003C7BB9">
        <w:rPr>
          <w:rFonts w:cs="Simplified Arabic"/>
        </w:rPr>
        <w:t>% during 2017</w:t>
      </w:r>
      <w:r w:rsidR="007C6597">
        <w:rPr>
          <w:rFonts w:cs="Simplified Arabic"/>
        </w:rPr>
        <w:t xml:space="preserve"> whereas this share was 24% during 2004</w:t>
      </w:r>
      <w:r>
        <w:rPr>
          <w:rFonts w:cs="Simplified Arabic"/>
        </w:rPr>
        <w:t>. Data showed that 34%</w:t>
      </w:r>
      <w:r w:rsidR="006D41C5">
        <w:rPr>
          <w:rFonts w:cs="Simplified Arabic"/>
        </w:rPr>
        <w:t xml:space="preserve"> </w:t>
      </w:r>
      <w:r>
        <w:rPr>
          <w:rFonts w:cs="Simplified Arabic"/>
        </w:rPr>
        <w:t xml:space="preserve">of </w:t>
      </w:r>
      <w:r w:rsidR="002F5070">
        <w:rPr>
          <w:rFonts w:cs="Simplified Arabic"/>
        </w:rPr>
        <w:t xml:space="preserve">the </w:t>
      </w:r>
      <w:r>
        <w:rPr>
          <w:rFonts w:cs="Simplified Arabic"/>
        </w:rPr>
        <w:t>Palestinian households use</w:t>
      </w:r>
      <w:r w:rsidR="004E6F50">
        <w:rPr>
          <w:rFonts w:cs="Simplified Arabic"/>
        </w:rPr>
        <w:t>d</w:t>
      </w:r>
      <w:r>
        <w:rPr>
          <w:rFonts w:cs="Simplified Arabic"/>
        </w:rPr>
        <w:t xml:space="preserve"> wood and olive cake for energy purposes.</w:t>
      </w:r>
    </w:p>
    <w:p w:rsidR="00502BE0" w:rsidRPr="00387E96" w:rsidRDefault="00502BE0" w:rsidP="00502BE0">
      <w:pPr>
        <w:bidi w:val="0"/>
        <w:jc w:val="both"/>
        <w:textAlignment w:val="top"/>
        <w:rPr>
          <w:rFonts w:cs="Simplified Arabic"/>
          <w:sz w:val="16"/>
          <w:szCs w:val="16"/>
        </w:rPr>
      </w:pPr>
    </w:p>
    <w:p w:rsidR="007C544C" w:rsidRPr="00387E96" w:rsidRDefault="00911532" w:rsidP="00813FF0">
      <w:pPr>
        <w:bidi w:val="0"/>
        <w:jc w:val="center"/>
        <w:rPr>
          <w:rFonts w:asciiTheme="majorBidi" w:hAnsiTheme="majorBidi" w:cstheme="majorBidi"/>
          <w:b/>
          <w:bCs/>
          <w:sz w:val="26"/>
          <w:szCs w:val="26"/>
        </w:rPr>
      </w:pPr>
      <w:r w:rsidRPr="00387E96">
        <w:rPr>
          <w:rFonts w:asciiTheme="majorBidi" w:hAnsiTheme="majorBidi" w:cstheme="majorBidi"/>
          <w:b/>
          <w:bCs/>
          <w:sz w:val="26"/>
          <w:szCs w:val="26"/>
        </w:rPr>
        <w:t>Renewable Energy Share in the Total Final Energy Consumption in Palestine for Selected Years</w:t>
      </w:r>
    </w:p>
    <w:p w:rsidR="003C7BB9" w:rsidRDefault="00502BE0" w:rsidP="00387E96">
      <w:pPr>
        <w:pBdr>
          <w:top w:val="single" w:sz="4" w:space="1" w:color="auto"/>
          <w:left w:val="single" w:sz="4" w:space="4" w:color="auto"/>
          <w:bottom w:val="single" w:sz="4" w:space="1" w:color="auto"/>
          <w:right w:val="single" w:sz="4" w:space="4" w:color="auto"/>
        </w:pBdr>
        <w:bidi w:val="0"/>
        <w:jc w:val="center"/>
        <w:textAlignment w:val="top"/>
        <w:rPr>
          <w:rFonts w:cs="Simplified Arabic"/>
        </w:rPr>
      </w:pPr>
      <w:r w:rsidRPr="00D76580">
        <w:rPr>
          <w:rFonts w:ascii="Simplified Arabic" w:hAnsi="Simplified Arabic" w:cs="Simplified Arabic"/>
          <w:noProof/>
          <w:sz w:val="28"/>
          <w:szCs w:val="28"/>
          <w:rtl/>
          <w:lang w:eastAsia="en-US"/>
        </w:rPr>
        <w:drawing>
          <wp:inline distT="0" distB="0" distL="0" distR="0">
            <wp:extent cx="3171825" cy="2047875"/>
            <wp:effectExtent l="0" t="0" r="0" b="0"/>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7BB9" w:rsidRPr="00D76580" w:rsidRDefault="003C7BB9" w:rsidP="00D208C8">
      <w:pPr>
        <w:jc w:val="center"/>
        <w:rPr>
          <w:rFonts w:ascii="Simplified Arabic" w:hAnsi="Simplified Arabic" w:cs="Simplified Arabic"/>
          <w:sz w:val="28"/>
          <w:szCs w:val="28"/>
          <w:rtl/>
        </w:rPr>
      </w:pPr>
    </w:p>
    <w:p w:rsidR="001B6FB5" w:rsidRDefault="001B6FB5" w:rsidP="00FD1039">
      <w:pPr>
        <w:bidi w:val="0"/>
        <w:jc w:val="right"/>
        <w:rPr>
          <w:rtl/>
        </w:rPr>
      </w:pPr>
    </w:p>
    <w:sectPr w:rsidR="001B6FB5" w:rsidSect="00387E96">
      <w:footerReference w:type="even" r:id="rId11"/>
      <w:footerReference w:type="default" r:id="rId12"/>
      <w:pgSz w:w="11906" w:h="16838"/>
      <w:pgMar w:top="720" w:right="720" w:bottom="720" w:left="720" w:header="284" w:footer="709" w:gutter="0"/>
      <w:cols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DFB" w:rsidRDefault="009E2DFB">
      <w:r>
        <w:separator/>
      </w:r>
    </w:p>
  </w:endnote>
  <w:endnote w:type="continuationSeparator" w:id="0">
    <w:p w:rsidR="009E2DFB" w:rsidRDefault="009E2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02" w:rsidRDefault="00C87D3C" w:rsidP="00C9569E">
    <w:pPr>
      <w:pStyle w:val="Footer"/>
      <w:framePr w:wrap="around" w:vAnchor="text" w:hAnchor="text" w:xAlign="center" w:y="1"/>
      <w:rPr>
        <w:rStyle w:val="PageNumber"/>
      </w:rPr>
    </w:pPr>
    <w:r>
      <w:rPr>
        <w:rStyle w:val="PageNumber"/>
        <w:rtl/>
      </w:rPr>
      <w:fldChar w:fldCharType="begin"/>
    </w:r>
    <w:r w:rsidR="00885002">
      <w:rPr>
        <w:rStyle w:val="PageNumber"/>
      </w:rPr>
      <w:instrText xml:space="preserve">PAGE  </w:instrText>
    </w:r>
    <w:r>
      <w:rPr>
        <w:rStyle w:val="PageNumber"/>
        <w:rtl/>
      </w:rPr>
      <w:fldChar w:fldCharType="end"/>
    </w:r>
  </w:p>
  <w:p w:rsidR="00885002" w:rsidRDefault="008850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02" w:rsidRDefault="00C87D3C" w:rsidP="00C9569E">
    <w:pPr>
      <w:pStyle w:val="Footer"/>
      <w:framePr w:wrap="around" w:vAnchor="text" w:hAnchor="text" w:xAlign="center" w:y="1"/>
      <w:rPr>
        <w:rStyle w:val="PageNumber"/>
      </w:rPr>
    </w:pPr>
    <w:r>
      <w:rPr>
        <w:rStyle w:val="PageNumber"/>
        <w:rtl/>
      </w:rPr>
      <w:fldChar w:fldCharType="begin"/>
    </w:r>
    <w:r w:rsidR="00885002">
      <w:rPr>
        <w:rStyle w:val="PageNumber"/>
      </w:rPr>
      <w:instrText xml:space="preserve">PAGE  </w:instrText>
    </w:r>
    <w:r>
      <w:rPr>
        <w:rStyle w:val="PageNumber"/>
        <w:rtl/>
      </w:rPr>
      <w:fldChar w:fldCharType="separate"/>
    </w:r>
    <w:r w:rsidR="00387E96">
      <w:rPr>
        <w:rStyle w:val="PageNumber"/>
        <w:noProof/>
        <w:rtl/>
      </w:rPr>
      <w:t>1</w:t>
    </w:r>
    <w:r>
      <w:rPr>
        <w:rStyle w:val="PageNumber"/>
        <w:rtl/>
      </w:rPr>
      <w:fldChar w:fldCharType="end"/>
    </w:r>
  </w:p>
  <w:p w:rsidR="00885002" w:rsidRDefault="008850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DFB" w:rsidRDefault="009E2DFB">
      <w:r>
        <w:separator/>
      </w:r>
    </w:p>
  </w:footnote>
  <w:footnote w:type="continuationSeparator" w:id="0">
    <w:p w:rsidR="009E2DFB" w:rsidRDefault="009E2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75pt;height:6.75pt;visibility:visible;mso-wrap-style:square" o:bullet="t">
        <v:imagedata r:id="rId1" o:title=""/>
      </v:shape>
    </w:pict>
  </w:numPicBullet>
  <w:abstractNum w:abstractNumId="0">
    <w:nsid w:val="0F4151AA"/>
    <w:multiLevelType w:val="hybridMultilevel"/>
    <w:tmpl w:val="4664C2B4"/>
    <w:lvl w:ilvl="0" w:tplc="ED5ED038">
      <w:start w:val="1"/>
      <w:numFmt w:val="bullet"/>
      <w:lvlText w:val=""/>
      <w:lvlPicBulletId w:val="0"/>
      <w:lvlJc w:val="left"/>
      <w:pPr>
        <w:tabs>
          <w:tab w:val="num" w:pos="720"/>
        </w:tabs>
        <w:ind w:left="720" w:hanging="360"/>
      </w:pPr>
      <w:rPr>
        <w:rFonts w:ascii="Symbol" w:hAnsi="Symbol" w:hint="default"/>
      </w:rPr>
    </w:lvl>
    <w:lvl w:ilvl="1" w:tplc="A7CE3058" w:tentative="1">
      <w:start w:val="1"/>
      <w:numFmt w:val="bullet"/>
      <w:lvlText w:val=""/>
      <w:lvlJc w:val="left"/>
      <w:pPr>
        <w:tabs>
          <w:tab w:val="num" w:pos="1440"/>
        </w:tabs>
        <w:ind w:left="1440" w:hanging="360"/>
      </w:pPr>
      <w:rPr>
        <w:rFonts w:ascii="Symbol" w:hAnsi="Symbol" w:hint="default"/>
      </w:rPr>
    </w:lvl>
    <w:lvl w:ilvl="2" w:tplc="EA44E85E" w:tentative="1">
      <w:start w:val="1"/>
      <w:numFmt w:val="bullet"/>
      <w:lvlText w:val=""/>
      <w:lvlJc w:val="left"/>
      <w:pPr>
        <w:tabs>
          <w:tab w:val="num" w:pos="2160"/>
        </w:tabs>
        <w:ind w:left="2160" w:hanging="360"/>
      </w:pPr>
      <w:rPr>
        <w:rFonts w:ascii="Symbol" w:hAnsi="Symbol" w:hint="default"/>
      </w:rPr>
    </w:lvl>
    <w:lvl w:ilvl="3" w:tplc="F79EFAA0" w:tentative="1">
      <w:start w:val="1"/>
      <w:numFmt w:val="bullet"/>
      <w:lvlText w:val=""/>
      <w:lvlJc w:val="left"/>
      <w:pPr>
        <w:tabs>
          <w:tab w:val="num" w:pos="2880"/>
        </w:tabs>
        <w:ind w:left="2880" w:hanging="360"/>
      </w:pPr>
      <w:rPr>
        <w:rFonts w:ascii="Symbol" w:hAnsi="Symbol" w:hint="default"/>
      </w:rPr>
    </w:lvl>
    <w:lvl w:ilvl="4" w:tplc="7D722042" w:tentative="1">
      <w:start w:val="1"/>
      <w:numFmt w:val="bullet"/>
      <w:lvlText w:val=""/>
      <w:lvlJc w:val="left"/>
      <w:pPr>
        <w:tabs>
          <w:tab w:val="num" w:pos="3600"/>
        </w:tabs>
        <w:ind w:left="3600" w:hanging="360"/>
      </w:pPr>
      <w:rPr>
        <w:rFonts w:ascii="Symbol" w:hAnsi="Symbol" w:hint="default"/>
      </w:rPr>
    </w:lvl>
    <w:lvl w:ilvl="5" w:tplc="F6C6B6A2" w:tentative="1">
      <w:start w:val="1"/>
      <w:numFmt w:val="bullet"/>
      <w:lvlText w:val=""/>
      <w:lvlJc w:val="left"/>
      <w:pPr>
        <w:tabs>
          <w:tab w:val="num" w:pos="4320"/>
        </w:tabs>
        <w:ind w:left="4320" w:hanging="360"/>
      </w:pPr>
      <w:rPr>
        <w:rFonts w:ascii="Symbol" w:hAnsi="Symbol" w:hint="default"/>
      </w:rPr>
    </w:lvl>
    <w:lvl w:ilvl="6" w:tplc="D9424582" w:tentative="1">
      <w:start w:val="1"/>
      <w:numFmt w:val="bullet"/>
      <w:lvlText w:val=""/>
      <w:lvlJc w:val="left"/>
      <w:pPr>
        <w:tabs>
          <w:tab w:val="num" w:pos="5040"/>
        </w:tabs>
        <w:ind w:left="5040" w:hanging="360"/>
      </w:pPr>
      <w:rPr>
        <w:rFonts w:ascii="Symbol" w:hAnsi="Symbol" w:hint="default"/>
      </w:rPr>
    </w:lvl>
    <w:lvl w:ilvl="7" w:tplc="F0CEA54C" w:tentative="1">
      <w:start w:val="1"/>
      <w:numFmt w:val="bullet"/>
      <w:lvlText w:val=""/>
      <w:lvlJc w:val="left"/>
      <w:pPr>
        <w:tabs>
          <w:tab w:val="num" w:pos="5760"/>
        </w:tabs>
        <w:ind w:left="5760" w:hanging="360"/>
      </w:pPr>
      <w:rPr>
        <w:rFonts w:ascii="Symbol" w:hAnsi="Symbol" w:hint="default"/>
      </w:rPr>
    </w:lvl>
    <w:lvl w:ilvl="8" w:tplc="D758FAE8" w:tentative="1">
      <w:start w:val="1"/>
      <w:numFmt w:val="bullet"/>
      <w:lvlText w:val=""/>
      <w:lvlJc w:val="left"/>
      <w:pPr>
        <w:tabs>
          <w:tab w:val="num" w:pos="6480"/>
        </w:tabs>
        <w:ind w:left="6480" w:hanging="360"/>
      </w:pPr>
      <w:rPr>
        <w:rFonts w:ascii="Symbol" w:hAnsi="Symbol" w:hint="default"/>
      </w:rPr>
    </w:lvl>
  </w:abstractNum>
  <w:abstractNum w:abstractNumId="1">
    <w:nsid w:val="271579E8"/>
    <w:multiLevelType w:val="multilevel"/>
    <w:tmpl w:val="1F54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4626A4"/>
    <w:multiLevelType w:val="multilevel"/>
    <w:tmpl w:val="58D4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192240"/>
    <w:multiLevelType w:val="multilevel"/>
    <w:tmpl w:val="3646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41A88"/>
    <w:multiLevelType w:val="multilevel"/>
    <w:tmpl w:val="34A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F58E4"/>
    <w:multiLevelType w:val="multilevel"/>
    <w:tmpl w:val="EEA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262ED6"/>
    <w:multiLevelType w:val="multilevel"/>
    <w:tmpl w:val="1E3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2B6FC1"/>
    <w:rsid w:val="0000012F"/>
    <w:rsid w:val="000007A3"/>
    <w:rsid w:val="00003603"/>
    <w:rsid w:val="0000414F"/>
    <w:rsid w:val="00004E4F"/>
    <w:rsid w:val="00011B12"/>
    <w:rsid w:val="0001381A"/>
    <w:rsid w:val="00014D69"/>
    <w:rsid w:val="00016B30"/>
    <w:rsid w:val="0003104F"/>
    <w:rsid w:val="00031113"/>
    <w:rsid w:val="00032384"/>
    <w:rsid w:val="00032DC1"/>
    <w:rsid w:val="00034BEA"/>
    <w:rsid w:val="0004443B"/>
    <w:rsid w:val="000460A7"/>
    <w:rsid w:val="00047024"/>
    <w:rsid w:val="00050756"/>
    <w:rsid w:val="00052E6B"/>
    <w:rsid w:val="00054987"/>
    <w:rsid w:val="00062DE3"/>
    <w:rsid w:val="00065FE2"/>
    <w:rsid w:val="000668F1"/>
    <w:rsid w:val="00071318"/>
    <w:rsid w:val="0008047E"/>
    <w:rsid w:val="00081103"/>
    <w:rsid w:val="000826CB"/>
    <w:rsid w:val="000850C6"/>
    <w:rsid w:val="00094039"/>
    <w:rsid w:val="00094120"/>
    <w:rsid w:val="000945B6"/>
    <w:rsid w:val="000968AC"/>
    <w:rsid w:val="00096E94"/>
    <w:rsid w:val="00097760"/>
    <w:rsid w:val="000A6558"/>
    <w:rsid w:val="000B5DEA"/>
    <w:rsid w:val="000C1795"/>
    <w:rsid w:val="000C2924"/>
    <w:rsid w:val="000C2954"/>
    <w:rsid w:val="000C7FE2"/>
    <w:rsid w:val="000D1FAC"/>
    <w:rsid w:val="000D5B19"/>
    <w:rsid w:val="000D7A0C"/>
    <w:rsid w:val="000E196B"/>
    <w:rsid w:val="000E457B"/>
    <w:rsid w:val="000E744A"/>
    <w:rsid w:val="000F3951"/>
    <w:rsid w:val="000F48CA"/>
    <w:rsid w:val="000F64D2"/>
    <w:rsid w:val="000F663D"/>
    <w:rsid w:val="000F69D3"/>
    <w:rsid w:val="0010205C"/>
    <w:rsid w:val="001112E5"/>
    <w:rsid w:val="0011235A"/>
    <w:rsid w:val="0011529B"/>
    <w:rsid w:val="001158D5"/>
    <w:rsid w:val="001205CC"/>
    <w:rsid w:val="00120BFE"/>
    <w:rsid w:val="00123CCD"/>
    <w:rsid w:val="00124026"/>
    <w:rsid w:val="00124D32"/>
    <w:rsid w:val="00126722"/>
    <w:rsid w:val="00132BEC"/>
    <w:rsid w:val="00133213"/>
    <w:rsid w:val="001357B3"/>
    <w:rsid w:val="00136CFA"/>
    <w:rsid w:val="0014126A"/>
    <w:rsid w:val="0014140D"/>
    <w:rsid w:val="0014390B"/>
    <w:rsid w:val="001458F4"/>
    <w:rsid w:val="00146907"/>
    <w:rsid w:val="00147B3B"/>
    <w:rsid w:val="00151CA6"/>
    <w:rsid w:val="00155F87"/>
    <w:rsid w:val="001560C2"/>
    <w:rsid w:val="00156465"/>
    <w:rsid w:val="00161A45"/>
    <w:rsid w:val="00161CE7"/>
    <w:rsid w:val="0016428D"/>
    <w:rsid w:val="00167620"/>
    <w:rsid w:val="0017032D"/>
    <w:rsid w:val="001748D0"/>
    <w:rsid w:val="00175304"/>
    <w:rsid w:val="00176216"/>
    <w:rsid w:val="001806B9"/>
    <w:rsid w:val="00182E1C"/>
    <w:rsid w:val="00183FE9"/>
    <w:rsid w:val="00190517"/>
    <w:rsid w:val="00196607"/>
    <w:rsid w:val="00196726"/>
    <w:rsid w:val="001979A6"/>
    <w:rsid w:val="00197F32"/>
    <w:rsid w:val="001A2EF1"/>
    <w:rsid w:val="001A4A82"/>
    <w:rsid w:val="001A7151"/>
    <w:rsid w:val="001B30DD"/>
    <w:rsid w:val="001B6FB5"/>
    <w:rsid w:val="001D1861"/>
    <w:rsid w:val="001D2AB2"/>
    <w:rsid w:val="001D5484"/>
    <w:rsid w:val="001E233C"/>
    <w:rsid w:val="001E33CC"/>
    <w:rsid w:val="001E6278"/>
    <w:rsid w:val="001F1309"/>
    <w:rsid w:val="001F2DAD"/>
    <w:rsid w:val="001F79C5"/>
    <w:rsid w:val="001F7B0D"/>
    <w:rsid w:val="00202847"/>
    <w:rsid w:val="00202BA2"/>
    <w:rsid w:val="00202C7E"/>
    <w:rsid w:val="002033BA"/>
    <w:rsid w:val="00207358"/>
    <w:rsid w:val="00207E39"/>
    <w:rsid w:val="002114B7"/>
    <w:rsid w:val="00212BE7"/>
    <w:rsid w:val="00216034"/>
    <w:rsid w:val="00217353"/>
    <w:rsid w:val="00217DE9"/>
    <w:rsid w:val="00220D9A"/>
    <w:rsid w:val="0022768A"/>
    <w:rsid w:val="0023038A"/>
    <w:rsid w:val="002323CF"/>
    <w:rsid w:val="002345FA"/>
    <w:rsid w:val="002352A3"/>
    <w:rsid w:val="00236CCF"/>
    <w:rsid w:val="00242395"/>
    <w:rsid w:val="002424AA"/>
    <w:rsid w:val="0024795C"/>
    <w:rsid w:val="00247E3F"/>
    <w:rsid w:val="00250537"/>
    <w:rsid w:val="00251F9C"/>
    <w:rsid w:val="00253BB8"/>
    <w:rsid w:val="00254399"/>
    <w:rsid w:val="00256CA8"/>
    <w:rsid w:val="00260FFD"/>
    <w:rsid w:val="002615CE"/>
    <w:rsid w:val="00262EA0"/>
    <w:rsid w:val="002634D5"/>
    <w:rsid w:val="00265B3A"/>
    <w:rsid w:val="00266254"/>
    <w:rsid w:val="00267854"/>
    <w:rsid w:val="0027153B"/>
    <w:rsid w:val="00271CE4"/>
    <w:rsid w:val="0027313C"/>
    <w:rsid w:val="0027315F"/>
    <w:rsid w:val="00273492"/>
    <w:rsid w:val="0027373E"/>
    <w:rsid w:val="00273AAB"/>
    <w:rsid w:val="00274687"/>
    <w:rsid w:val="00275EEC"/>
    <w:rsid w:val="00284DC6"/>
    <w:rsid w:val="00290BB2"/>
    <w:rsid w:val="002911E8"/>
    <w:rsid w:val="00293E14"/>
    <w:rsid w:val="00294A90"/>
    <w:rsid w:val="002967DA"/>
    <w:rsid w:val="002A046F"/>
    <w:rsid w:val="002A192A"/>
    <w:rsid w:val="002A1A1D"/>
    <w:rsid w:val="002A2B8D"/>
    <w:rsid w:val="002A4AEA"/>
    <w:rsid w:val="002A750C"/>
    <w:rsid w:val="002B1BF5"/>
    <w:rsid w:val="002B3CDD"/>
    <w:rsid w:val="002B48E6"/>
    <w:rsid w:val="002B6FC1"/>
    <w:rsid w:val="002B7BE4"/>
    <w:rsid w:val="002C1EDA"/>
    <w:rsid w:val="002C289E"/>
    <w:rsid w:val="002C5022"/>
    <w:rsid w:val="002C6CB6"/>
    <w:rsid w:val="002C718E"/>
    <w:rsid w:val="002D15C1"/>
    <w:rsid w:val="002D35B4"/>
    <w:rsid w:val="002D375B"/>
    <w:rsid w:val="002D5E20"/>
    <w:rsid w:val="002D6A9A"/>
    <w:rsid w:val="002D7673"/>
    <w:rsid w:val="002E1C9C"/>
    <w:rsid w:val="002E4C6F"/>
    <w:rsid w:val="002F305A"/>
    <w:rsid w:val="002F5070"/>
    <w:rsid w:val="002F5F81"/>
    <w:rsid w:val="0030426E"/>
    <w:rsid w:val="00305954"/>
    <w:rsid w:val="0031006C"/>
    <w:rsid w:val="003217BD"/>
    <w:rsid w:val="00323061"/>
    <w:rsid w:val="003236BA"/>
    <w:rsid w:val="00333755"/>
    <w:rsid w:val="003341F3"/>
    <w:rsid w:val="0033427D"/>
    <w:rsid w:val="003355BD"/>
    <w:rsid w:val="0033649B"/>
    <w:rsid w:val="00336FE1"/>
    <w:rsid w:val="003407A7"/>
    <w:rsid w:val="003430FC"/>
    <w:rsid w:val="00343BA4"/>
    <w:rsid w:val="00344DA2"/>
    <w:rsid w:val="00345872"/>
    <w:rsid w:val="0034640F"/>
    <w:rsid w:val="00346919"/>
    <w:rsid w:val="00347023"/>
    <w:rsid w:val="0034798F"/>
    <w:rsid w:val="00354C13"/>
    <w:rsid w:val="00362582"/>
    <w:rsid w:val="00362C43"/>
    <w:rsid w:val="00365B38"/>
    <w:rsid w:val="00371379"/>
    <w:rsid w:val="00371C0B"/>
    <w:rsid w:val="00372452"/>
    <w:rsid w:val="003726EE"/>
    <w:rsid w:val="0037293C"/>
    <w:rsid w:val="003758DA"/>
    <w:rsid w:val="00375EDF"/>
    <w:rsid w:val="003775F4"/>
    <w:rsid w:val="00377C60"/>
    <w:rsid w:val="0038004B"/>
    <w:rsid w:val="0038022F"/>
    <w:rsid w:val="00380D2A"/>
    <w:rsid w:val="0038340E"/>
    <w:rsid w:val="0038494E"/>
    <w:rsid w:val="00385B21"/>
    <w:rsid w:val="00386A63"/>
    <w:rsid w:val="00387E96"/>
    <w:rsid w:val="00387E9A"/>
    <w:rsid w:val="003A022E"/>
    <w:rsid w:val="003A1360"/>
    <w:rsid w:val="003A2F75"/>
    <w:rsid w:val="003B1FCE"/>
    <w:rsid w:val="003C0D12"/>
    <w:rsid w:val="003C5476"/>
    <w:rsid w:val="003C5B5B"/>
    <w:rsid w:val="003C5C6D"/>
    <w:rsid w:val="003C7BB9"/>
    <w:rsid w:val="003D1098"/>
    <w:rsid w:val="003E17B1"/>
    <w:rsid w:val="003E1A48"/>
    <w:rsid w:val="003E30E6"/>
    <w:rsid w:val="003E6E1B"/>
    <w:rsid w:val="003F0A9A"/>
    <w:rsid w:val="004001CD"/>
    <w:rsid w:val="0040261D"/>
    <w:rsid w:val="00403616"/>
    <w:rsid w:val="00404611"/>
    <w:rsid w:val="004047DC"/>
    <w:rsid w:val="00407427"/>
    <w:rsid w:val="004079BE"/>
    <w:rsid w:val="00407C9A"/>
    <w:rsid w:val="00435F01"/>
    <w:rsid w:val="0044290E"/>
    <w:rsid w:val="004441D7"/>
    <w:rsid w:val="00446388"/>
    <w:rsid w:val="00447123"/>
    <w:rsid w:val="00450410"/>
    <w:rsid w:val="004522A9"/>
    <w:rsid w:val="00452893"/>
    <w:rsid w:val="004549A3"/>
    <w:rsid w:val="00456CC5"/>
    <w:rsid w:val="00464AC5"/>
    <w:rsid w:val="00477AD3"/>
    <w:rsid w:val="004811E5"/>
    <w:rsid w:val="00481439"/>
    <w:rsid w:val="00485B8D"/>
    <w:rsid w:val="00493173"/>
    <w:rsid w:val="00494569"/>
    <w:rsid w:val="00494AF6"/>
    <w:rsid w:val="00494DFB"/>
    <w:rsid w:val="004A185D"/>
    <w:rsid w:val="004A2E23"/>
    <w:rsid w:val="004A51D0"/>
    <w:rsid w:val="004A67BC"/>
    <w:rsid w:val="004C17A4"/>
    <w:rsid w:val="004C1D8B"/>
    <w:rsid w:val="004C2742"/>
    <w:rsid w:val="004C29D7"/>
    <w:rsid w:val="004C4590"/>
    <w:rsid w:val="004D145F"/>
    <w:rsid w:val="004E013C"/>
    <w:rsid w:val="004E29BC"/>
    <w:rsid w:val="004E67EB"/>
    <w:rsid w:val="004E6F50"/>
    <w:rsid w:val="004E7509"/>
    <w:rsid w:val="004F1C21"/>
    <w:rsid w:val="004F1EA9"/>
    <w:rsid w:val="004F26C4"/>
    <w:rsid w:val="004F6C17"/>
    <w:rsid w:val="00500B7C"/>
    <w:rsid w:val="00502BE0"/>
    <w:rsid w:val="005040C8"/>
    <w:rsid w:val="00505CE4"/>
    <w:rsid w:val="00510BAB"/>
    <w:rsid w:val="00515B70"/>
    <w:rsid w:val="00520E28"/>
    <w:rsid w:val="005227B5"/>
    <w:rsid w:val="00526251"/>
    <w:rsid w:val="00526545"/>
    <w:rsid w:val="0053091B"/>
    <w:rsid w:val="0053161E"/>
    <w:rsid w:val="0053236E"/>
    <w:rsid w:val="00532562"/>
    <w:rsid w:val="00533C1C"/>
    <w:rsid w:val="005340D7"/>
    <w:rsid w:val="00534F99"/>
    <w:rsid w:val="00540075"/>
    <w:rsid w:val="0054574E"/>
    <w:rsid w:val="005466F1"/>
    <w:rsid w:val="00550020"/>
    <w:rsid w:val="0055083B"/>
    <w:rsid w:val="00553C27"/>
    <w:rsid w:val="00554962"/>
    <w:rsid w:val="00554C8F"/>
    <w:rsid w:val="00554F73"/>
    <w:rsid w:val="005554B2"/>
    <w:rsid w:val="00557D16"/>
    <w:rsid w:val="00560F65"/>
    <w:rsid w:val="0056241E"/>
    <w:rsid w:val="00562EF4"/>
    <w:rsid w:val="005642D8"/>
    <w:rsid w:val="005647A1"/>
    <w:rsid w:val="005668C5"/>
    <w:rsid w:val="00567CE7"/>
    <w:rsid w:val="00570135"/>
    <w:rsid w:val="005701FF"/>
    <w:rsid w:val="00571A53"/>
    <w:rsid w:val="00571A77"/>
    <w:rsid w:val="00572166"/>
    <w:rsid w:val="00572D31"/>
    <w:rsid w:val="00577A7F"/>
    <w:rsid w:val="00580704"/>
    <w:rsid w:val="00580D77"/>
    <w:rsid w:val="00580DB4"/>
    <w:rsid w:val="0058324A"/>
    <w:rsid w:val="00584E8F"/>
    <w:rsid w:val="00584FD1"/>
    <w:rsid w:val="005850DB"/>
    <w:rsid w:val="0058518E"/>
    <w:rsid w:val="00587DD0"/>
    <w:rsid w:val="00590E07"/>
    <w:rsid w:val="0059351B"/>
    <w:rsid w:val="00596101"/>
    <w:rsid w:val="005975C3"/>
    <w:rsid w:val="005A0606"/>
    <w:rsid w:val="005A188B"/>
    <w:rsid w:val="005B46ED"/>
    <w:rsid w:val="005B49D1"/>
    <w:rsid w:val="005B5BB4"/>
    <w:rsid w:val="005C1847"/>
    <w:rsid w:val="005C36B7"/>
    <w:rsid w:val="005C3DC8"/>
    <w:rsid w:val="005C733A"/>
    <w:rsid w:val="005D25DF"/>
    <w:rsid w:val="005D3267"/>
    <w:rsid w:val="005D5382"/>
    <w:rsid w:val="005E0820"/>
    <w:rsid w:val="005E2D54"/>
    <w:rsid w:val="005F2711"/>
    <w:rsid w:val="005F661C"/>
    <w:rsid w:val="005F7B74"/>
    <w:rsid w:val="006030D8"/>
    <w:rsid w:val="00603679"/>
    <w:rsid w:val="00607A4E"/>
    <w:rsid w:val="0061089F"/>
    <w:rsid w:val="00610F48"/>
    <w:rsid w:val="006247E4"/>
    <w:rsid w:val="00624F35"/>
    <w:rsid w:val="00627880"/>
    <w:rsid w:val="00630D70"/>
    <w:rsid w:val="0063279D"/>
    <w:rsid w:val="00633B92"/>
    <w:rsid w:val="00642427"/>
    <w:rsid w:val="0064745B"/>
    <w:rsid w:val="00650F62"/>
    <w:rsid w:val="00651106"/>
    <w:rsid w:val="00652072"/>
    <w:rsid w:val="006614D8"/>
    <w:rsid w:val="006618B0"/>
    <w:rsid w:val="00662CEF"/>
    <w:rsid w:val="00663156"/>
    <w:rsid w:val="00667E8C"/>
    <w:rsid w:val="00667F8A"/>
    <w:rsid w:val="0067065E"/>
    <w:rsid w:val="006706FF"/>
    <w:rsid w:val="00673456"/>
    <w:rsid w:val="006738BC"/>
    <w:rsid w:val="00675581"/>
    <w:rsid w:val="006766C1"/>
    <w:rsid w:val="006770C5"/>
    <w:rsid w:val="006822EE"/>
    <w:rsid w:val="006841A1"/>
    <w:rsid w:val="006841AB"/>
    <w:rsid w:val="006908C3"/>
    <w:rsid w:val="006976F3"/>
    <w:rsid w:val="006A0299"/>
    <w:rsid w:val="006A076F"/>
    <w:rsid w:val="006A7D6F"/>
    <w:rsid w:val="006B08A5"/>
    <w:rsid w:val="006B214F"/>
    <w:rsid w:val="006B23DC"/>
    <w:rsid w:val="006B3BC0"/>
    <w:rsid w:val="006B510A"/>
    <w:rsid w:val="006B5180"/>
    <w:rsid w:val="006B69AC"/>
    <w:rsid w:val="006C6651"/>
    <w:rsid w:val="006D41C5"/>
    <w:rsid w:val="006D5074"/>
    <w:rsid w:val="006D7C13"/>
    <w:rsid w:val="006D7CFD"/>
    <w:rsid w:val="006E15FB"/>
    <w:rsid w:val="006E6063"/>
    <w:rsid w:val="006E7171"/>
    <w:rsid w:val="006F0830"/>
    <w:rsid w:val="006F31B9"/>
    <w:rsid w:val="006F4994"/>
    <w:rsid w:val="006F62E0"/>
    <w:rsid w:val="00700425"/>
    <w:rsid w:val="00700C56"/>
    <w:rsid w:val="00700F36"/>
    <w:rsid w:val="0070149B"/>
    <w:rsid w:val="00701B91"/>
    <w:rsid w:val="0070393F"/>
    <w:rsid w:val="00704FDC"/>
    <w:rsid w:val="0071324A"/>
    <w:rsid w:val="00716A57"/>
    <w:rsid w:val="00716DFA"/>
    <w:rsid w:val="007202D5"/>
    <w:rsid w:val="007207DF"/>
    <w:rsid w:val="00723F2A"/>
    <w:rsid w:val="00724CE9"/>
    <w:rsid w:val="007254B2"/>
    <w:rsid w:val="00726097"/>
    <w:rsid w:val="00727929"/>
    <w:rsid w:val="00727E80"/>
    <w:rsid w:val="00731794"/>
    <w:rsid w:val="007325FC"/>
    <w:rsid w:val="00732A34"/>
    <w:rsid w:val="00733502"/>
    <w:rsid w:val="0073418B"/>
    <w:rsid w:val="007349F0"/>
    <w:rsid w:val="0073598C"/>
    <w:rsid w:val="00736BC1"/>
    <w:rsid w:val="00736F8E"/>
    <w:rsid w:val="0074112E"/>
    <w:rsid w:val="00742A09"/>
    <w:rsid w:val="00742FC2"/>
    <w:rsid w:val="00744A3D"/>
    <w:rsid w:val="00747315"/>
    <w:rsid w:val="00751AAE"/>
    <w:rsid w:val="007541B2"/>
    <w:rsid w:val="00756840"/>
    <w:rsid w:val="00760A75"/>
    <w:rsid w:val="00761474"/>
    <w:rsid w:val="00764DB4"/>
    <w:rsid w:val="007672A8"/>
    <w:rsid w:val="00770ED8"/>
    <w:rsid w:val="00771752"/>
    <w:rsid w:val="007721F4"/>
    <w:rsid w:val="00772E59"/>
    <w:rsid w:val="00776A60"/>
    <w:rsid w:val="00777649"/>
    <w:rsid w:val="007808E1"/>
    <w:rsid w:val="00782694"/>
    <w:rsid w:val="00786189"/>
    <w:rsid w:val="007901CD"/>
    <w:rsid w:val="007923B1"/>
    <w:rsid w:val="00793E45"/>
    <w:rsid w:val="00796BC1"/>
    <w:rsid w:val="007A30CA"/>
    <w:rsid w:val="007A38D4"/>
    <w:rsid w:val="007B2919"/>
    <w:rsid w:val="007B2DCC"/>
    <w:rsid w:val="007B398B"/>
    <w:rsid w:val="007B3AFF"/>
    <w:rsid w:val="007B584F"/>
    <w:rsid w:val="007C483A"/>
    <w:rsid w:val="007C544C"/>
    <w:rsid w:val="007C6597"/>
    <w:rsid w:val="007D0441"/>
    <w:rsid w:val="007D2955"/>
    <w:rsid w:val="007E0160"/>
    <w:rsid w:val="007E17B7"/>
    <w:rsid w:val="007E7EBF"/>
    <w:rsid w:val="007F73ED"/>
    <w:rsid w:val="00803FAB"/>
    <w:rsid w:val="00805666"/>
    <w:rsid w:val="0081272C"/>
    <w:rsid w:val="0081354E"/>
    <w:rsid w:val="00813FF0"/>
    <w:rsid w:val="00822537"/>
    <w:rsid w:val="00823088"/>
    <w:rsid w:val="00823365"/>
    <w:rsid w:val="008254E4"/>
    <w:rsid w:val="00825F8D"/>
    <w:rsid w:val="00827157"/>
    <w:rsid w:val="00827242"/>
    <w:rsid w:val="008300B3"/>
    <w:rsid w:val="00831235"/>
    <w:rsid w:val="00832C4C"/>
    <w:rsid w:val="00833B84"/>
    <w:rsid w:val="00834376"/>
    <w:rsid w:val="00841712"/>
    <w:rsid w:val="00842145"/>
    <w:rsid w:val="0084449B"/>
    <w:rsid w:val="0085023D"/>
    <w:rsid w:val="008509CB"/>
    <w:rsid w:val="0085175C"/>
    <w:rsid w:val="008529B9"/>
    <w:rsid w:val="008533BB"/>
    <w:rsid w:val="008544AB"/>
    <w:rsid w:val="00856129"/>
    <w:rsid w:val="00860E4F"/>
    <w:rsid w:val="00861749"/>
    <w:rsid w:val="00863722"/>
    <w:rsid w:val="00866EEA"/>
    <w:rsid w:val="008732E5"/>
    <w:rsid w:val="0087346B"/>
    <w:rsid w:val="0087650A"/>
    <w:rsid w:val="00877619"/>
    <w:rsid w:val="008827B6"/>
    <w:rsid w:val="00885002"/>
    <w:rsid w:val="0088503E"/>
    <w:rsid w:val="0089022C"/>
    <w:rsid w:val="00891EF0"/>
    <w:rsid w:val="00894261"/>
    <w:rsid w:val="00895062"/>
    <w:rsid w:val="0089557F"/>
    <w:rsid w:val="008966D7"/>
    <w:rsid w:val="00896860"/>
    <w:rsid w:val="008969AA"/>
    <w:rsid w:val="008A2066"/>
    <w:rsid w:val="008B2034"/>
    <w:rsid w:val="008B4098"/>
    <w:rsid w:val="008B43A5"/>
    <w:rsid w:val="008B4676"/>
    <w:rsid w:val="008B47D6"/>
    <w:rsid w:val="008B6E87"/>
    <w:rsid w:val="008C0400"/>
    <w:rsid w:val="008C0953"/>
    <w:rsid w:val="008C2257"/>
    <w:rsid w:val="008C284C"/>
    <w:rsid w:val="008C6D3D"/>
    <w:rsid w:val="008E1965"/>
    <w:rsid w:val="008E1BFF"/>
    <w:rsid w:val="008E4014"/>
    <w:rsid w:val="008E53DA"/>
    <w:rsid w:val="008F2023"/>
    <w:rsid w:val="008F287D"/>
    <w:rsid w:val="008F4B1F"/>
    <w:rsid w:val="008F62D4"/>
    <w:rsid w:val="008F7149"/>
    <w:rsid w:val="00906C69"/>
    <w:rsid w:val="00910A0A"/>
    <w:rsid w:val="00910EC1"/>
    <w:rsid w:val="00911532"/>
    <w:rsid w:val="00911BD2"/>
    <w:rsid w:val="00912105"/>
    <w:rsid w:val="00914415"/>
    <w:rsid w:val="00914652"/>
    <w:rsid w:val="00915F08"/>
    <w:rsid w:val="00916E08"/>
    <w:rsid w:val="00921685"/>
    <w:rsid w:val="009223CA"/>
    <w:rsid w:val="00922DB1"/>
    <w:rsid w:val="00927B3F"/>
    <w:rsid w:val="00927B8E"/>
    <w:rsid w:val="00930FC5"/>
    <w:rsid w:val="00932D41"/>
    <w:rsid w:val="00934CCD"/>
    <w:rsid w:val="009358FA"/>
    <w:rsid w:val="00941E58"/>
    <w:rsid w:val="00942FD4"/>
    <w:rsid w:val="0094404C"/>
    <w:rsid w:val="00944D5B"/>
    <w:rsid w:val="00945BCF"/>
    <w:rsid w:val="009513BA"/>
    <w:rsid w:val="0095463C"/>
    <w:rsid w:val="00954A78"/>
    <w:rsid w:val="009559B0"/>
    <w:rsid w:val="00956613"/>
    <w:rsid w:val="00956D3A"/>
    <w:rsid w:val="0095785F"/>
    <w:rsid w:val="009633B3"/>
    <w:rsid w:val="00965F18"/>
    <w:rsid w:val="009704C3"/>
    <w:rsid w:val="0097083E"/>
    <w:rsid w:val="00970919"/>
    <w:rsid w:val="00970C3E"/>
    <w:rsid w:val="009728CD"/>
    <w:rsid w:val="00974872"/>
    <w:rsid w:val="00975E12"/>
    <w:rsid w:val="00975EE0"/>
    <w:rsid w:val="00977FB0"/>
    <w:rsid w:val="00983C13"/>
    <w:rsid w:val="00986226"/>
    <w:rsid w:val="00986D85"/>
    <w:rsid w:val="00991D26"/>
    <w:rsid w:val="0099261C"/>
    <w:rsid w:val="00994DA7"/>
    <w:rsid w:val="00996A49"/>
    <w:rsid w:val="009A0DBF"/>
    <w:rsid w:val="009A17C0"/>
    <w:rsid w:val="009A25BF"/>
    <w:rsid w:val="009A2F94"/>
    <w:rsid w:val="009A4436"/>
    <w:rsid w:val="009A7B3B"/>
    <w:rsid w:val="009B023A"/>
    <w:rsid w:val="009B0D04"/>
    <w:rsid w:val="009B2B8B"/>
    <w:rsid w:val="009B3671"/>
    <w:rsid w:val="009B4AE3"/>
    <w:rsid w:val="009C0376"/>
    <w:rsid w:val="009C0E01"/>
    <w:rsid w:val="009C1A68"/>
    <w:rsid w:val="009C48E5"/>
    <w:rsid w:val="009C712F"/>
    <w:rsid w:val="009D2914"/>
    <w:rsid w:val="009D5BD8"/>
    <w:rsid w:val="009D66B2"/>
    <w:rsid w:val="009E11E0"/>
    <w:rsid w:val="009E2DFB"/>
    <w:rsid w:val="009E69F9"/>
    <w:rsid w:val="009F1EFD"/>
    <w:rsid w:val="00A00FDF"/>
    <w:rsid w:val="00A015C0"/>
    <w:rsid w:val="00A019BA"/>
    <w:rsid w:val="00A0740E"/>
    <w:rsid w:val="00A14E8A"/>
    <w:rsid w:val="00A1659C"/>
    <w:rsid w:val="00A17D51"/>
    <w:rsid w:val="00A207FC"/>
    <w:rsid w:val="00A21F00"/>
    <w:rsid w:val="00A22DA9"/>
    <w:rsid w:val="00A242A9"/>
    <w:rsid w:val="00A25972"/>
    <w:rsid w:val="00A26CB5"/>
    <w:rsid w:val="00A30570"/>
    <w:rsid w:val="00A306FD"/>
    <w:rsid w:val="00A33B8A"/>
    <w:rsid w:val="00A348FB"/>
    <w:rsid w:val="00A35B08"/>
    <w:rsid w:val="00A41052"/>
    <w:rsid w:val="00A4251C"/>
    <w:rsid w:val="00A43B39"/>
    <w:rsid w:val="00A445BA"/>
    <w:rsid w:val="00A446A0"/>
    <w:rsid w:val="00A5140C"/>
    <w:rsid w:val="00A52FDC"/>
    <w:rsid w:val="00A540D2"/>
    <w:rsid w:val="00A54EC0"/>
    <w:rsid w:val="00A55D31"/>
    <w:rsid w:val="00A55EAE"/>
    <w:rsid w:val="00A56621"/>
    <w:rsid w:val="00A61A99"/>
    <w:rsid w:val="00A6237F"/>
    <w:rsid w:val="00A71FDB"/>
    <w:rsid w:val="00A72007"/>
    <w:rsid w:val="00A73301"/>
    <w:rsid w:val="00A75AC9"/>
    <w:rsid w:val="00A8579E"/>
    <w:rsid w:val="00A8656C"/>
    <w:rsid w:val="00A87DCE"/>
    <w:rsid w:val="00A93A94"/>
    <w:rsid w:val="00A96980"/>
    <w:rsid w:val="00A97819"/>
    <w:rsid w:val="00AA448B"/>
    <w:rsid w:val="00AA4FF3"/>
    <w:rsid w:val="00AB0503"/>
    <w:rsid w:val="00AB3F16"/>
    <w:rsid w:val="00AC0D2C"/>
    <w:rsid w:val="00AC1B9A"/>
    <w:rsid w:val="00AC2B53"/>
    <w:rsid w:val="00AC3E79"/>
    <w:rsid w:val="00AD15B5"/>
    <w:rsid w:val="00AD3DFE"/>
    <w:rsid w:val="00AD5335"/>
    <w:rsid w:val="00AD5BF4"/>
    <w:rsid w:val="00AD662B"/>
    <w:rsid w:val="00AD72BB"/>
    <w:rsid w:val="00AE2318"/>
    <w:rsid w:val="00AE4BBD"/>
    <w:rsid w:val="00AE71A3"/>
    <w:rsid w:val="00AE7B4D"/>
    <w:rsid w:val="00AF0158"/>
    <w:rsid w:val="00AF2B78"/>
    <w:rsid w:val="00AF42D6"/>
    <w:rsid w:val="00AF4DBC"/>
    <w:rsid w:val="00AF5B28"/>
    <w:rsid w:val="00B01A20"/>
    <w:rsid w:val="00B01F45"/>
    <w:rsid w:val="00B02E89"/>
    <w:rsid w:val="00B065E3"/>
    <w:rsid w:val="00B12A8D"/>
    <w:rsid w:val="00B13C98"/>
    <w:rsid w:val="00B14825"/>
    <w:rsid w:val="00B1552B"/>
    <w:rsid w:val="00B17AED"/>
    <w:rsid w:val="00B26CF4"/>
    <w:rsid w:val="00B278A4"/>
    <w:rsid w:val="00B3013F"/>
    <w:rsid w:val="00B302FC"/>
    <w:rsid w:val="00B3188D"/>
    <w:rsid w:val="00B34DB2"/>
    <w:rsid w:val="00B35E6F"/>
    <w:rsid w:val="00B400E9"/>
    <w:rsid w:val="00B40575"/>
    <w:rsid w:val="00B45BB8"/>
    <w:rsid w:val="00B47FD4"/>
    <w:rsid w:val="00B517A4"/>
    <w:rsid w:val="00B574DF"/>
    <w:rsid w:val="00B57ABE"/>
    <w:rsid w:val="00B6209E"/>
    <w:rsid w:val="00B63479"/>
    <w:rsid w:val="00B635F7"/>
    <w:rsid w:val="00B66690"/>
    <w:rsid w:val="00B6692D"/>
    <w:rsid w:val="00B66E5D"/>
    <w:rsid w:val="00B70B8B"/>
    <w:rsid w:val="00B73D55"/>
    <w:rsid w:val="00B753D1"/>
    <w:rsid w:val="00B76FEF"/>
    <w:rsid w:val="00B77D36"/>
    <w:rsid w:val="00B81518"/>
    <w:rsid w:val="00B82740"/>
    <w:rsid w:val="00B82DE1"/>
    <w:rsid w:val="00B8385B"/>
    <w:rsid w:val="00B839D3"/>
    <w:rsid w:val="00B84EDF"/>
    <w:rsid w:val="00B870A3"/>
    <w:rsid w:val="00B9038E"/>
    <w:rsid w:val="00B92462"/>
    <w:rsid w:val="00B94DFA"/>
    <w:rsid w:val="00B97A51"/>
    <w:rsid w:val="00BA10F2"/>
    <w:rsid w:val="00BA1E7C"/>
    <w:rsid w:val="00BA3702"/>
    <w:rsid w:val="00BA3AE5"/>
    <w:rsid w:val="00BA63A1"/>
    <w:rsid w:val="00BA70B1"/>
    <w:rsid w:val="00BB3DCA"/>
    <w:rsid w:val="00BB45DE"/>
    <w:rsid w:val="00BB51B8"/>
    <w:rsid w:val="00BB603D"/>
    <w:rsid w:val="00BB774E"/>
    <w:rsid w:val="00BC0E69"/>
    <w:rsid w:val="00BC101D"/>
    <w:rsid w:val="00BC357B"/>
    <w:rsid w:val="00BC45FE"/>
    <w:rsid w:val="00BC59CD"/>
    <w:rsid w:val="00BC7861"/>
    <w:rsid w:val="00BC78B7"/>
    <w:rsid w:val="00BD2E35"/>
    <w:rsid w:val="00BD3437"/>
    <w:rsid w:val="00BD7344"/>
    <w:rsid w:val="00BE4F24"/>
    <w:rsid w:val="00BE529A"/>
    <w:rsid w:val="00BE7D82"/>
    <w:rsid w:val="00BF0767"/>
    <w:rsid w:val="00BF4787"/>
    <w:rsid w:val="00BF64EC"/>
    <w:rsid w:val="00BF690C"/>
    <w:rsid w:val="00BF6E64"/>
    <w:rsid w:val="00BF707F"/>
    <w:rsid w:val="00C01345"/>
    <w:rsid w:val="00C018AE"/>
    <w:rsid w:val="00C02B63"/>
    <w:rsid w:val="00C0438C"/>
    <w:rsid w:val="00C057A5"/>
    <w:rsid w:val="00C05F92"/>
    <w:rsid w:val="00C12ED3"/>
    <w:rsid w:val="00C21C6D"/>
    <w:rsid w:val="00C2582B"/>
    <w:rsid w:val="00C26F11"/>
    <w:rsid w:val="00C3500B"/>
    <w:rsid w:val="00C36C30"/>
    <w:rsid w:val="00C40BB1"/>
    <w:rsid w:val="00C40C0A"/>
    <w:rsid w:val="00C43C7F"/>
    <w:rsid w:val="00C44A8B"/>
    <w:rsid w:val="00C5140B"/>
    <w:rsid w:val="00C52336"/>
    <w:rsid w:val="00C5380B"/>
    <w:rsid w:val="00C53816"/>
    <w:rsid w:val="00C56A0A"/>
    <w:rsid w:val="00C57D99"/>
    <w:rsid w:val="00C605AD"/>
    <w:rsid w:val="00C63224"/>
    <w:rsid w:val="00C637CD"/>
    <w:rsid w:val="00C6438D"/>
    <w:rsid w:val="00C70768"/>
    <w:rsid w:val="00C709BA"/>
    <w:rsid w:val="00C722E4"/>
    <w:rsid w:val="00C816C1"/>
    <w:rsid w:val="00C82C79"/>
    <w:rsid w:val="00C85E8E"/>
    <w:rsid w:val="00C8619B"/>
    <w:rsid w:val="00C87035"/>
    <w:rsid w:val="00C87068"/>
    <w:rsid w:val="00C87D3C"/>
    <w:rsid w:val="00C91946"/>
    <w:rsid w:val="00C92B15"/>
    <w:rsid w:val="00C9569E"/>
    <w:rsid w:val="00C960B4"/>
    <w:rsid w:val="00C9719B"/>
    <w:rsid w:val="00C9755B"/>
    <w:rsid w:val="00CA2C4F"/>
    <w:rsid w:val="00CA2EB3"/>
    <w:rsid w:val="00CA475C"/>
    <w:rsid w:val="00CA4AC4"/>
    <w:rsid w:val="00CA5247"/>
    <w:rsid w:val="00CA6308"/>
    <w:rsid w:val="00CB6E92"/>
    <w:rsid w:val="00CB7345"/>
    <w:rsid w:val="00CB7B98"/>
    <w:rsid w:val="00CB7E0E"/>
    <w:rsid w:val="00CC2FBE"/>
    <w:rsid w:val="00CC3D41"/>
    <w:rsid w:val="00CC4593"/>
    <w:rsid w:val="00CC5AF6"/>
    <w:rsid w:val="00CC7FE7"/>
    <w:rsid w:val="00CD2C6C"/>
    <w:rsid w:val="00CD339B"/>
    <w:rsid w:val="00CD4EEA"/>
    <w:rsid w:val="00CD5E03"/>
    <w:rsid w:val="00CE13A9"/>
    <w:rsid w:val="00CE1F42"/>
    <w:rsid w:val="00CE4126"/>
    <w:rsid w:val="00CE54DC"/>
    <w:rsid w:val="00CE7617"/>
    <w:rsid w:val="00CF1108"/>
    <w:rsid w:val="00CF6E94"/>
    <w:rsid w:val="00D0072C"/>
    <w:rsid w:val="00D0109B"/>
    <w:rsid w:val="00D026AD"/>
    <w:rsid w:val="00D05123"/>
    <w:rsid w:val="00D05A24"/>
    <w:rsid w:val="00D074E2"/>
    <w:rsid w:val="00D11240"/>
    <w:rsid w:val="00D131BB"/>
    <w:rsid w:val="00D14152"/>
    <w:rsid w:val="00D143BC"/>
    <w:rsid w:val="00D15292"/>
    <w:rsid w:val="00D153F8"/>
    <w:rsid w:val="00D15BD1"/>
    <w:rsid w:val="00D15F92"/>
    <w:rsid w:val="00D176B6"/>
    <w:rsid w:val="00D20090"/>
    <w:rsid w:val="00D208C8"/>
    <w:rsid w:val="00D20DE0"/>
    <w:rsid w:val="00D26196"/>
    <w:rsid w:val="00D268CD"/>
    <w:rsid w:val="00D308A5"/>
    <w:rsid w:val="00D30A3D"/>
    <w:rsid w:val="00D35496"/>
    <w:rsid w:val="00D400B2"/>
    <w:rsid w:val="00D4323C"/>
    <w:rsid w:val="00D43538"/>
    <w:rsid w:val="00D4353F"/>
    <w:rsid w:val="00D43655"/>
    <w:rsid w:val="00D4508F"/>
    <w:rsid w:val="00D5001C"/>
    <w:rsid w:val="00D50995"/>
    <w:rsid w:val="00D511F1"/>
    <w:rsid w:val="00D5174E"/>
    <w:rsid w:val="00D53B79"/>
    <w:rsid w:val="00D550A5"/>
    <w:rsid w:val="00D615A9"/>
    <w:rsid w:val="00D61A01"/>
    <w:rsid w:val="00D66799"/>
    <w:rsid w:val="00D7284F"/>
    <w:rsid w:val="00D74D6D"/>
    <w:rsid w:val="00D80547"/>
    <w:rsid w:val="00D8254D"/>
    <w:rsid w:val="00D874E0"/>
    <w:rsid w:val="00D902A3"/>
    <w:rsid w:val="00D91857"/>
    <w:rsid w:val="00D94B9D"/>
    <w:rsid w:val="00D979AF"/>
    <w:rsid w:val="00DA195F"/>
    <w:rsid w:val="00DA43B2"/>
    <w:rsid w:val="00DA46FA"/>
    <w:rsid w:val="00DA7497"/>
    <w:rsid w:val="00DB0756"/>
    <w:rsid w:val="00DB3EBC"/>
    <w:rsid w:val="00DC0CD9"/>
    <w:rsid w:val="00DD1B9F"/>
    <w:rsid w:val="00DD2058"/>
    <w:rsid w:val="00DD24C6"/>
    <w:rsid w:val="00DD28D1"/>
    <w:rsid w:val="00DD3278"/>
    <w:rsid w:val="00DD70CF"/>
    <w:rsid w:val="00DE199E"/>
    <w:rsid w:val="00DE3B2B"/>
    <w:rsid w:val="00DE7B33"/>
    <w:rsid w:val="00DF047D"/>
    <w:rsid w:val="00DF0F9B"/>
    <w:rsid w:val="00DF1639"/>
    <w:rsid w:val="00DF5A9B"/>
    <w:rsid w:val="00DF68B9"/>
    <w:rsid w:val="00E000A3"/>
    <w:rsid w:val="00E01D49"/>
    <w:rsid w:val="00E046D4"/>
    <w:rsid w:val="00E04E3A"/>
    <w:rsid w:val="00E05A3A"/>
    <w:rsid w:val="00E11AA7"/>
    <w:rsid w:val="00E11F4F"/>
    <w:rsid w:val="00E13961"/>
    <w:rsid w:val="00E162B3"/>
    <w:rsid w:val="00E20F99"/>
    <w:rsid w:val="00E241A1"/>
    <w:rsid w:val="00E25860"/>
    <w:rsid w:val="00E30294"/>
    <w:rsid w:val="00E30DD6"/>
    <w:rsid w:val="00E32623"/>
    <w:rsid w:val="00E3326E"/>
    <w:rsid w:val="00E3770F"/>
    <w:rsid w:val="00E37B96"/>
    <w:rsid w:val="00E37FEF"/>
    <w:rsid w:val="00E402A8"/>
    <w:rsid w:val="00E40B0B"/>
    <w:rsid w:val="00E45F8B"/>
    <w:rsid w:val="00E52431"/>
    <w:rsid w:val="00E57029"/>
    <w:rsid w:val="00E5742F"/>
    <w:rsid w:val="00E619F6"/>
    <w:rsid w:val="00E62097"/>
    <w:rsid w:val="00E6420B"/>
    <w:rsid w:val="00E65CFB"/>
    <w:rsid w:val="00E67215"/>
    <w:rsid w:val="00E6763A"/>
    <w:rsid w:val="00E67B46"/>
    <w:rsid w:val="00E703C4"/>
    <w:rsid w:val="00E72513"/>
    <w:rsid w:val="00E72D5F"/>
    <w:rsid w:val="00E73354"/>
    <w:rsid w:val="00E740E9"/>
    <w:rsid w:val="00E77051"/>
    <w:rsid w:val="00E805E7"/>
    <w:rsid w:val="00E8080F"/>
    <w:rsid w:val="00E80840"/>
    <w:rsid w:val="00E80FE9"/>
    <w:rsid w:val="00E91204"/>
    <w:rsid w:val="00E9147C"/>
    <w:rsid w:val="00E92F56"/>
    <w:rsid w:val="00E9411C"/>
    <w:rsid w:val="00E9546F"/>
    <w:rsid w:val="00E95B73"/>
    <w:rsid w:val="00E96B39"/>
    <w:rsid w:val="00EA070A"/>
    <w:rsid w:val="00EA24E5"/>
    <w:rsid w:val="00EA3A64"/>
    <w:rsid w:val="00EA40B3"/>
    <w:rsid w:val="00EA5889"/>
    <w:rsid w:val="00EB02D6"/>
    <w:rsid w:val="00EB0F65"/>
    <w:rsid w:val="00EB32ED"/>
    <w:rsid w:val="00EB5012"/>
    <w:rsid w:val="00EB6130"/>
    <w:rsid w:val="00EB62A8"/>
    <w:rsid w:val="00EC1034"/>
    <w:rsid w:val="00EC18A4"/>
    <w:rsid w:val="00EC21E9"/>
    <w:rsid w:val="00EC398C"/>
    <w:rsid w:val="00EC3BCD"/>
    <w:rsid w:val="00EC5FFA"/>
    <w:rsid w:val="00EC7F67"/>
    <w:rsid w:val="00ED3833"/>
    <w:rsid w:val="00ED65EC"/>
    <w:rsid w:val="00ED6E9F"/>
    <w:rsid w:val="00EE07EC"/>
    <w:rsid w:val="00EE1DB9"/>
    <w:rsid w:val="00EE4F89"/>
    <w:rsid w:val="00EF3858"/>
    <w:rsid w:val="00EF4004"/>
    <w:rsid w:val="00EF6875"/>
    <w:rsid w:val="00EF76CF"/>
    <w:rsid w:val="00EF7E9B"/>
    <w:rsid w:val="00F0086F"/>
    <w:rsid w:val="00F00989"/>
    <w:rsid w:val="00F00A0A"/>
    <w:rsid w:val="00F10361"/>
    <w:rsid w:val="00F1260F"/>
    <w:rsid w:val="00F13384"/>
    <w:rsid w:val="00F13C90"/>
    <w:rsid w:val="00F13CDE"/>
    <w:rsid w:val="00F1482A"/>
    <w:rsid w:val="00F15349"/>
    <w:rsid w:val="00F15536"/>
    <w:rsid w:val="00F15E24"/>
    <w:rsid w:val="00F17557"/>
    <w:rsid w:val="00F17FA5"/>
    <w:rsid w:val="00F24911"/>
    <w:rsid w:val="00F37A50"/>
    <w:rsid w:val="00F37F6C"/>
    <w:rsid w:val="00F42A51"/>
    <w:rsid w:val="00F42D09"/>
    <w:rsid w:val="00F60E57"/>
    <w:rsid w:val="00F61E5A"/>
    <w:rsid w:val="00F62BFE"/>
    <w:rsid w:val="00F64D04"/>
    <w:rsid w:val="00F6514E"/>
    <w:rsid w:val="00F65309"/>
    <w:rsid w:val="00F7276D"/>
    <w:rsid w:val="00F72DFF"/>
    <w:rsid w:val="00F7513A"/>
    <w:rsid w:val="00F75D37"/>
    <w:rsid w:val="00F762BD"/>
    <w:rsid w:val="00F80013"/>
    <w:rsid w:val="00F82835"/>
    <w:rsid w:val="00F83DF4"/>
    <w:rsid w:val="00F84741"/>
    <w:rsid w:val="00F84A65"/>
    <w:rsid w:val="00F91043"/>
    <w:rsid w:val="00F952BB"/>
    <w:rsid w:val="00FA1EF9"/>
    <w:rsid w:val="00FA4049"/>
    <w:rsid w:val="00FA4ED7"/>
    <w:rsid w:val="00FA6CCC"/>
    <w:rsid w:val="00FB1DB5"/>
    <w:rsid w:val="00FB243E"/>
    <w:rsid w:val="00FB56FF"/>
    <w:rsid w:val="00FC1067"/>
    <w:rsid w:val="00FC1533"/>
    <w:rsid w:val="00FC1FDF"/>
    <w:rsid w:val="00FC3033"/>
    <w:rsid w:val="00FC56E8"/>
    <w:rsid w:val="00FC7C5F"/>
    <w:rsid w:val="00FD1039"/>
    <w:rsid w:val="00FD3786"/>
    <w:rsid w:val="00FD3E43"/>
    <w:rsid w:val="00FD7823"/>
    <w:rsid w:val="00FD7F1A"/>
    <w:rsid w:val="00FE07D9"/>
    <w:rsid w:val="00FE6589"/>
    <w:rsid w:val="00FE67D9"/>
    <w:rsid w:val="00FF1B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E79"/>
    <w:pPr>
      <w:bidi/>
    </w:pPr>
    <w:rPr>
      <w:sz w:val="24"/>
      <w:szCs w:val="24"/>
      <w:lang w:eastAsia="ar-SA"/>
    </w:rPr>
  </w:style>
  <w:style w:type="paragraph" w:styleId="Heading1">
    <w:name w:val="heading 1"/>
    <w:basedOn w:val="Normal"/>
    <w:next w:val="Normal"/>
    <w:link w:val="Heading1Char"/>
    <w:qFormat/>
    <w:rsid w:val="00362C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AC3E79"/>
    <w:pPr>
      <w:keepNext/>
      <w:bidi w:val="0"/>
      <w:jc w:val="center"/>
      <w:outlineLvl w:val="1"/>
    </w:pPr>
    <w:rPr>
      <w:b/>
      <w:bCs/>
      <w:color w:val="000000"/>
    </w:rPr>
  </w:style>
  <w:style w:type="paragraph" w:styleId="Heading3">
    <w:name w:val="heading 3"/>
    <w:basedOn w:val="Normal"/>
    <w:next w:val="Normal"/>
    <w:link w:val="Heading3Char"/>
    <w:semiHidden/>
    <w:unhideWhenUsed/>
    <w:qFormat/>
    <w:rsid w:val="00EB32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C3E79"/>
    <w:pPr>
      <w:jc w:val="center"/>
    </w:pPr>
    <w:rPr>
      <w:rFonts w:cs="Simplified Arabic"/>
      <w:b/>
      <w:bCs/>
    </w:rPr>
  </w:style>
  <w:style w:type="paragraph" w:styleId="BodyText3">
    <w:name w:val="Body Text 3"/>
    <w:basedOn w:val="Normal"/>
    <w:rsid w:val="00AC3E79"/>
    <w:pPr>
      <w:bidi w:val="0"/>
      <w:ind w:left="-51"/>
      <w:jc w:val="lowKashida"/>
    </w:pPr>
    <w:rPr>
      <w:rFonts w:cs="Traditional Arabic"/>
      <w:szCs w:val="20"/>
      <w:lang w:eastAsia="en-US"/>
    </w:rPr>
  </w:style>
  <w:style w:type="paragraph" w:styleId="BodyText">
    <w:name w:val="Body Text"/>
    <w:basedOn w:val="Normal"/>
    <w:rsid w:val="00AC3E79"/>
    <w:pPr>
      <w:bidi w:val="0"/>
      <w:jc w:val="lowKashida"/>
    </w:pPr>
  </w:style>
  <w:style w:type="paragraph" w:styleId="Header">
    <w:name w:val="header"/>
    <w:basedOn w:val="Normal"/>
    <w:link w:val="HeaderChar"/>
    <w:uiPriority w:val="99"/>
    <w:rsid w:val="00AC3E79"/>
    <w:pPr>
      <w:tabs>
        <w:tab w:val="center" w:pos="4153"/>
        <w:tab w:val="right" w:pos="8306"/>
      </w:tabs>
    </w:pPr>
  </w:style>
  <w:style w:type="character" w:styleId="Hyperlink">
    <w:name w:val="Hyperlink"/>
    <w:basedOn w:val="DefaultParagraphFont"/>
    <w:rsid w:val="00AC3E79"/>
    <w:rPr>
      <w:strike w:val="0"/>
      <w:dstrike w:val="0"/>
      <w:color w:val="C9581E"/>
      <w:u w:val="none"/>
      <w:effect w:val="none"/>
    </w:rPr>
  </w:style>
  <w:style w:type="character" w:styleId="Strong">
    <w:name w:val="Strong"/>
    <w:basedOn w:val="DefaultParagraphFont"/>
    <w:uiPriority w:val="22"/>
    <w:qFormat/>
    <w:rsid w:val="00AC3E79"/>
    <w:rPr>
      <w:b/>
      <w:bCs/>
    </w:rPr>
  </w:style>
  <w:style w:type="character" w:customStyle="1" w:styleId="longtext1">
    <w:name w:val="long_text1"/>
    <w:basedOn w:val="DefaultParagraphFont"/>
    <w:rsid w:val="00AC3E79"/>
    <w:rPr>
      <w:sz w:val="20"/>
      <w:szCs w:val="20"/>
    </w:rPr>
  </w:style>
  <w:style w:type="character" w:customStyle="1" w:styleId="shorttext1">
    <w:name w:val="short_text1"/>
    <w:basedOn w:val="DefaultParagraphFont"/>
    <w:rsid w:val="00AC3E79"/>
    <w:rPr>
      <w:sz w:val="32"/>
      <w:szCs w:val="32"/>
    </w:rPr>
  </w:style>
  <w:style w:type="paragraph" w:styleId="BalloonText">
    <w:name w:val="Balloon Text"/>
    <w:basedOn w:val="Normal"/>
    <w:semiHidden/>
    <w:rsid w:val="00AC3E79"/>
    <w:rPr>
      <w:rFonts w:ascii="Tahoma" w:hAnsi="Tahoma" w:cs="Tahoma"/>
      <w:sz w:val="16"/>
      <w:szCs w:val="16"/>
    </w:rPr>
  </w:style>
  <w:style w:type="paragraph" w:styleId="Footer">
    <w:name w:val="footer"/>
    <w:basedOn w:val="Normal"/>
    <w:link w:val="FooterChar"/>
    <w:uiPriority w:val="99"/>
    <w:rsid w:val="00A0740E"/>
    <w:pPr>
      <w:tabs>
        <w:tab w:val="center" w:pos="4153"/>
        <w:tab w:val="right" w:pos="8306"/>
      </w:tabs>
    </w:pPr>
  </w:style>
  <w:style w:type="character" w:styleId="PageNumber">
    <w:name w:val="page number"/>
    <w:basedOn w:val="DefaultParagraphFont"/>
    <w:rsid w:val="00A0740E"/>
  </w:style>
  <w:style w:type="character" w:customStyle="1" w:styleId="longtext">
    <w:name w:val="long_text"/>
    <w:basedOn w:val="DefaultParagraphFont"/>
    <w:rsid w:val="00A52FDC"/>
  </w:style>
  <w:style w:type="character" w:customStyle="1" w:styleId="hps">
    <w:name w:val="hps"/>
    <w:basedOn w:val="DefaultParagraphFont"/>
    <w:rsid w:val="00C82C79"/>
  </w:style>
  <w:style w:type="paragraph" w:styleId="FootnoteText">
    <w:name w:val="footnote text"/>
    <w:basedOn w:val="Normal"/>
    <w:semiHidden/>
    <w:rsid w:val="0071324A"/>
    <w:rPr>
      <w:sz w:val="20"/>
      <w:szCs w:val="20"/>
    </w:rPr>
  </w:style>
  <w:style w:type="character" w:styleId="FootnoteReference">
    <w:name w:val="footnote reference"/>
    <w:basedOn w:val="DefaultParagraphFont"/>
    <w:semiHidden/>
    <w:rsid w:val="0071324A"/>
    <w:rPr>
      <w:vertAlign w:val="superscript"/>
    </w:rPr>
  </w:style>
  <w:style w:type="table" w:styleId="TableGrid">
    <w:name w:val="Table Grid"/>
    <w:basedOn w:val="TableNormal"/>
    <w:uiPriority w:val="59"/>
    <w:rsid w:val="007A30C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DefaultParagraphFont"/>
    <w:rsid w:val="00175304"/>
  </w:style>
  <w:style w:type="character" w:customStyle="1" w:styleId="shorttext">
    <w:name w:val="short_text"/>
    <w:basedOn w:val="DefaultParagraphFont"/>
    <w:rsid w:val="008B2034"/>
  </w:style>
  <w:style w:type="paragraph" w:styleId="NormalWeb">
    <w:name w:val="Normal (Web)"/>
    <w:basedOn w:val="Normal"/>
    <w:uiPriority w:val="99"/>
    <w:unhideWhenUsed/>
    <w:rsid w:val="002D7673"/>
    <w:pPr>
      <w:bidi w:val="0"/>
      <w:spacing w:before="100" w:beforeAutospacing="1" w:after="100" w:afterAutospacing="1"/>
    </w:pPr>
    <w:rPr>
      <w:lang w:eastAsia="en-US"/>
    </w:rPr>
  </w:style>
  <w:style w:type="character" w:customStyle="1" w:styleId="apple-converted-space">
    <w:name w:val="apple-converted-space"/>
    <w:basedOn w:val="DefaultParagraphFont"/>
    <w:rsid w:val="002D7673"/>
  </w:style>
  <w:style w:type="paragraph" w:styleId="ListParagraph">
    <w:name w:val="List Paragraph"/>
    <w:basedOn w:val="Normal"/>
    <w:uiPriority w:val="34"/>
    <w:qFormat/>
    <w:rsid w:val="00B66690"/>
    <w:pPr>
      <w:ind w:left="720"/>
      <w:contextualSpacing/>
    </w:pPr>
  </w:style>
  <w:style w:type="character" w:customStyle="1" w:styleId="Heading3Char">
    <w:name w:val="Heading 3 Char"/>
    <w:basedOn w:val="DefaultParagraphFont"/>
    <w:link w:val="Heading3"/>
    <w:semiHidden/>
    <w:rsid w:val="00EB32ED"/>
    <w:rPr>
      <w:rFonts w:asciiTheme="majorHAnsi" w:eastAsiaTheme="majorEastAsia" w:hAnsiTheme="majorHAnsi" w:cstheme="majorBidi"/>
      <w:b/>
      <w:bCs/>
      <w:color w:val="4F81BD" w:themeColor="accent1"/>
      <w:sz w:val="24"/>
      <w:szCs w:val="24"/>
      <w:lang w:eastAsia="ar-SA"/>
    </w:rPr>
  </w:style>
  <w:style w:type="character" w:customStyle="1" w:styleId="HeaderChar">
    <w:name w:val="Header Char"/>
    <w:basedOn w:val="DefaultParagraphFont"/>
    <w:link w:val="Header"/>
    <w:uiPriority w:val="99"/>
    <w:rsid w:val="00EB32ED"/>
    <w:rPr>
      <w:sz w:val="24"/>
      <w:szCs w:val="24"/>
      <w:lang w:eastAsia="ar-SA"/>
    </w:rPr>
  </w:style>
  <w:style w:type="paragraph" w:customStyle="1" w:styleId="Default">
    <w:name w:val="Default"/>
    <w:rsid w:val="00126722"/>
    <w:pPr>
      <w:autoSpaceDE w:val="0"/>
      <w:autoSpaceDN w:val="0"/>
      <w:adjustRightInd w:val="0"/>
    </w:pPr>
    <w:rPr>
      <w:color w:val="000000"/>
      <w:sz w:val="24"/>
      <w:szCs w:val="24"/>
    </w:rPr>
  </w:style>
  <w:style w:type="character" w:customStyle="1" w:styleId="TitleChar">
    <w:name w:val="Title Char"/>
    <w:basedOn w:val="DefaultParagraphFont"/>
    <w:link w:val="Title"/>
    <w:uiPriority w:val="99"/>
    <w:rsid w:val="00271CE4"/>
    <w:rPr>
      <w:rFonts w:cs="Simplified Arabic"/>
      <w:b/>
      <w:bCs/>
      <w:sz w:val="24"/>
      <w:szCs w:val="24"/>
      <w:lang w:eastAsia="ar-SA"/>
    </w:rPr>
  </w:style>
  <w:style w:type="paragraph" w:styleId="BodyTextIndent">
    <w:name w:val="Body Text Indent"/>
    <w:basedOn w:val="Normal"/>
    <w:link w:val="BodyTextIndentChar"/>
    <w:rsid w:val="00E77051"/>
    <w:pPr>
      <w:spacing w:after="120"/>
      <w:ind w:left="360"/>
    </w:pPr>
  </w:style>
  <w:style w:type="character" w:customStyle="1" w:styleId="BodyTextIndentChar">
    <w:name w:val="Body Text Indent Char"/>
    <w:basedOn w:val="DefaultParagraphFont"/>
    <w:link w:val="BodyTextIndent"/>
    <w:rsid w:val="00E77051"/>
    <w:rPr>
      <w:sz w:val="24"/>
      <w:szCs w:val="24"/>
      <w:lang w:eastAsia="ar-SA"/>
    </w:rPr>
  </w:style>
  <w:style w:type="character" w:styleId="CommentReference">
    <w:name w:val="annotation reference"/>
    <w:basedOn w:val="DefaultParagraphFont"/>
    <w:rsid w:val="007325FC"/>
    <w:rPr>
      <w:sz w:val="16"/>
      <w:szCs w:val="16"/>
    </w:rPr>
  </w:style>
  <w:style w:type="paragraph" w:styleId="CommentText">
    <w:name w:val="annotation text"/>
    <w:basedOn w:val="Normal"/>
    <w:link w:val="CommentTextChar"/>
    <w:rsid w:val="007325FC"/>
    <w:rPr>
      <w:sz w:val="20"/>
      <w:szCs w:val="20"/>
    </w:rPr>
  </w:style>
  <w:style w:type="character" w:customStyle="1" w:styleId="CommentTextChar">
    <w:name w:val="Comment Text Char"/>
    <w:basedOn w:val="DefaultParagraphFont"/>
    <w:link w:val="CommentText"/>
    <w:rsid w:val="007325FC"/>
    <w:rPr>
      <w:lang w:eastAsia="ar-SA"/>
    </w:rPr>
  </w:style>
  <w:style w:type="paragraph" w:styleId="CommentSubject">
    <w:name w:val="annotation subject"/>
    <w:basedOn w:val="CommentText"/>
    <w:next w:val="CommentText"/>
    <w:link w:val="CommentSubjectChar"/>
    <w:rsid w:val="007325FC"/>
    <w:rPr>
      <w:b/>
      <w:bCs/>
    </w:rPr>
  </w:style>
  <w:style w:type="character" w:customStyle="1" w:styleId="CommentSubjectChar">
    <w:name w:val="Comment Subject Char"/>
    <w:basedOn w:val="CommentTextChar"/>
    <w:link w:val="CommentSubject"/>
    <w:rsid w:val="007325FC"/>
    <w:rPr>
      <w:b/>
      <w:bCs/>
      <w:lang w:eastAsia="ar-SA"/>
    </w:rPr>
  </w:style>
  <w:style w:type="character" w:customStyle="1" w:styleId="FooterChar">
    <w:name w:val="Footer Char"/>
    <w:basedOn w:val="DefaultParagraphFont"/>
    <w:link w:val="Footer"/>
    <w:uiPriority w:val="99"/>
    <w:rsid w:val="00AA4FF3"/>
    <w:rPr>
      <w:sz w:val="24"/>
      <w:szCs w:val="24"/>
      <w:lang w:eastAsia="ar-SA"/>
    </w:rPr>
  </w:style>
  <w:style w:type="character" w:customStyle="1" w:styleId="Heading1Char">
    <w:name w:val="Heading 1 Char"/>
    <w:basedOn w:val="DefaultParagraphFont"/>
    <w:link w:val="Heading1"/>
    <w:rsid w:val="00362C43"/>
    <w:rPr>
      <w:rFonts w:asciiTheme="majorHAnsi" w:eastAsiaTheme="majorEastAsia" w:hAnsiTheme="majorHAnsi" w:cstheme="majorBidi"/>
      <w:b/>
      <w:bCs/>
      <w:color w:val="365F91" w:themeColor="accent1" w:themeShade="BF"/>
      <w:sz w:val="28"/>
      <w:szCs w:val="28"/>
      <w:lang w:eastAsia="ar-SA"/>
    </w:rPr>
  </w:style>
  <w:style w:type="character" w:styleId="Emphasis">
    <w:name w:val="Emphasis"/>
    <w:basedOn w:val="DefaultParagraphFont"/>
    <w:uiPriority w:val="20"/>
    <w:qFormat/>
    <w:rsid w:val="00E45F8B"/>
    <w:rPr>
      <w:i/>
      <w:iCs/>
    </w:rPr>
  </w:style>
  <w:style w:type="paragraph" w:styleId="BodyText2">
    <w:name w:val="Body Text 2"/>
    <w:basedOn w:val="Normal"/>
    <w:link w:val="BodyText2Char"/>
    <w:semiHidden/>
    <w:unhideWhenUsed/>
    <w:rsid w:val="0085023D"/>
    <w:pPr>
      <w:spacing w:after="120" w:line="480" w:lineRule="auto"/>
    </w:pPr>
  </w:style>
  <w:style w:type="character" w:customStyle="1" w:styleId="BodyText2Char">
    <w:name w:val="Body Text 2 Char"/>
    <w:basedOn w:val="DefaultParagraphFont"/>
    <w:link w:val="BodyText2"/>
    <w:semiHidden/>
    <w:rsid w:val="0085023D"/>
    <w:rPr>
      <w:sz w:val="24"/>
      <w:szCs w:val="24"/>
      <w:lang w:eastAsia="ar-SA"/>
    </w:rPr>
  </w:style>
  <w:style w:type="paragraph" w:customStyle="1" w:styleId="CM27">
    <w:name w:val="CM27"/>
    <w:basedOn w:val="Default"/>
    <w:next w:val="Default"/>
    <w:uiPriority w:val="99"/>
    <w:rsid w:val="00D902A3"/>
    <w:pPr>
      <w:widowControl w:val="0"/>
    </w:pPr>
    <w:rPr>
      <w:rFonts w:ascii="Arial" w:eastAsiaTheme="minorEastAsia" w:hAnsi="Arial" w:cs="Arial"/>
      <w:color w:val="auto"/>
    </w:rPr>
  </w:style>
</w:styles>
</file>

<file path=word/webSettings.xml><?xml version="1.0" encoding="utf-8"?>
<w:webSettings xmlns:r="http://schemas.openxmlformats.org/officeDocument/2006/relationships" xmlns:w="http://schemas.openxmlformats.org/wordprocessingml/2006/main">
  <w:divs>
    <w:div w:id="97607002">
      <w:bodyDiv w:val="1"/>
      <w:marLeft w:val="0"/>
      <w:marRight w:val="0"/>
      <w:marTop w:val="0"/>
      <w:marBottom w:val="0"/>
      <w:divBdr>
        <w:top w:val="none" w:sz="0" w:space="0" w:color="auto"/>
        <w:left w:val="none" w:sz="0" w:space="0" w:color="auto"/>
        <w:bottom w:val="none" w:sz="0" w:space="0" w:color="auto"/>
        <w:right w:val="none" w:sz="0" w:space="0" w:color="auto"/>
      </w:divBdr>
      <w:divsChild>
        <w:div w:id="1317564067">
          <w:marLeft w:val="0"/>
          <w:marRight w:val="0"/>
          <w:marTop w:val="0"/>
          <w:marBottom w:val="0"/>
          <w:divBdr>
            <w:top w:val="none" w:sz="0" w:space="0" w:color="auto"/>
            <w:left w:val="none" w:sz="0" w:space="0" w:color="auto"/>
            <w:bottom w:val="none" w:sz="0" w:space="0" w:color="auto"/>
            <w:right w:val="none" w:sz="0" w:space="0" w:color="auto"/>
          </w:divBdr>
          <w:divsChild>
            <w:div w:id="279537583">
              <w:marLeft w:val="0"/>
              <w:marRight w:val="0"/>
              <w:marTop w:val="0"/>
              <w:marBottom w:val="0"/>
              <w:divBdr>
                <w:top w:val="none" w:sz="0" w:space="0" w:color="auto"/>
                <w:left w:val="none" w:sz="0" w:space="0" w:color="auto"/>
                <w:bottom w:val="none" w:sz="0" w:space="0" w:color="auto"/>
                <w:right w:val="none" w:sz="0" w:space="0" w:color="auto"/>
              </w:divBdr>
              <w:divsChild>
                <w:div w:id="1818759580">
                  <w:marLeft w:val="0"/>
                  <w:marRight w:val="0"/>
                  <w:marTop w:val="0"/>
                  <w:marBottom w:val="0"/>
                  <w:divBdr>
                    <w:top w:val="none" w:sz="0" w:space="0" w:color="auto"/>
                    <w:left w:val="none" w:sz="0" w:space="0" w:color="auto"/>
                    <w:bottom w:val="none" w:sz="0" w:space="0" w:color="auto"/>
                    <w:right w:val="none" w:sz="0" w:space="0" w:color="auto"/>
                  </w:divBdr>
                  <w:divsChild>
                    <w:div w:id="1166746299">
                      <w:marLeft w:val="0"/>
                      <w:marRight w:val="0"/>
                      <w:marTop w:val="0"/>
                      <w:marBottom w:val="0"/>
                      <w:divBdr>
                        <w:top w:val="none" w:sz="0" w:space="0" w:color="auto"/>
                        <w:left w:val="none" w:sz="0" w:space="0" w:color="auto"/>
                        <w:bottom w:val="none" w:sz="0" w:space="0" w:color="auto"/>
                        <w:right w:val="none" w:sz="0" w:space="0" w:color="auto"/>
                      </w:divBdr>
                      <w:divsChild>
                        <w:div w:id="2022773313">
                          <w:marLeft w:val="0"/>
                          <w:marRight w:val="0"/>
                          <w:marTop w:val="0"/>
                          <w:marBottom w:val="0"/>
                          <w:divBdr>
                            <w:top w:val="none" w:sz="0" w:space="0" w:color="auto"/>
                            <w:left w:val="none" w:sz="0" w:space="0" w:color="auto"/>
                            <w:bottom w:val="none" w:sz="0" w:space="0" w:color="auto"/>
                            <w:right w:val="none" w:sz="0" w:space="0" w:color="auto"/>
                          </w:divBdr>
                          <w:divsChild>
                            <w:div w:id="551163422">
                              <w:marLeft w:val="0"/>
                              <w:marRight w:val="0"/>
                              <w:marTop w:val="0"/>
                              <w:marBottom w:val="0"/>
                              <w:divBdr>
                                <w:top w:val="none" w:sz="0" w:space="0" w:color="auto"/>
                                <w:left w:val="none" w:sz="0" w:space="0" w:color="auto"/>
                                <w:bottom w:val="none" w:sz="0" w:space="0" w:color="auto"/>
                                <w:right w:val="none" w:sz="0" w:space="0" w:color="auto"/>
                              </w:divBdr>
                              <w:divsChild>
                                <w:div w:id="11710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12192">
      <w:bodyDiv w:val="1"/>
      <w:marLeft w:val="0"/>
      <w:marRight w:val="0"/>
      <w:marTop w:val="0"/>
      <w:marBottom w:val="0"/>
      <w:divBdr>
        <w:top w:val="none" w:sz="0" w:space="0" w:color="auto"/>
        <w:left w:val="none" w:sz="0" w:space="0" w:color="auto"/>
        <w:bottom w:val="none" w:sz="0" w:space="0" w:color="auto"/>
        <w:right w:val="none" w:sz="0" w:space="0" w:color="auto"/>
      </w:divBdr>
      <w:divsChild>
        <w:div w:id="1051148653">
          <w:marLeft w:val="0"/>
          <w:marRight w:val="0"/>
          <w:marTop w:val="0"/>
          <w:marBottom w:val="0"/>
          <w:divBdr>
            <w:top w:val="none" w:sz="0" w:space="0" w:color="auto"/>
            <w:left w:val="none" w:sz="0" w:space="0" w:color="auto"/>
            <w:bottom w:val="none" w:sz="0" w:space="0" w:color="auto"/>
            <w:right w:val="none" w:sz="0" w:space="0" w:color="auto"/>
          </w:divBdr>
          <w:divsChild>
            <w:div w:id="1460143856">
              <w:marLeft w:val="0"/>
              <w:marRight w:val="0"/>
              <w:marTop w:val="0"/>
              <w:marBottom w:val="0"/>
              <w:divBdr>
                <w:top w:val="none" w:sz="0" w:space="0" w:color="auto"/>
                <w:left w:val="none" w:sz="0" w:space="0" w:color="auto"/>
                <w:bottom w:val="none" w:sz="0" w:space="0" w:color="auto"/>
                <w:right w:val="none" w:sz="0" w:space="0" w:color="auto"/>
              </w:divBdr>
              <w:divsChild>
                <w:div w:id="1458798299">
                  <w:marLeft w:val="0"/>
                  <w:marRight w:val="0"/>
                  <w:marTop w:val="0"/>
                  <w:marBottom w:val="0"/>
                  <w:divBdr>
                    <w:top w:val="none" w:sz="0" w:space="0" w:color="auto"/>
                    <w:left w:val="none" w:sz="0" w:space="0" w:color="auto"/>
                    <w:bottom w:val="none" w:sz="0" w:space="0" w:color="auto"/>
                    <w:right w:val="none" w:sz="0" w:space="0" w:color="auto"/>
                  </w:divBdr>
                  <w:divsChild>
                    <w:div w:id="1094932311">
                      <w:marLeft w:val="0"/>
                      <w:marRight w:val="0"/>
                      <w:marTop w:val="0"/>
                      <w:marBottom w:val="0"/>
                      <w:divBdr>
                        <w:top w:val="none" w:sz="0" w:space="0" w:color="auto"/>
                        <w:left w:val="none" w:sz="0" w:space="0" w:color="auto"/>
                        <w:bottom w:val="none" w:sz="0" w:space="0" w:color="auto"/>
                        <w:right w:val="none" w:sz="0" w:space="0" w:color="auto"/>
                      </w:divBdr>
                      <w:divsChild>
                        <w:div w:id="719861799">
                          <w:marLeft w:val="0"/>
                          <w:marRight w:val="0"/>
                          <w:marTop w:val="0"/>
                          <w:marBottom w:val="0"/>
                          <w:divBdr>
                            <w:top w:val="none" w:sz="0" w:space="0" w:color="auto"/>
                            <w:left w:val="none" w:sz="0" w:space="0" w:color="auto"/>
                            <w:bottom w:val="none" w:sz="0" w:space="0" w:color="auto"/>
                            <w:right w:val="none" w:sz="0" w:space="0" w:color="auto"/>
                          </w:divBdr>
                          <w:divsChild>
                            <w:div w:id="1206983006">
                              <w:marLeft w:val="0"/>
                              <w:marRight w:val="0"/>
                              <w:marTop w:val="0"/>
                              <w:marBottom w:val="0"/>
                              <w:divBdr>
                                <w:top w:val="none" w:sz="0" w:space="0" w:color="auto"/>
                                <w:left w:val="none" w:sz="0" w:space="0" w:color="auto"/>
                                <w:bottom w:val="none" w:sz="0" w:space="0" w:color="auto"/>
                                <w:right w:val="none" w:sz="0" w:space="0" w:color="auto"/>
                              </w:divBdr>
                              <w:divsChild>
                                <w:div w:id="2095742266">
                                  <w:marLeft w:val="0"/>
                                  <w:marRight w:val="0"/>
                                  <w:marTop w:val="0"/>
                                  <w:marBottom w:val="0"/>
                                  <w:divBdr>
                                    <w:top w:val="none" w:sz="0" w:space="0" w:color="auto"/>
                                    <w:left w:val="none" w:sz="0" w:space="0" w:color="auto"/>
                                    <w:bottom w:val="none" w:sz="0" w:space="0" w:color="auto"/>
                                    <w:right w:val="none" w:sz="0" w:space="0" w:color="auto"/>
                                  </w:divBdr>
                                  <w:divsChild>
                                    <w:div w:id="1145010698">
                                      <w:marLeft w:val="0"/>
                                      <w:marRight w:val="0"/>
                                      <w:marTop w:val="0"/>
                                      <w:marBottom w:val="0"/>
                                      <w:divBdr>
                                        <w:top w:val="single" w:sz="6" w:space="0" w:color="F5F5F5"/>
                                        <w:left w:val="single" w:sz="6" w:space="0" w:color="F5F5F5"/>
                                        <w:bottom w:val="single" w:sz="6" w:space="0" w:color="F5F5F5"/>
                                        <w:right w:val="single" w:sz="6" w:space="0" w:color="F5F5F5"/>
                                      </w:divBdr>
                                      <w:divsChild>
                                        <w:div w:id="1793402517">
                                          <w:marLeft w:val="0"/>
                                          <w:marRight w:val="0"/>
                                          <w:marTop w:val="0"/>
                                          <w:marBottom w:val="0"/>
                                          <w:divBdr>
                                            <w:top w:val="none" w:sz="0" w:space="0" w:color="auto"/>
                                            <w:left w:val="none" w:sz="0" w:space="0" w:color="auto"/>
                                            <w:bottom w:val="none" w:sz="0" w:space="0" w:color="auto"/>
                                            <w:right w:val="none" w:sz="0" w:space="0" w:color="auto"/>
                                          </w:divBdr>
                                          <w:divsChild>
                                            <w:div w:id="11616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81284">
      <w:bodyDiv w:val="1"/>
      <w:marLeft w:val="0"/>
      <w:marRight w:val="0"/>
      <w:marTop w:val="0"/>
      <w:marBottom w:val="0"/>
      <w:divBdr>
        <w:top w:val="none" w:sz="0" w:space="0" w:color="auto"/>
        <w:left w:val="none" w:sz="0" w:space="0" w:color="auto"/>
        <w:bottom w:val="none" w:sz="0" w:space="0" w:color="auto"/>
        <w:right w:val="none" w:sz="0" w:space="0" w:color="auto"/>
      </w:divBdr>
    </w:div>
    <w:div w:id="273560233">
      <w:bodyDiv w:val="1"/>
      <w:marLeft w:val="0"/>
      <w:marRight w:val="0"/>
      <w:marTop w:val="0"/>
      <w:marBottom w:val="0"/>
      <w:divBdr>
        <w:top w:val="none" w:sz="0" w:space="0" w:color="auto"/>
        <w:left w:val="none" w:sz="0" w:space="0" w:color="auto"/>
        <w:bottom w:val="none" w:sz="0" w:space="0" w:color="auto"/>
        <w:right w:val="none" w:sz="0" w:space="0" w:color="auto"/>
      </w:divBdr>
      <w:divsChild>
        <w:div w:id="48458099">
          <w:marLeft w:val="0"/>
          <w:marRight w:val="0"/>
          <w:marTop w:val="0"/>
          <w:marBottom w:val="0"/>
          <w:divBdr>
            <w:top w:val="none" w:sz="0" w:space="0" w:color="auto"/>
            <w:left w:val="none" w:sz="0" w:space="0" w:color="auto"/>
            <w:bottom w:val="none" w:sz="0" w:space="0" w:color="auto"/>
            <w:right w:val="none" w:sz="0" w:space="0" w:color="auto"/>
          </w:divBdr>
          <w:divsChild>
            <w:div w:id="1594237811">
              <w:marLeft w:val="0"/>
              <w:marRight w:val="0"/>
              <w:marTop w:val="0"/>
              <w:marBottom w:val="0"/>
              <w:divBdr>
                <w:top w:val="none" w:sz="0" w:space="0" w:color="auto"/>
                <w:left w:val="none" w:sz="0" w:space="0" w:color="auto"/>
                <w:bottom w:val="none" w:sz="0" w:space="0" w:color="auto"/>
                <w:right w:val="none" w:sz="0" w:space="0" w:color="auto"/>
              </w:divBdr>
              <w:divsChild>
                <w:div w:id="8771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6038">
      <w:bodyDiv w:val="1"/>
      <w:marLeft w:val="0"/>
      <w:marRight w:val="0"/>
      <w:marTop w:val="0"/>
      <w:marBottom w:val="0"/>
      <w:divBdr>
        <w:top w:val="none" w:sz="0" w:space="0" w:color="auto"/>
        <w:left w:val="none" w:sz="0" w:space="0" w:color="auto"/>
        <w:bottom w:val="none" w:sz="0" w:space="0" w:color="auto"/>
        <w:right w:val="none" w:sz="0" w:space="0" w:color="auto"/>
      </w:divBdr>
      <w:divsChild>
        <w:div w:id="765272100">
          <w:marLeft w:val="0"/>
          <w:marRight w:val="0"/>
          <w:marTop w:val="0"/>
          <w:marBottom w:val="0"/>
          <w:divBdr>
            <w:top w:val="none" w:sz="0" w:space="0" w:color="auto"/>
            <w:left w:val="none" w:sz="0" w:space="0" w:color="auto"/>
            <w:bottom w:val="none" w:sz="0" w:space="0" w:color="auto"/>
            <w:right w:val="none" w:sz="0" w:space="0" w:color="auto"/>
          </w:divBdr>
          <w:divsChild>
            <w:div w:id="1333533305">
              <w:marLeft w:val="0"/>
              <w:marRight w:val="0"/>
              <w:marTop w:val="0"/>
              <w:marBottom w:val="0"/>
              <w:divBdr>
                <w:top w:val="none" w:sz="0" w:space="0" w:color="auto"/>
                <w:left w:val="none" w:sz="0" w:space="0" w:color="auto"/>
                <w:bottom w:val="none" w:sz="0" w:space="0" w:color="auto"/>
                <w:right w:val="none" w:sz="0" w:space="0" w:color="auto"/>
              </w:divBdr>
              <w:divsChild>
                <w:div w:id="5680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7825">
      <w:bodyDiv w:val="1"/>
      <w:marLeft w:val="0"/>
      <w:marRight w:val="0"/>
      <w:marTop w:val="0"/>
      <w:marBottom w:val="0"/>
      <w:divBdr>
        <w:top w:val="none" w:sz="0" w:space="0" w:color="auto"/>
        <w:left w:val="none" w:sz="0" w:space="0" w:color="auto"/>
        <w:bottom w:val="none" w:sz="0" w:space="0" w:color="auto"/>
        <w:right w:val="none" w:sz="0" w:space="0" w:color="auto"/>
      </w:divBdr>
    </w:div>
    <w:div w:id="437263439">
      <w:bodyDiv w:val="1"/>
      <w:marLeft w:val="0"/>
      <w:marRight w:val="0"/>
      <w:marTop w:val="0"/>
      <w:marBottom w:val="0"/>
      <w:divBdr>
        <w:top w:val="none" w:sz="0" w:space="0" w:color="auto"/>
        <w:left w:val="none" w:sz="0" w:space="0" w:color="auto"/>
        <w:bottom w:val="none" w:sz="0" w:space="0" w:color="auto"/>
        <w:right w:val="none" w:sz="0" w:space="0" w:color="auto"/>
      </w:divBdr>
    </w:div>
    <w:div w:id="481585504">
      <w:bodyDiv w:val="1"/>
      <w:marLeft w:val="0"/>
      <w:marRight w:val="0"/>
      <w:marTop w:val="0"/>
      <w:marBottom w:val="0"/>
      <w:divBdr>
        <w:top w:val="none" w:sz="0" w:space="0" w:color="auto"/>
        <w:left w:val="none" w:sz="0" w:space="0" w:color="auto"/>
        <w:bottom w:val="none" w:sz="0" w:space="0" w:color="auto"/>
        <w:right w:val="none" w:sz="0" w:space="0" w:color="auto"/>
      </w:divBdr>
    </w:div>
    <w:div w:id="543177446">
      <w:bodyDiv w:val="1"/>
      <w:marLeft w:val="0"/>
      <w:marRight w:val="0"/>
      <w:marTop w:val="0"/>
      <w:marBottom w:val="0"/>
      <w:divBdr>
        <w:top w:val="none" w:sz="0" w:space="0" w:color="auto"/>
        <w:left w:val="none" w:sz="0" w:space="0" w:color="auto"/>
        <w:bottom w:val="none" w:sz="0" w:space="0" w:color="auto"/>
        <w:right w:val="none" w:sz="0" w:space="0" w:color="auto"/>
      </w:divBdr>
      <w:divsChild>
        <w:div w:id="1296252419">
          <w:marLeft w:val="0"/>
          <w:marRight w:val="0"/>
          <w:marTop w:val="0"/>
          <w:marBottom w:val="0"/>
          <w:divBdr>
            <w:top w:val="none" w:sz="0" w:space="0" w:color="auto"/>
            <w:left w:val="none" w:sz="0" w:space="0" w:color="auto"/>
            <w:bottom w:val="none" w:sz="0" w:space="0" w:color="auto"/>
            <w:right w:val="none" w:sz="0" w:space="0" w:color="auto"/>
          </w:divBdr>
          <w:divsChild>
            <w:div w:id="1334842932">
              <w:marLeft w:val="0"/>
              <w:marRight w:val="0"/>
              <w:marTop w:val="0"/>
              <w:marBottom w:val="0"/>
              <w:divBdr>
                <w:top w:val="none" w:sz="0" w:space="0" w:color="auto"/>
                <w:left w:val="none" w:sz="0" w:space="0" w:color="auto"/>
                <w:bottom w:val="none" w:sz="0" w:space="0" w:color="auto"/>
                <w:right w:val="none" w:sz="0" w:space="0" w:color="auto"/>
              </w:divBdr>
              <w:divsChild>
                <w:div w:id="16187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647">
      <w:bodyDiv w:val="1"/>
      <w:marLeft w:val="0"/>
      <w:marRight w:val="0"/>
      <w:marTop w:val="0"/>
      <w:marBottom w:val="0"/>
      <w:divBdr>
        <w:top w:val="none" w:sz="0" w:space="0" w:color="auto"/>
        <w:left w:val="none" w:sz="0" w:space="0" w:color="auto"/>
        <w:bottom w:val="none" w:sz="0" w:space="0" w:color="auto"/>
        <w:right w:val="none" w:sz="0" w:space="0" w:color="auto"/>
      </w:divBdr>
      <w:divsChild>
        <w:div w:id="1609849473">
          <w:marLeft w:val="0"/>
          <w:marRight w:val="0"/>
          <w:marTop w:val="0"/>
          <w:marBottom w:val="0"/>
          <w:divBdr>
            <w:top w:val="none" w:sz="0" w:space="0" w:color="auto"/>
            <w:left w:val="none" w:sz="0" w:space="0" w:color="auto"/>
            <w:bottom w:val="none" w:sz="0" w:space="0" w:color="auto"/>
            <w:right w:val="none" w:sz="0" w:space="0" w:color="auto"/>
          </w:divBdr>
          <w:divsChild>
            <w:div w:id="1999721797">
              <w:marLeft w:val="0"/>
              <w:marRight w:val="0"/>
              <w:marTop w:val="0"/>
              <w:marBottom w:val="0"/>
              <w:divBdr>
                <w:top w:val="none" w:sz="0" w:space="0" w:color="auto"/>
                <w:left w:val="none" w:sz="0" w:space="0" w:color="auto"/>
                <w:bottom w:val="none" w:sz="0" w:space="0" w:color="auto"/>
                <w:right w:val="none" w:sz="0" w:space="0" w:color="auto"/>
              </w:divBdr>
              <w:divsChild>
                <w:div w:id="938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8618">
      <w:bodyDiv w:val="1"/>
      <w:marLeft w:val="0"/>
      <w:marRight w:val="0"/>
      <w:marTop w:val="0"/>
      <w:marBottom w:val="0"/>
      <w:divBdr>
        <w:top w:val="none" w:sz="0" w:space="0" w:color="auto"/>
        <w:left w:val="none" w:sz="0" w:space="0" w:color="auto"/>
        <w:bottom w:val="none" w:sz="0" w:space="0" w:color="auto"/>
        <w:right w:val="none" w:sz="0" w:space="0" w:color="auto"/>
      </w:divBdr>
    </w:div>
    <w:div w:id="820583326">
      <w:bodyDiv w:val="1"/>
      <w:marLeft w:val="0"/>
      <w:marRight w:val="0"/>
      <w:marTop w:val="0"/>
      <w:marBottom w:val="0"/>
      <w:divBdr>
        <w:top w:val="none" w:sz="0" w:space="0" w:color="auto"/>
        <w:left w:val="none" w:sz="0" w:space="0" w:color="auto"/>
        <w:bottom w:val="none" w:sz="0" w:space="0" w:color="auto"/>
        <w:right w:val="none" w:sz="0" w:space="0" w:color="auto"/>
      </w:divBdr>
    </w:div>
    <w:div w:id="831599951">
      <w:bodyDiv w:val="1"/>
      <w:marLeft w:val="0"/>
      <w:marRight w:val="0"/>
      <w:marTop w:val="0"/>
      <w:marBottom w:val="0"/>
      <w:divBdr>
        <w:top w:val="none" w:sz="0" w:space="0" w:color="auto"/>
        <w:left w:val="none" w:sz="0" w:space="0" w:color="auto"/>
        <w:bottom w:val="none" w:sz="0" w:space="0" w:color="auto"/>
        <w:right w:val="none" w:sz="0" w:space="0" w:color="auto"/>
      </w:divBdr>
    </w:div>
    <w:div w:id="904992246">
      <w:bodyDiv w:val="1"/>
      <w:marLeft w:val="0"/>
      <w:marRight w:val="0"/>
      <w:marTop w:val="0"/>
      <w:marBottom w:val="0"/>
      <w:divBdr>
        <w:top w:val="none" w:sz="0" w:space="0" w:color="auto"/>
        <w:left w:val="none" w:sz="0" w:space="0" w:color="auto"/>
        <w:bottom w:val="none" w:sz="0" w:space="0" w:color="auto"/>
        <w:right w:val="none" w:sz="0" w:space="0" w:color="auto"/>
      </w:divBdr>
      <w:divsChild>
        <w:div w:id="256988254">
          <w:marLeft w:val="0"/>
          <w:marRight w:val="0"/>
          <w:marTop w:val="0"/>
          <w:marBottom w:val="0"/>
          <w:divBdr>
            <w:top w:val="none" w:sz="0" w:space="0" w:color="auto"/>
            <w:left w:val="none" w:sz="0" w:space="0" w:color="auto"/>
            <w:bottom w:val="none" w:sz="0" w:space="0" w:color="auto"/>
            <w:right w:val="none" w:sz="0" w:space="0" w:color="auto"/>
          </w:divBdr>
          <w:divsChild>
            <w:div w:id="1348945949">
              <w:marLeft w:val="0"/>
              <w:marRight w:val="0"/>
              <w:marTop w:val="0"/>
              <w:marBottom w:val="0"/>
              <w:divBdr>
                <w:top w:val="none" w:sz="0" w:space="0" w:color="auto"/>
                <w:left w:val="none" w:sz="0" w:space="0" w:color="auto"/>
                <w:bottom w:val="none" w:sz="0" w:space="0" w:color="auto"/>
                <w:right w:val="none" w:sz="0" w:space="0" w:color="auto"/>
              </w:divBdr>
              <w:divsChild>
                <w:div w:id="911893897">
                  <w:marLeft w:val="0"/>
                  <w:marRight w:val="0"/>
                  <w:marTop w:val="0"/>
                  <w:marBottom w:val="0"/>
                  <w:divBdr>
                    <w:top w:val="none" w:sz="0" w:space="0" w:color="auto"/>
                    <w:left w:val="none" w:sz="0" w:space="0" w:color="auto"/>
                    <w:bottom w:val="none" w:sz="0" w:space="0" w:color="auto"/>
                    <w:right w:val="none" w:sz="0" w:space="0" w:color="auto"/>
                  </w:divBdr>
                  <w:divsChild>
                    <w:div w:id="1772234829">
                      <w:marLeft w:val="0"/>
                      <w:marRight w:val="0"/>
                      <w:marTop w:val="0"/>
                      <w:marBottom w:val="0"/>
                      <w:divBdr>
                        <w:top w:val="none" w:sz="0" w:space="0" w:color="auto"/>
                        <w:left w:val="none" w:sz="0" w:space="0" w:color="auto"/>
                        <w:bottom w:val="none" w:sz="0" w:space="0" w:color="auto"/>
                        <w:right w:val="none" w:sz="0" w:space="0" w:color="auto"/>
                      </w:divBdr>
                      <w:divsChild>
                        <w:div w:id="547760060">
                          <w:marLeft w:val="0"/>
                          <w:marRight w:val="0"/>
                          <w:marTop w:val="0"/>
                          <w:marBottom w:val="0"/>
                          <w:divBdr>
                            <w:top w:val="none" w:sz="0" w:space="0" w:color="auto"/>
                            <w:left w:val="none" w:sz="0" w:space="0" w:color="auto"/>
                            <w:bottom w:val="none" w:sz="0" w:space="0" w:color="auto"/>
                            <w:right w:val="none" w:sz="0" w:space="0" w:color="auto"/>
                          </w:divBdr>
                          <w:divsChild>
                            <w:div w:id="397672749">
                              <w:marLeft w:val="0"/>
                              <w:marRight w:val="0"/>
                              <w:marTop w:val="0"/>
                              <w:marBottom w:val="0"/>
                              <w:divBdr>
                                <w:top w:val="none" w:sz="0" w:space="0" w:color="auto"/>
                                <w:left w:val="none" w:sz="0" w:space="0" w:color="auto"/>
                                <w:bottom w:val="none" w:sz="0" w:space="0" w:color="auto"/>
                                <w:right w:val="none" w:sz="0" w:space="0" w:color="auto"/>
                              </w:divBdr>
                              <w:divsChild>
                                <w:div w:id="216016212">
                                  <w:marLeft w:val="0"/>
                                  <w:marRight w:val="0"/>
                                  <w:marTop w:val="0"/>
                                  <w:marBottom w:val="0"/>
                                  <w:divBdr>
                                    <w:top w:val="none" w:sz="0" w:space="0" w:color="auto"/>
                                    <w:left w:val="none" w:sz="0" w:space="0" w:color="auto"/>
                                    <w:bottom w:val="none" w:sz="0" w:space="0" w:color="auto"/>
                                    <w:right w:val="none" w:sz="0" w:space="0" w:color="auto"/>
                                  </w:divBdr>
                                  <w:divsChild>
                                    <w:div w:id="948780046">
                                      <w:marLeft w:val="0"/>
                                      <w:marRight w:val="0"/>
                                      <w:marTop w:val="0"/>
                                      <w:marBottom w:val="0"/>
                                      <w:divBdr>
                                        <w:top w:val="single" w:sz="6" w:space="0" w:color="F5F5F5"/>
                                        <w:left w:val="single" w:sz="6" w:space="0" w:color="F5F5F5"/>
                                        <w:bottom w:val="single" w:sz="6" w:space="0" w:color="F5F5F5"/>
                                        <w:right w:val="single" w:sz="6" w:space="0" w:color="F5F5F5"/>
                                      </w:divBdr>
                                      <w:divsChild>
                                        <w:div w:id="1012413755">
                                          <w:marLeft w:val="0"/>
                                          <w:marRight w:val="0"/>
                                          <w:marTop w:val="0"/>
                                          <w:marBottom w:val="0"/>
                                          <w:divBdr>
                                            <w:top w:val="none" w:sz="0" w:space="0" w:color="auto"/>
                                            <w:left w:val="none" w:sz="0" w:space="0" w:color="auto"/>
                                            <w:bottom w:val="none" w:sz="0" w:space="0" w:color="auto"/>
                                            <w:right w:val="none" w:sz="0" w:space="0" w:color="auto"/>
                                          </w:divBdr>
                                          <w:divsChild>
                                            <w:div w:id="20520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014495">
      <w:bodyDiv w:val="1"/>
      <w:marLeft w:val="0"/>
      <w:marRight w:val="0"/>
      <w:marTop w:val="0"/>
      <w:marBottom w:val="0"/>
      <w:divBdr>
        <w:top w:val="none" w:sz="0" w:space="0" w:color="auto"/>
        <w:left w:val="none" w:sz="0" w:space="0" w:color="auto"/>
        <w:bottom w:val="none" w:sz="0" w:space="0" w:color="auto"/>
        <w:right w:val="none" w:sz="0" w:space="0" w:color="auto"/>
      </w:divBdr>
    </w:div>
    <w:div w:id="1013799193">
      <w:bodyDiv w:val="1"/>
      <w:marLeft w:val="0"/>
      <w:marRight w:val="0"/>
      <w:marTop w:val="0"/>
      <w:marBottom w:val="0"/>
      <w:divBdr>
        <w:top w:val="none" w:sz="0" w:space="0" w:color="auto"/>
        <w:left w:val="none" w:sz="0" w:space="0" w:color="auto"/>
        <w:bottom w:val="none" w:sz="0" w:space="0" w:color="auto"/>
        <w:right w:val="none" w:sz="0" w:space="0" w:color="auto"/>
      </w:divBdr>
    </w:div>
    <w:div w:id="1037002540">
      <w:bodyDiv w:val="1"/>
      <w:marLeft w:val="0"/>
      <w:marRight w:val="0"/>
      <w:marTop w:val="0"/>
      <w:marBottom w:val="0"/>
      <w:divBdr>
        <w:top w:val="none" w:sz="0" w:space="0" w:color="auto"/>
        <w:left w:val="none" w:sz="0" w:space="0" w:color="auto"/>
        <w:bottom w:val="none" w:sz="0" w:space="0" w:color="auto"/>
        <w:right w:val="none" w:sz="0" w:space="0" w:color="auto"/>
      </w:divBdr>
    </w:div>
    <w:div w:id="1181116454">
      <w:bodyDiv w:val="1"/>
      <w:marLeft w:val="0"/>
      <w:marRight w:val="0"/>
      <w:marTop w:val="0"/>
      <w:marBottom w:val="0"/>
      <w:divBdr>
        <w:top w:val="none" w:sz="0" w:space="0" w:color="auto"/>
        <w:left w:val="none" w:sz="0" w:space="0" w:color="auto"/>
        <w:bottom w:val="none" w:sz="0" w:space="0" w:color="auto"/>
        <w:right w:val="none" w:sz="0" w:space="0" w:color="auto"/>
      </w:divBdr>
      <w:divsChild>
        <w:div w:id="1809280613">
          <w:marLeft w:val="0"/>
          <w:marRight w:val="0"/>
          <w:marTop w:val="0"/>
          <w:marBottom w:val="0"/>
          <w:divBdr>
            <w:top w:val="none" w:sz="0" w:space="0" w:color="auto"/>
            <w:left w:val="none" w:sz="0" w:space="0" w:color="auto"/>
            <w:bottom w:val="none" w:sz="0" w:space="0" w:color="auto"/>
            <w:right w:val="none" w:sz="0" w:space="0" w:color="auto"/>
          </w:divBdr>
          <w:divsChild>
            <w:div w:id="983000554">
              <w:marLeft w:val="0"/>
              <w:marRight w:val="0"/>
              <w:marTop w:val="0"/>
              <w:marBottom w:val="0"/>
              <w:divBdr>
                <w:top w:val="none" w:sz="0" w:space="0" w:color="auto"/>
                <w:left w:val="none" w:sz="0" w:space="0" w:color="auto"/>
                <w:bottom w:val="none" w:sz="0" w:space="0" w:color="auto"/>
                <w:right w:val="none" w:sz="0" w:space="0" w:color="auto"/>
              </w:divBdr>
              <w:divsChild>
                <w:div w:id="1351877123">
                  <w:marLeft w:val="0"/>
                  <w:marRight w:val="0"/>
                  <w:marTop w:val="0"/>
                  <w:marBottom w:val="0"/>
                  <w:divBdr>
                    <w:top w:val="none" w:sz="0" w:space="0" w:color="auto"/>
                    <w:left w:val="none" w:sz="0" w:space="0" w:color="auto"/>
                    <w:bottom w:val="none" w:sz="0" w:space="0" w:color="auto"/>
                    <w:right w:val="none" w:sz="0" w:space="0" w:color="auto"/>
                  </w:divBdr>
                  <w:divsChild>
                    <w:div w:id="607662346">
                      <w:marLeft w:val="0"/>
                      <w:marRight w:val="0"/>
                      <w:marTop w:val="0"/>
                      <w:marBottom w:val="0"/>
                      <w:divBdr>
                        <w:top w:val="none" w:sz="0" w:space="0" w:color="auto"/>
                        <w:left w:val="none" w:sz="0" w:space="0" w:color="auto"/>
                        <w:bottom w:val="none" w:sz="0" w:space="0" w:color="auto"/>
                        <w:right w:val="none" w:sz="0" w:space="0" w:color="auto"/>
                      </w:divBdr>
                      <w:divsChild>
                        <w:div w:id="1384401225">
                          <w:marLeft w:val="0"/>
                          <w:marRight w:val="0"/>
                          <w:marTop w:val="0"/>
                          <w:marBottom w:val="0"/>
                          <w:divBdr>
                            <w:top w:val="none" w:sz="0" w:space="0" w:color="auto"/>
                            <w:left w:val="none" w:sz="0" w:space="0" w:color="auto"/>
                            <w:bottom w:val="none" w:sz="0" w:space="0" w:color="auto"/>
                            <w:right w:val="none" w:sz="0" w:space="0" w:color="auto"/>
                          </w:divBdr>
                          <w:divsChild>
                            <w:div w:id="13142622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78378">
      <w:bodyDiv w:val="1"/>
      <w:marLeft w:val="0"/>
      <w:marRight w:val="0"/>
      <w:marTop w:val="0"/>
      <w:marBottom w:val="0"/>
      <w:divBdr>
        <w:top w:val="none" w:sz="0" w:space="0" w:color="auto"/>
        <w:left w:val="none" w:sz="0" w:space="0" w:color="auto"/>
        <w:bottom w:val="none" w:sz="0" w:space="0" w:color="auto"/>
        <w:right w:val="none" w:sz="0" w:space="0" w:color="auto"/>
      </w:divBdr>
      <w:divsChild>
        <w:div w:id="1093428416">
          <w:marLeft w:val="0"/>
          <w:marRight w:val="0"/>
          <w:marTop w:val="0"/>
          <w:marBottom w:val="0"/>
          <w:divBdr>
            <w:top w:val="none" w:sz="0" w:space="0" w:color="auto"/>
            <w:left w:val="none" w:sz="0" w:space="0" w:color="auto"/>
            <w:bottom w:val="none" w:sz="0" w:space="0" w:color="auto"/>
            <w:right w:val="none" w:sz="0" w:space="0" w:color="auto"/>
          </w:divBdr>
          <w:divsChild>
            <w:div w:id="1692149978">
              <w:marLeft w:val="0"/>
              <w:marRight w:val="0"/>
              <w:marTop w:val="0"/>
              <w:marBottom w:val="0"/>
              <w:divBdr>
                <w:top w:val="none" w:sz="0" w:space="0" w:color="auto"/>
                <w:left w:val="none" w:sz="0" w:space="0" w:color="auto"/>
                <w:bottom w:val="none" w:sz="0" w:space="0" w:color="auto"/>
                <w:right w:val="none" w:sz="0" w:space="0" w:color="auto"/>
              </w:divBdr>
              <w:divsChild>
                <w:div w:id="469589118">
                  <w:marLeft w:val="0"/>
                  <w:marRight w:val="0"/>
                  <w:marTop w:val="0"/>
                  <w:marBottom w:val="0"/>
                  <w:divBdr>
                    <w:top w:val="none" w:sz="0" w:space="0" w:color="auto"/>
                    <w:left w:val="none" w:sz="0" w:space="0" w:color="auto"/>
                    <w:bottom w:val="none" w:sz="0" w:space="0" w:color="auto"/>
                    <w:right w:val="none" w:sz="0" w:space="0" w:color="auto"/>
                  </w:divBdr>
                  <w:divsChild>
                    <w:div w:id="398553477">
                      <w:marLeft w:val="0"/>
                      <w:marRight w:val="0"/>
                      <w:marTop w:val="0"/>
                      <w:marBottom w:val="0"/>
                      <w:divBdr>
                        <w:top w:val="none" w:sz="0" w:space="0" w:color="auto"/>
                        <w:left w:val="none" w:sz="0" w:space="0" w:color="auto"/>
                        <w:bottom w:val="none" w:sz="0" w:space="0" w:color="auto"/>
                        <w:right w:val="none" w:sz="0" w:space="0" w:color="auto"/>
                      </w:divBdr>
                      <w:divsChild>
                        <w:div w:id="238952974">
                          <w:marLeft w:val="0"/>
                          <w:marRight w:val="0"/>
                          <w:marTop w:val="0"/>
                          <w:marBottom w:val="0"/>
                          <w:divBdr>
                            <w:top w:val="none" w:sz="0" w:space="0" w:color="auto"/>
                            <w:left w:val="none" w:sz="0" w:space="0" w:color="auto"/>
                            <w:bottom w:val="none" w:sz="0" w:space="0" w:color="auto"/>
                            <w:right w:val="none" w:sz="0" w:space="0" w:color="auto"/>
                          </w:divBdr>
                          <w:divsChild>
                            <w:div w:id="676427811">
                              <w:marLeft w:val="0"/>
                              <w:marRight w:val="0"/>
                              <w:marTop w:val="0"/>
                              <w:marBottom w:val="0"/>
                              <w:divBdr>
                                <w:top w:val="none" w:sz="0" w:space="0" w:color="auto"/>
                                <w:left w:val="none" w:sz="0" w:space="0" w:color="auto"/>
                                <w:bottom w:val="none" w:sz="0" w:space="0" w:color="auto"/>
                                <w:right w:val="none" w:sz="0" w:space="0" w:color="auto"/>
                              </w:divBdr>
                              <w:divsChild>
                                <w:div w:id="1598439052">
                                  <w:marLeft w:val="0"/>
                                  <w:marRight w:val="0"/>
                                  <w:marTop w:val="0"/>
                                  <w:marBottom w:val="0"/>
                                  <w:divBdr>
                                    <w:top w:val="none" w:sz="0" w:space="0" w:color="auto"/>
                                    <w:left w:val="none" w:sz="0" w:space="0" w:color="auto"/>
                                    <w:bottom w:val="none" w:sz="0" w:space="0" w:color="auto"/>
                                    <w:right w:val="none" w:sz="0" w:space="0" w:color="auto"/>
                                  </w:divBdr>
                                  <w:divsChild>
                                    <w:div w:id="1207370644">
                                      <w:marLeft w:val="0"/>
                                      <w:marRight w:val="0"/>
                                      <w:marTop w:val="0"/>
                                      <w:marBottom w:val="0"/>
                                      <w:divBdr>
                                        <w:top w:val="single" w:sz="6" w:space="0" w:color="F5F5F5"/>
                                        <w:left w:val="single" w:sz="6" w:space="0" w:color="F5F5F5"/>
                                        <w:bottom w:val="single" w:sz="6" w:space="0" w:color="F5F5F5"/>
                                        <w:right w:val="single" w:sz="6" w:space="0" w:color="F5F5F5"/>
                                      </w:divBdr>
                                      <w:divsChild>
                                        <w:div w:id="407532907">
                                          <w:marLeft w:val="0"/>
                                          <w:marRight w:val="0"/>
                                          <w:marTop w:val="0"/>
                                          <w:marBottom w:val="0"/>
                                          <w:divBdr>
                                            <w:top w:val="none" w:sz="0" w:space="0" w:color="auto"/>
                                            <w:left w:val="none" w:sz="0" w:space="0" w:color="auto"/>
                                            <w:bottom w:val="none" w:sz="0" w:space="0" w:color="auto"/>
                                            <w:right w:val="none" w:sz="0" w:space="0" w:color="auto"/>
                                          </w:divBdr>
                                          <w:divsChild>
                                            <w:div w:id="4672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789225">
      <w:bodyDiv w:val="1"/>
      <w:marLeft w:val="0"/>
      <w:marRight w:val="0"/>
      <w:marTop w:val="0"/>
      <w:marBottom w:val="0"/>
      <w:divBdr>
        <w:top w:val="none" w:sz="0" w:space="0" w:color="auto"/>
        <w:left w:val="none" w:sz="0" w:space="0" w:color="auto"/>
        <w:bottom w:val="none" w:sz="0" w:space="0" w:color="auto"/>
        <w:right w:val="none" w:sz="0" w:space="0" w:color="auto"/>
      </w:divBdr>
    </w:div>
    <w:div w:id="1243564693">
      <w:bodyDiv w:val="1"/>
      <w:marLeft w:val="0"/>
      <w:marRight w:val="0"/>
      <w:marTop w:val="0"/>
      <w:marBottom w:val="0"/>
      <w:divBdr>
        <w:top w:val="none" w:sz="0" w:space="0" w:color="auto"/>
        <w:left w:val="none" w:sz="0" w:space="0" w:color="auto"/>
        <w:bottom w:val="none" w:sz="0" w:space="0" w:color="auto"/>
        <w:right w:val="none" w:sz="0" w:space="0" w:color="auto"/>
      </w:divBdr>
      <w:divsChild>
        <w:div w:id="1855462691">
          <w:marLeft w:val="0"/>
          <w:marRight w:val="0"/>
          <w:marTop w:val="0"/>
          <w:marBottom w:val="0"/>
          <w:divBdr>
            <w:top w:val="none" w:sz="0" w:space="0" w:color="auto"/>
            <w:left w:val="none" w:sz="0" w:space="0" w:color="auto"/>
            <w:bottom w:val="none" w:sz="0" w:space="0" w:color="auto"/>
            <w:right w:val="none" w:sz="0" w:space="0" w:color="auto"/>
          </w:divBdr>
          <w:divsChild>
            <w:div w:id="91904199">
              <w:marLeft w:val="0"/>
              <w:marRight w:val="0"/>
              <w:marTop w:val="0"/>
              <w:marBottom w:val="0"/>
              <w:divBdr>
                <w:top w:val="none" w:sz="0" w:space="0" w:color="auto"/>
                <w:left w:val="none" w:sz="0" w:space="0" w:color="auto"/>
                <w:bottom w:val="none" w:sz="0" w:space="0" w:color="auto"/>
                <w:right w:val="none" w:sz="0" w:space="0" w:color="auto"/>
              </w:divBdr>
              <w:divsChild>
                <w:div w:id="1010449089">
                  <w:marLeft w:val="0"/>
                  <w:marRight w:val="0"/>
                  <w:marTop w:val="0"/>
                  <w:marBottom w:val="0"/>
                  <w:divBdr>
                    <w:top w:val="none" w:sz="0" w:space="0" w:color="auto"/>
                    <w:left w:val="none" w:sz="0" w:space="0" w:color="auto"/>
                    <w:bottom w:val="none" w:sz="0" w:space="0" w:color="auto"/>
                    <w:right w:val="none" w:sz="0" w:space="0" w:color="auto"/>
                  </w:divBdr>
                  <w:divsChild>
                    <w:div w:id="1088697726">
                      <w:marLeft w:val="0"/>
                      <w:marRight w:val="0"/>
                      <w:marTop w:val="0"/>
                      <w:marBottom w:val="0"/>
                      <w:divBdr>
                        <w:top w:val="none" w:sz="0" w:space="0" w:color="auto"/>
                        <w:left w:val="none" w:sz="0" w:space="0" w:color="auto"/>
                        <w:bottom w:val="none" w:sz="0" w:space="0" w:color="auto"/>
                        <w:right w:val="none" w:sz="0" w:space="0" w:color="auto"/>
                      </w:divBdr>
                      <w:divsChild>
                        <w:div w:id="1220092708">
                          <w:marLeft w:val="0"/>
                          <w:marRight w:val="0"/>
                          <w:marTop w:val="0"/>
                          <w:marBottom w:val="0"/>
                          <w:divBdr>
                            <w:top w:val="none" w:sz="0" w:space="0" w:color="auto"/>
                            <w:left w:val="none" w:sz="0" w:space="0" w:color="auto"/>
                            <w:bottom w:val="none" w:sz="0" w:space="0" w:color="auto"/>
                            <w:right w:val="none" w:sz="0" w:space="0" w:color="auto"/>
                          </w:divBdr>
                          <w:divsChild>
                            <w:div w:id="1814515793">
                              <w:marLeft w:val="0"/>
                              <w:marRight w:val="0"/>
                              <w:marTop w:val="0"/>
                              <w:marBottom w:val="0"/>
                              <w:divBdr>
                                <w:top w:val="none" w:sz="0" w:space="0" w:color="auto"/>
                                <w:left w:val="none" w:sz="0" w:space="0" w:color="auto"/>
                                <w:bottom w:val="none" w:sz="0" w:space="0" w:color="auto"/>
                                <w:right w:val="none" w:sz="0" w:space="0" w:color="auto"/>
                              </w:divBdr>
                              <w:divsChild>
                                <w:div w:id="329599144">
                                  <w:marLeft w:val="0"/>
                                  <w:marRight w:val="0"/>
                                  <w:marTop w:val="0"/>
                                  <w:marBottom w:val="0"/>
                                  <w:divBdr>
                                    <w:top w:val="none" w:sz="0" w:space="0" w:color="auto"/>
                                    <w:left w:val="none" w:sz="0" w:space="0" w:color="auto"/>
                                    <w:bottom w:val="none" w:sz="0" w:space="0" w:color="auto"/>
                                    <w:right w:val="none" w:sz="0" w:space="0" w:color="auto"/>
                                  </w:divBdr>
                                  <w:divsChild>
                                    <w:div w:id="1519198164">
                                      <w:marLeft w:val="0"/>
                                      <w:marRight w:val="0"/>
                                      <w:marTop w:val="0"/>
                                      <w:marBottom w:val="0"/>
                                      <w:divBdr>
                                        <w:top w:val="single" w:sz="6" w:space="0" w:color="F5F5F5"/>
                                        <w:left w:val="single" w:sz="6" w:space="0" w:color="F5F5F5"/>
                                        <w:bottom w:val="single" w:sz="6" w:space="0" w:color="F5F5F5"/>
                                        <w:right w:val="single" w:sz="6" w:space="0" w:color="F5F5F5"/>
                                      </w:divBdr>
                                      <w:divsChild>
                                        <w:div w:id="200899111">
                                          <w:marLeft w:val="0"/>
                                          <w:marRight w:val="0"/>
                                          <w:marTop w:val="0"/>
                                          <w:marBottom w:val="0"/>
                                          <w:divBdr>
                                            <w:top w:val="none" w:sz="0" w:space="0" w:color="auto"/>
                                            <w:left w:val="none" w:sz="0" w:space="0" w:color="auto"/>
                                            <w:bottom w:val="none" w:sz="0" w:space="0" w:color="auto"/>
                                            <w:right w:val="none" w:sz="0" w:space="0" w:color="auto"/>
                                          </w:divBdr>
                                          <w:divsChild>
                                            <w:div w:id="7416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331059">
      <w:bodyDiv w:val="1"/>
      <w:marLeft w:val="0"/>
      <w:marRight w:val="0"/>
      <w:marTop w:val="0"/>
      <w:marBottom w:val="0"/>
      <w:divBdr>
        <w:top w:val="none" w:sz="0" w:space="0" w:color="auto"/>
        <w:left w:val="none" w:sz="0" w:space="0" w:color="auto"/>
        <w:bottom w:val="none" w:sz="0" w:space="0" w:color="auto"/>
        <w:right w:val="none" w:sz="0" w:space="0" w:color="auto"/>
      </w:divBdr>
    </w:div>
    <w:div w:id="1289123217">
      <w:bodyDiv w:val="1"/>
      <w:marLeft w:val="0"/>
      <w:marRight w:val="0"/>
      <w:marTop w:val="0"/>
      <w:marBottom w:val="0"/>
      <w:divBdr>
        <w:top w:val="none" w:sz="0" w:space="0" w:color="auto"/>
        <w:left w:val="none" w:sz="0" w:space="0" w:color="auto"/>
        <w:bottom w:val="none" w:sz="0" w:space="0" w:color="auto"/>
        <w:right w:val="none" w:sz="0" w:space="0" w:color="auto"/>
      </w:divBdr>
      <w:divsChild>
        <w:div w:id="1443960071">
          <w:marLeft w:val="0"/>
          <w:marRight w:val="0"/>
          <w:marTop w:val="0"/>
          <w:marBottom w:val="0"/>
          <w:divBdr>
            <w:top w:val="none" w:sz="0" w:space="0" w:color="auto"/>
            <w:left w:val="none" w:sz="0" w:space="0" w:color="auto"/>
            <w:bottom w:val="none" w:sz="0" w:space="0" w:color="auto"/>
            <w:right w:val="none" w:sz="0" w:space="0" w:color="auto"/>
          </w:divBdr>
          <w:divsChild>
            <w:div w:id="260601162">
              <w:marLeft w:val="0"/>
              <w:marRight w:val="0"/>
              <w:marTop w:val="0"/>
              <w:marBottom w:val="0"/>
              <w:divBdr>
                <w:top w:val="none" w:sz="0" w:space="0" w:color="auto"/>
                <w:left w:val="none" w:sz="0" w:space="0" w:color="auto"/>
                <w:bottom w:val="none" w:sz="0" w:space="0" w:color="auto"/>
                <w:right w:val="none" w:sz="0" w:space="0" w:color="auto"/>
              </w:divBdr>
              <w:divsChild>
                <w:div w:id="5606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8025">
      <w:bodyDiv w:val="1"/>
      <w:marLeft w:val="0"/>
      <w:marRight w:val="0"/>
      <w:marTop w:val="0"/>
      <w:marBottom w:val="0"/>
      <w:divBdr>
        <w:top w:val="none" w:sz="0" w:space="0" w:color="auto"/>
        <w:left w:val="none" w:sz="0" w:space="0" w:color="auto"/>
        <w:bottom w:val="none" w:sz="0" w:space="0" w:color="auto"/>
        <w:right w:val="none" w:sz="0" w:space="0" w:color="auto"/>
      </w:divBdr>
    </w:div>
    <w:div w:id="1490949367">
      <w:bodyDiv w:val="1"/>
      <w:marLeft w:val="0"/>
      <w:marRight w:val="0"/>
      <w:marTop w:val="0"/>
      <w:marBottom w:val="0"/>
      <w:divBdr>
        <w:top w:val="none" w:sz="0" w:space="0" w:color="auto"/>
        <w:left w:val="none" w:sz="0" w:space="0" w:color="auto"/>
        <w:bottom w:val="none" w:sz="0" w:space="0" w:color="auto"/>
        <w:right w:val="none" w:sz="0" w:space="0" w:color="auto"/>
      </w:divBdr>
    </w:div>
    <w:div w:id="1523934420">
      <w:bodyDiv w:val="1"/>
      <w:marLeft w:val="0"/>
      <w:marRight w:val="0"/>
      <w:marTop w:val="0"/>
      <w:marBottom w:val="0"/>
      <w:divBdr>
        <w:top w:val="none" w:sz="0" w:space="0" w:color="auto"/>
        <w:left w:val="none" w:sz="0" w:space="0" w:color="auto"/>
        <w:bottom w:val="none" w:sz="0" w:space="0" w:color="auto"/>
        <w:right w:val="none" w:sz="0" w:space="0" w:color="auto"/>
      </w:divBdr>
    </w:div>
    <w:div w:id="1638728246">
      <w:bodyDiv w:val="1"/>
      <w:marLeft w:val="0"/>
      <w:marRight w:val="0"/>
      <w:marTop w:val="0"/>
      <w:marBottom w:val="0"/>
      <w:divBdr>
        <w:top w:val="none" w:sz="0" w:space="0" w:color="auto"/>
        <w:left w:val="none" w:sz="0" w:space="0" w:color="auto"/>
        <w:bottom w:val="none" w:sz="0" w:space="0" w:color="auto"/>
        <w:right w:val="none" w:sz="0" w:space="0" w:color="auto"/>
      </w:divBdr>
    </w:div>
    <w:div w:id="1721125934">
      <w:bodyDiv w:val="1"/>
      <w:marLeft w:val="0"/>
      <w:marRight w:val="0"/>
      <w:marTop w:val="0"/>
      <w:marBottom w:val="0"/>
      <w:divBdr>
        <w:top w:val="none" w:sz="0" w:space="0" w:color="auto"/>
        <w:left w:val="none" w:sz="0" w:space="0" w:color="auto"/>
        <w:bottom w:val="none" w:sz="0" w:space="0" w:color="auto"/>
        <w:right w:val="none" w:sz="0" w:space="0" w:color="auto"/>
      </w:divBdr>
    </w:div>
    <w:div w:id="1742171699">
      <w:bodyDiv w:val="1"/>
      <w:marLeft w:val="0"/>
      <w:marRight w:val="0"/>
      <w:marTop w:val="0"/>
      <w:marBottom w:val="0"/>
      <w:divBdr>
        <w:top w:val="none" w:sz="0" w:space="0" w:color="auto"/>
        <w:left w:val="none" w:sz="0" w:space="0" w:color="auto"/>
        <w:bottom w:val="none" w:sz="0" w:space="0" w:color="auto"/>
        <w:right w:val="none" w:sz="0" w:space="0" w:color="auto"/>
      </w:divBdr>
    </w:div>
    <w:div w:id="1852377351">
      <w:bodyDiv w:val="1"/>
      <w:marLeft w:val="0"/>
      <w:marRight w:val="0"/>
      <w:marTop w:val="0"/>
      <w:marBottom w:val="0"/>
      <w:divBdr>
        <w:top w:val="none" w:sz="0" w:space="0" w:color="auto"/>
        <w:left w:val="none" w:sz="0" w:space="0" w:color="auto"/>
        <w:bottom w:val="none" w:sz="0" w:space="0" w:color="auto"/>
        <w:right w:val="none" w:sz="0" w:space="0" w:color="auto"/>
      </w:divBdr>
    </w:div>
    <w:div w:id="1898130286">
      <w:bodyDiv w:val="1"/>
      <w:marLeft w:val="0"/>
      <w:marRight w:val="0"/>
      <w:marTop w:val="0"/>
      <w:marBottom w:val="0"/>
      <w:divBdr>
        <w:top w:val="none" w:sz="0" w:space="0" w:color="auto"/>
        <w:left w:val="none" w:sz="0" w:space="0" w:color="auto"/>
        <w:bottom w:val="none" w:sz="0" w:space="0" w:color="auto"/>
        <w:right w:val="none" w:sz="0" w:space="0" w:color="auto"/>
      </w:divBdr>
    </w:div>
    <w:div w:id="1898590838">
      <w:bodyDiv w:val="1"/>
      <w:marLeft w:val="0"/>
      <w:marRight w:val="0"/>
      <w:marTop w:val="0"/>
      <w:marBottom w:val="0"/>
      <w:divBdr>
        <w:top w:val="none" w:sz="0" w:space="0" w:color="auto"/>
        <w:left w:val="none" w:sz="0" w:space="0" w:color="auto"/>
        <w:bottom w:val="none" w:sz="0" w:space="0" w:color="auto"/>
        <w:right w:val="none" w:sz="0" w:space="0" w:color="auto"/>
      </w:divBdr>
      <w:divsChild>
        <w:div w:id="262884931">
          <w:marLeft w:val="0"/>
          <w:marRight w:val="0"/>
          <w:marTop w:val="0"/>
          <w:marBottom w:val="0"/>
          <w:divBdr>
            <w:top w:val="none" w:sz="0" w:space="0" w:color="auto"/>
            <w:left w:val="none" w:sz="0" w:space="0" w:color="auto"/>
            <w:bottom w:val="none" w:sz="0" w:space="0" w:color="auto"/>
            <w:right w:val="none" w:sz="0" w:space="0" w:color="auto"/>
          </w:divBdr>
          <w:divsChild>
            <w:div w:id="361442848">
              <w:marLeft w:val="0"/>
              <w:marRight w:val="0"/>
              <w:marTop w:val="0"/>
              <w:marBottom w:val="0"/>
              <w:divBdr>
                <w:top w:val="none" w:sz="0" w:space="0" w:color="auto"/>
                <w:left w:val="none" w:sz="0" w:space="0" w:color="auto"/>
                <w:bottom w:val="none" w:sz="0" w:space="0" w:color="auto"/>
                <w:right w:val="none" w:sz="0" w:space="0" w:color="auto"/>
              </w:divBdr>
              <w:divsChild>
                <w:div w:id="2120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21857">
      <w:bodyDiv w:val="1"/>
      <w:marLeft w:val="0"/>
      <w:marRight w:val="0"/>
      <w:marTop w:val="0"/>
      <w:marBottom w:val="0"/>
      <w:divBdr>
        <w:top w:val="none" w:sz="0" w:space="0" w:color="auto"/>
        <w:left w:val="none" w:sz="0" w:space="0" w:color="auto"/>
        <w:bottom w:val="none" w:sz="0" w:space="0" w:color="auto"/>
        <w:right w:val="none" w:sz="0" w:space="0" w:color="auto"/>
      </w:divBdr>
    </w:div>
    <w:div w:id="2039113295">
      <w:bodyDiv w:val="1"/>
      <w:marLeft w:val="0"/>
      <w:marRight w:val="0"/>
      <w:marTop w:val="0"/>
      <w:marBottom w:val="0"/>
      <w:divBdr>
        <w:top w:val="none" w:sz="0" w:space="0" w:color="auto"/>
        <w:left w:val="none" w:sz="0" w:space="0" w:color="auto"/>
        <w:bottom w:val="none" w:sz="0" w:space="0" w:color="auto"/>
        <w:right w:val="none" w:sz="0" w:space="0" w:color="auto"/>
      </w:divBdr>
    </w:div>
    <w:div w:id="2042047403">
      <w:bodyDiv w:val="1"/>
      <w:marLeft w:val="0"/>
      <w:marRight w:val="0"/>
      <w:marTop w:val="0"/>
      <w:marBottom w:val="0"/>
      <w:divBdr>
        <w:top w:val="none" w:sz="0" w:space="0" w:color="auto"/>
        <w:left w:val="none" w:sz="0" w:space="0" w:color="auto"/>
        <w:bottom w:val="none" w:sz="0" w:space="0" w:color="auto"/>
        <w:right w:val="none" w:sz="0" w:space="0" w:color="auto"/>
      </w:divBdr>
      <w:divsChild>
        <w:div w:id="304166383">
          <w:marLeft w:val="0"/>
          <w:marRight w:val="0"/>
          <w:marTop w:val="0"/>
          <w:marBottom w:val="300"/>
          <w:divBdr>
            <w:top w:val="none" w:sz="0" w:space="0" w:color="auto"/>
            <w:left w:val="none" w:sz="0" w:space="0" w:color="auto"/>
            <w:bottom w:val="none" w:sz="0" w:space="0" w:color="auto"/>
            <w:right w:val="none" w:sz="0" w:space="0" w:color="auto"/>
          </w:divBdr>
          <w:divsChild>
            <w:div w:id="1126922979">
              <w:marLeft w:val="0"/>
              <w:marRight w:val="0"/>
              <w:marTop w:val="0"/>
              <w:marBottom w:val="0"/>
              <w:divBdr>
                <w:top w:val="none" w:sz="0" w:space="0" w:color="auto"/>
                <w:left w:val="none" w:sz="0" w:space="0" w:color="auto"/>
                <w:bottom w:val="none" w:sz="0" w:space="0" w:color="auto"/>
                <w:right w:val="none" w:sz="0" w:space="0" w:color="auto"/>
              </w:divBdr>
            </w:div>
          </w:divsChild>
        </w:div>
        <w:div w:id="601183140">
          <w:marLeft w:val="0"/>
          <w:marRight w:val="0"/>
          <w:marTop w:val="0"/>
          <w:marBottom w:val="300"/>
          <w:divBdr>
            <w:top w:val="none" w:sz="0" w:space="0" w:color="auto"/>
            <w:left w:val="none" w:sz="0" w:space="0" w:color="auto"/>
            <w:bottom w:val="none" w:sz="0" w:space="0" w:color="auto"/>
            <w:right w:val="none" w:sz="0" w:space="0" w:color="auto"/>
          </w:divBdr>
          <w:divsChild>
            <w:div w:id="600339932">
              <w:marLeft w:val="0"/>
              <w:marRight w:val="0"/>
              <w:marTop w:val="0"/>
              <w:marBottom w:val="0"/>
              <w:divBdr>
                <w:top w:val="none" w:sz="0" w:space="0" w:color="auto"/>
                <w:left w:val="none" w:sz="0" w:space="0" w:color="auto"/>
                <w:bottom w:val="none" w:sz="0" w:space="0" w:color="auto"/>
                <w:right w:val="none" w:sz="0" w:space="0" w:color="auto"/>
              </w:divBdr>
            </w:div>
          </w:divsChild>
        </w:div>
        <w:div w:id="1844969961">
          <w:marLeft w:val="0"/>
          <w:marRight w:val="0"/>
          <w:marTop w:val="0"/>
          <w:marBottom w:val="300"/>
          <w:divBdr>
            <w:top w:val="none" w:sz="0" w:space="0" w:color="auto"/>
            <w:left w:val="none" w:sz="0" w:space="0" w:color="auto"/>
            <w:bottom w:val="none" w:sz="0" w:space="0" w:color="auto"/>
            <w:right w:val="none" w:sz="0" w:space="0" w:color="auto"/>
          </w:divBdr>
          <w:divsChild>
            <w:div w:id="1724598236">
              <w:marLeft w:val="0"/>
              <w:marRight w:val="0"/>
              <w:marTop w:val="0"/>
              <w:marBottom w:val="0"/>
              <w:divBdr>
                <w:top w:val="none" w:sz="0" w:space="0" w:color="auto"/>
                <w:left w:val="none" w:sz="0" w:space="0" w:color="auto"/>
                <w:bottom w:val="none" w:sz="0" w:space="0" w:color="auto"/>
                <w:right w:val="none" w:sz="0" w:space="0" w:color="auto"/>
              </w:divBdr>
            </w:div>
          </w:divsChild>
        </w:div>
        <w:div w:id="800072816">
          <w:marLeft w:val="0"/>
          <w:marRight w:val="0"/>
          <w:marTop w:val="0"/>
          <w:marBottom w:val="300"/>
          <w:divBdr>
            <w:top w:val="none" w:sz="0" w:space="0" w:color="auto"/>
            <w:left w:val="none" w:sz="0" w:space="0" w:color="auto"/>
            <w:bottom w:val="none" w:sz="0" w:space="0" w:color="auto"/>
            <w:right w:val="none" w:sz="0" w:space="0" w:color="auto"/>
          </w:divBdr>
          <w:divsChild>
            <w:div w:id="16093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2848">
      <w:bodyDiv w:val="1"/>
      <w:marLeft w:val="0"/>
      <w:marRight w:val="0"/>
      <w:marTop w:val="0"/>
      <w:marBottom w:val="0"/>
      <w:divBdr>
        <w:top w:val="none" w:sz="0" w:space="0" w:color="auto"/>
        <w:left w:val="none" w:sz="0" w:space="0" w:color="auto"/>
        <w:bottom w:val="none" w:sz="0" w:space="0" w:color="auto"/>
        <w:right w:val="none" w:sz="0" w:space="0" w:color="auto"/>
      </w:divBdr>
      <w:divsChild>
        <w:div w:id="9113837">
          <w:marLeft w:val="0"/>
          <w:marRight w:val="0"/>
          <w:marTop w:val="0"/>
          <w:marBottom w:val="0"/>
          <w:divBdr>
            <w:top w:val="none" w:sz="0" w:space="0" w:color="auto"/>
            <w:left w:val="none" w:sz="0" w:space="0" w:color="auto"/>
            <w:bottom w:val="none" w:sz="0" w:space="0" w:color="auto"/>
            <w:right w:val="none" w:sz="0" w:space="0" w:color="auto"/>
          </w:divBdr>
          <w:divsChild>
            <w:div w:id="1205563627">
              <w:marLeft w:val="0"/>
              <w:marRight w:val="0"/>
              <w:marTop w:val="0"/>
              <w:marBottom w:val="0"/>
              <w:divBdr>
                <w:top w:val="none" w:sz="0" w:space="0" w:color="auto"/>
                <w:left w:val="none" w:sz="0" w:space="0" w:color="auto"/>
                <w:bottom w:val="none" w:sz="0" w:space="0" w:color="auto"/>
                <w:right w:val="none" w:sz="0" w:space="0" w:color="auto"/>
              </w:divBdr>
              <w:divsChild>
                <w:div w:id="636179517">
                  <w:marLeft w:val="0"/>
                  <w:marRight w:val="0"/>
                  <w:marTop w:val="0"/>
                  <w:marBottom w:val="0"/>
                  <w:divBdr>
                    <w:top w:val="single" w:sz="6" w:space="0" w:color="C0C0C0"/>
                    <w:left w:val="single" w:sz="6" w:space="0" w:color="D9D9D9"/>
                    <w:bottom w:val="single" w:sz="6" w:space="0" w:color="D9D9D9"/>
                    <w:right w:val="single" w:sz="6" w:space="0" w:color="D9D9D9"/>
                  </w:divBdr>
                  <w:divsChild>
                    <w:div w:id="2056812442">
                      <w:marLeft w:val="0"/>
                      <w:marRight w:val="0"/>
                      <w:marTop w:val="0"/>
                      <w:marBottom w:val="0"/>
                      <w:divBdr>
                        <w:top w:val="none" w:sz="0" w:space="0" w:color="auto"/>
                        <w:left w:val="none" w:sz="0" w:space="0" w:color="auto"/>
                        <w:bottom w:val="none" w:sz="0" w:space="0" w:color="auto"/>
                        <w:right w:val="none" w:sz="0" w:space="0" w:color="auto"/>
                      </w:divBdr>
                    </w:div>
                    <w:div w:id="1428698310">
                      <w:marLeft w:val="0"/>
                      <w:marRight w:val="0"/>
                      <w:marTop w:val="0"/>
                      <w:marBottom w:val="0"/>
                      <w:divBdr>
                        <w:top w:val="none" w:sz="0" w:space="0" w:color="auto"/>
                        <w:left w:val="none" w:sz="0" w:space="0" w:color="auto"/>
                        <w:bottom w:val="none" w:sz="0" w:space="0" w:color="auto"/>
                        <w:right w:val="none" w:sz="0" w:space="0" w:color="auto"/>
                      </w:divBdr>
                      <w:divsChild>
                        <w:div w:id="2222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87792">
          <w:marLeft w:val="0"/>
          <w:marRight w:val="0"/>
          <w:marTop w:val="0"/>
          <w:marBottom w:val="0"/>
          <w:divBdr>
            <w:top w:val="none" w:sz="0" w:space="0" w:color="auto"/>
            <w:left w:val="none" w:sz="0" w:space="0" w:color="auto"/>
            <w:bottom w:val="none" w:sz="0" w:space="0" w:color="auto"/>
            <w:right w:val="none" w:sz="0" w:space="0" w:color="auto"/>
          </w:divBdr>
          <w:divsChild>
            <w:div w:id="161436552">
              <w:marLeft w:val="0"/>
              <w:marRight w:val="0"/>
              <w:marTop w:val="0"/>
              <w:marBottom w:val="0"/>
              <w:divBdr>
                <w:top w:val="none" w:sz="0" w:space="0" w:color="auto"/>
                <w:left w:val="none" w:sz="0" w:space="0" w:color="auto"/>
                <w:bottom w:val="none" w:sz="0" w:space="0" w:color="auto"/>
                <w:right w:val="none" w:sz="0" w:space="0" w:color="auto"/>
              </w:divBdr>
              <w:divsChild>
                <w:div w:id="2012484960">
                  <w:marLeft w:val="0"/>
                  <w:marRight w:val="0"/>
                  <w:marTop w:val="0"/>
                  <w:marBottom w:val="0"/>
                  <w:divBdr>
                    <w:top w:val="none" w:sz="0" w:space="0" w:color="auto"/>
                    <w:left w:val="none" w:sz="0" w:space="0" w:color="auto"/>
                    <w:bottom w:val="none" w:sz="0" w:space="0" w:color="auto"/>
                    <w:right w:val="none" w:sz="0" w:space="0" w:color="auto"/>
                  </w:divBdr>
                  <w:divsChild>
                    <w:div w:id="1238249365">
                      <w:marLeft w:val="0"/>
                      <w:marRight w:val="0"/>
                      <w:marTop w:val="0"/>
                      <w:marBottom w:val="45"/>
                      <w:divBdr>
                        <w:top w:val="none" w:sz="0" w:space="0" w:color="auto"/>
                        <w:left w:val="none" w:sz="0" w:space="0" w:color="auto"/>
                        <w:bottom w:val="none" w:sz="0" w:space="0" w:color="auto"/>
                        <w:right w:val="none" w:sz="0" w:space="0" w:color="auto"/>
                      </w:divBdr>
                      <w:divsChild>
                        <w:div w:id="415323773">
                          <w:marLeft w:val="0"/>
                          <w:marRight w:val="0"/>
                          <w:marTop w:val="0"/>
                          <w:marBottom w:val="0"/>
                          <w:divBdr>
                            <w:top w:val="single" w:sz="6" w:space="0" w:color="CCCCCC"/>
                            <w:left w:val="single" w:sz="6" w:space="4" w:color="CCCCCC"/>
                            <w:bottom w:val="single" w:sz="6" w:space="0" w:color="CCCCCC"/>
                            <w:right w:val="single" w:sz="6" w:space="4" w:color="CCCCCC"/>
                          </w:divBdr>
                          <w:divsChild>
                            <w:div w:id="1553300606">
                              <w:marLeft w:val="0"/>
                              <w:marRight w:val="0"/>
                              <w:marTop w:val="0"/>
                              <w:marBottom w:val="0"/>
                              <w:divBdr>
                                <w:top w:val="none" w:sz="0" w:space="0" w:color="auto"/>
                                <w:left w:val="none" w:sz="0" w:space="0" w:color="auto"/>
                                <w:bottom w:val="none" w:sz="0" w:space="0" w:color="auto"/>
                                <w:right w:val="none" w:sz="0" w:space="0" w:color="auto"/>
                              </w:divBdr>
                              <w:divsChild>
                                <w:div w:id="13433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423">
                          <w:marLeft w:val="0"/>
                          <w:marRight w:val="0"/>
                          <w:marTop w:val="0"/>
                          <w:marBottom w:val="0"/>
                          <w:divBdr>
                            <w:top w:val="none" w:sz="0" w:space="0" w:color="auto"/>
                            <w:left w:val="none" w:sz="0" w:space="0" w:color="auto"/>
                            <w:bottom w:val="none" w:sz="0" w:space="0" w:color="auto"/>
                            <w:right w:val="none" w:sz="0" w:space="0" w:color="auto"/>
                          </w:divBdr>
                          <w:divsChild>
                            <w:div w:id="1907909331">
                              <w:marLeft w:val="0"/>
                              <w:marRight w:val="0"/>
                              <w:marTop w:val="0"/>
                              <w:marBottom w:val="0"/>
                              <w:divBdr>
                                <w:top w:val="none" w:sz="0" w:space="0" w:color="auto"/>
                                <w:left w:val="none" w:sz="0" w:space="0" w:color="auto"/>
                                <w:bottom w:val="none" w:sz="0" w:space="0" w:color="auto"/>
                                <w:right w:val="none" w:sz="0" w:space="0" w:color="auto"/>
                              </w:divBdr>
                              <w:divsChild>
                                <w:div w:id="716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6460">
                          <w:marLeft w:val="0"/>
                          <w:marRight w:val="0"/>
                          <w:marTop w:val="0"/>
                          <w:marBottom w:val="0"/>
                          <w:divBdr>
                            <w:top w:val="none" w:sz="0" w:space="0" w:color="auto"/>
                            <w:left w:val="none" w:sz="0" w:space="0" w:color="auto"/>
                            <w:bottom w:val="none" w:sz="0" w:space="0" w:color="auto"/>
                            <w:right w:val="none" w:sz="0" w:space="0" w:color="auto"/>
                          </w:divBdr>
                          <w:divsChild>
                            <w:div w:id="864681996">
                              <w:marLeft w:val="0"/>
                              <w:marRight w:val="0"/>
                              <w:marTop w:val="0"/>
                              <w:marBottom w:val="0"/>
                              <w:divBdr>
                                <w:top w:val="none" w:sz="0" w:space="0" w:color="auto"/>
                                <w:left w:val="none" w:sz="0" w:space="0" w:color="auto"/>
                                <w:bottom w:val="none" w:sz="0" w:space="0" w:color="auto"/>
                                <w:right w:val="none" w:sz="0" w:space="0" w:color="auto"/>
                              </w:divBdr>
                              <w:divsChild>
                                <w:div w:id="14039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06440">
                      <w:marLeft w:val="0"/>
                      <w:marRight w:val="0"/>
                      <w:marTop w:val="0"/>
                      <w:marBottom w:val="0"/>
                      <w:divBdr>
                        <w:top w:val="single" w:sz="6" w:space="0" w:color="F5F5F5"/>
                        <w:left w:val="single" w:sz="6" w:space="0" w:color="F5F5F5"/>
                        <w:bottom w:val="single" w:sz="6" w:space="0" w:color="F5F5F5"/>
                        <w:right w:val="single" w:sz="6" w:space="0" w:color="F5F5F5"/>
                      </w:divBdr>
                      <w:divsChild>
                        <w:div w:id="1279796360">
                          <w:marLeft w:val="0"/>
                          <w:marRight w:val="0"/>
                          <w:marTop w:val="0"/>
                          <w:marBottom w:val="0"/>
                          <w:divBdr>
                            <w:top w:val="none" w:sz="0" w:space="0" w:color="auto"/>
                            <w:left w:val="none" w:sz="0" w:space="0" w:color="auto"/>
                            <w:bottom w:val="none" w:sz="0" w:space="0" w:color="auto"/>
                            <w:right w:val="none" w:sz="0" w:space="0" w:color="auto"/>
                          </w:divBdr>
                          <w:divsChild>
                            <w:div w:id="19629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6999278002871079"/>
          <c:y val="8.2129655840850205E-2"/>
          <c:w val="0.7810775594798226"/>
          <c:h val="0.68281219602264698"/>
        </c:manualLayout>
      </c:layout>
      <c:barChart>
        <c:barDir val="col"/>
        <c:grouping val="clustered"/>
        <c:ser>
          <c:idx val="0"/>
          <c:order val="0"/>
          <c:tx>
            <c:strRef>
              <c:f>Sheet1!$B$1</c:f>
              <c:strCache>
                <c:ptCount val="1"/>
                <c:pt idx="0">
                  <c:v>West Bank</c:v>
                </c:pt>
              </c:strCache>
            </c:strRef>
          </c:tx>
          <c:dLbls>
            <c:dLbl>
              <c:idx val="2"/>
              <c:layout>
                <c:manualLayout>
                  <c:x val="-3.4519956850054018E-2"/>
                  <c:y val="0"/>
                </c:manualLayout>
              </c:layout>
              <c:showVal val="1"/>
            </c:dLbl>
            <c:txPr>
              <a:bodyPr/>
              <a:lstStyle/>
              <a:p>
                <a:pPr>
                  <a:defRPr sz="900"/>
                </a:pPr>
                <a:endParaRPr lang="ar-SA"/>
              </a:p>
            </c:txPr>
            <c:showVal val="1"/>
          </c:dLbls>
          <c:cat>
            <c:strRef>
              <c:f>Sheet1!$A$2:$A$5</c:f>
              <c:strCache>
                <c:ptCount val="4"/>
                <c:pt idx="0">
                  <c:v>Noise</c:v>
                </c:pt>
                <c:pt idx="1">
                  <c:v>Smells</c:v>
                </c:pt>
                <c:pt idx="2">
                  <c:v>Dust</c:v>
                </c:pt>
                <c:pt idx="3">
                  <c:v>Smoke</c:v>
                </c:pt>
              </c:strCache>
            </c:strRef>
          </c:cat>
          <c:val>
            <c:numRef>
              <c:f>Sheet1!$B$2:$B$5</c:f>
              <c:numCache>
                <c:formatCode>General</c:formatCode>
                <c:ptCount val="4"/>
                <c:pt idx="0">
                  <c:v>25.1</c:v>
                </c:pt>
                <c:pt idx="1">
                  <c:v>17.5</c:v>
                </c:pt>
                <c:pt idx="2">
                  <c:v>12.7</c:v>
                </c:pt>
                <c:pt idx="3">
                  <c:v>8.3000000000000007</c:v>
                </c:pt>
              </c:numCache>
            </c:numRef>
          </c:val>
        </c:ser>
        <c:ser>
          <c:idx val="1"/>
          <c:order val="1"/>
          <c:tx>
            <c:strRef>
              <c:f>Sheet1!$C$1</c:f>
              <c:strCache>
                <c:ptCount val="1"/>
                <c:pt idx="0">
                  <c:v>Gaza Strip</c:v>
                </c:pt>
              </c:strCache>
            </c:strRef>
          </c:t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dLbls>
            <c:dLbl>
              <c:idx val="3"/>
              <c:layout>
                <c:manualLayout>
                  <c:x val="3.883495145631094E-2"/>
                  <c:y val="7.3973888964610915E-3"/>
                </c:manualLayout>
              </c:layout>
              <c:showVal val="1"/>
            </c:dLbl>
            <c:numFmt formatCode="#,##0.0" sourceLinked="0"/>
            <c:txPr>
              <a:bodyPr/>
              <a:lstStyle/>
              <a:p>
                <a:pPr>
                  <a:defRPr sz="900"/>
                </a:pPr>
                <a:endParaRPr lang="ar-SA"/>
              </a:p>
            </c:txPr>
            <c:showVal val="1"/>
          </c:dLbls>
          <c:cat>
            <c:strRef>
              <c:f>Sheet1!$A$2:$A$5</c:f>
              <c:strCache>
                <c:ptCount val="4"/>
                <c:pt idx="0">
                  <c:v>Noise</c:v>
                </c:pt>
                <c:pt idx="1">
                  <c:v>Smells</c:v>
                </c:pt>
                <c:pt idx="2">
                  <c:v>Dust</c:v>
                </c:pt>
                <c:pt idx="3">
                  <c:v>Smoke</c:v>
                </c:pt>
              </c:strCache>
            </c:strRef>
          </c:cat>
          <c:val>
            <c:numRef>
              <c:f>Sheet1!$C$2:$C$5</c:f>
              <c:numCache>
                <c:formatCode>General</c:formatCode>
                <c:ptCount val="4"/>
                <c:pt idx="0">
                  <c:v>34.9</c:v>
                </c:pt>
                <c:pt idx="1">
                  <c:v>25.6</c:v>
                </c:pt>
                <c:pt idx="2">
                  <c:v>15</c:v>
                </c:pt>
                <c:pt idx="3">
                  <c:v>8.4</c:v>
                </c:pt>
              </c:numCache>
            </c:numRef>
          </c:val>
        </c:ser>
        <c:axId val="49817856"/>
        <c:axId val="50520448"/>
      </c:barChart>
      <c:catAx>
        <c:axId val="49817856"/>
        <c:scaling>
          <c:orientation val="minMax"/>
        </c:scaling>
        <c:axPos val="b"/>
        <c:title>
          <c:tx>
            <c:rich>
              <a:bodyPr/>
              <a:lstStyle/>
              <a:p>
                <a:pPr>
                  <a:defRPr/>
                </a:pPr>
                <a:r>
                  <a:rPr lang="en-US" b="0"/>
                  <a:t>Effects</a:t>
                </a:r>
              </a:p>
            </c:rich>
          </c:tx>
        </c:title>
        <c:tickLblPos val="nextTo"/>
        <c:txPr>
          <a:bodyPr/>
          <a:lstStyle/>
          <a:p>
            <a:pPr>
              <a:defRPr sz="900"/>
            </a:pPr>
            <a:endParaRPr lang="ar-SA"/>
          </a:p>
        </c:txPr>
        <c:crossAx val="50520448"/>
        <c:crosses val="autoZero"/>
        <c:auto val="1"/>
        <c:lblAlgn val="ctr"/>
        <c:lblOffset val="100"/>
      </c:catAx>
      <c:valAx>
        <c:axId val="50520448"/>
        <c:scaling>
          <c:orientation val="minMax"/>
        </c:scaling>
        <c:axPos val="l"/>
        <c:title>
          <c:tx>
            <c:rich>
              <a:bodyPr rot="-5400000" vert="horz"/>
              <a:lstStyle/>
              <a:p>
                <a:pPr>
                  <a:defRPr sz="900" b="0">
                    <a:latin typeface="Simplified Arabic" pitchFamily="18" charset="-78"/>
                    <a:cs typeface="Simplified Arabic" pitchFamily="18" charset="-78"/>
                  </a:defRPr>
                </a:pPr>
                <a:r>
                  <a:rPr lang="ar-SA" sz="900" b="0">
                    <a:latin typeface="Simplified Arabic" pitchFamily="18" charset="-78"/>
                    <a:cs typeface="Simplified Arabic" pitchFamily="18" charset="-78"/>
                  </a:rPr>
                  <a:t>%</a:t>
                </a:r>
                <a:endParaRPr lang="en-US" sz="900" b="0">
                  <a:latin typeface="Simplified Arabic" pitchFamily="18" charset="-78"/>
                  <a:cs typeface="Simplified Arabic" pitchFamily="18" charset="-78"/>
                </a:endParaRPr>
              </a:p>
            </c:rich>
          </c:tx>
        </c:title>
        <c:numFmt formatCode="General" sourceLinked="1"/>
        <c:tickLblPos val="nextTo"/>
        <c:crossAx val="49817856"/>
        <c:crosses val="autoZero"/>
        <c:crossBetween val="between"/>
      </c:valAx>
    </c:plotArea>
    <c:legend>
      <c:legendPos val="r"/>
      <c:layout>
        <c:manualLayout>
          <c:xMode val="edge"/>
          <c:yMode val="edge"/>
          <c:x val="0.43327098675772646"/>
          <c:y val="3.3351156963272836E-2"/>
          <c:w val="0.56241401863602003"/>
          <c:h val="0.20835357422027437"/>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8887705583564646"/>
          <c:y val="7.7504500419123004E-2"/>
          <c:w val="0.7583651503993657"/>
          <c:h val="0.42569649997938991"/>
        </c:manualLayout>
      </c:layout>
      <c:barChart>
        <c:barDir val="col"/>
        <c:grouping val="clustered"/>
        <c:ser>
          <c:idx val="0"/>
          <c:order val="0"/>
          <c:tx>
            <c:strRef>
              <c:f>Sheet1!$B$1</c:f>
              <c:strCache>
                <c:ptCount val="1"/>
                <c:pt idx="0">
                  <c:v>Series 1</c:v>
                </c:pt>
              </c:strCache>
            </c:strRef>
          </c:tx>
          <c:dLbls>
            <c:dLbl>
              <c:idx val="0"/>
              <c:tx>
                <c:rich>
                  <a:bodyPr/>
                  <a:lstStyle/>
                  <a:p>
                    <a:pPr>
                      <a:defRPr/>
                    </a:pPr>
                    <a:r>
                      <a:rPr lang="en-US"/>
                      <a:t>1.0</a:t>
                    </a:r>
                  </a:p>
                </c:rich>
              </c:tx>
              <c:numFmt formatCode="#,##0.00" sourceLinked="0"/>
              <c:spPr/>
              <c:showVal val="1"/>
            </c:dLbl>
            <c:numFmt formatCode="#,##0.0" sourceLinked="0"/>
            <c:showVal val="1"/>
          </c:dLbls>
          <c:cat>
            <c:strRef>
              <c:f>Sheet1!$A$2:$A$8</c:f>
              <c:strCache>
                <c:ptCount val="6"/>
                <c:pt idx="0">
                  <c:v>Palestine</c:v>
                </c:pt>
                <c:pt idx="1">
                  <c:v>Egypt</c:v>
                </c:pt>
                <c:pt idx="2">
                  <c:v>Syria</c:v>
                </c:pt>
                <c:pt idx="3">
                  <c:v>Lebanon</c:v>
                </c:pt>
                <c:pt idx="4">
                  <c:v>Jordan</c:v>
                </c:pt>
                <c:pt idx="5">
                  <c:v>Israel</c:v>
                </c:pt>
              </c:strCache>
            </c:strRef>
          </c:cat>
          <c:val>
            <c:numRef>
              <c:f>Sheet1!$B$2:$B$7</c:f>
              <c:numCache>
                <c:formatCode>General</c:formatCode>
                <c:ptCount val="6"/>
                <c:pt idx="0">
                  <c:v>1</c:v>
                </c:pt>
                <c:pt idx="1">
                  <c:v>2.2000000000000002</c:v>
                </c:pt>
                <c:pt idx="2">
                  <c:v>1.6</c:v>
                </c:pt>
                <c:pt idx="3">
                  <c:v>4.3</c:v>
                </c:pt>
                <c:pt idx="4">
                  <c:v>3</c:v>
                </c:pt>
                <c:pt idx="5">
                  <c:v>7.9</c:v>
                </c:pt>
              </c:numCache>
            </c:numRef>
          </c:val>
        </c:ser>
        <c:axId val="64341504"/>
        <c:axId val="94343552"/>
      </c:barChart>
      <c:catAx>
        <c:axId val="64341504"/>
        <c:scaling>
          <c:orientation val="minMax"/>
        </c:scaling>
        <c:axPos val="b"/>
        <c:title>
          <c:tx>
            <c:rich>
              <a:bodyPr/>
              <a:lstStyle/>
              <a:p>
                <a:pPr>
                  <a:defRPr sz="900" b="0"/>
                </a:pPr>
                <a:r>
                  <a:rPr lang="en-US" sz="900" b="0"/>
                  <a:t>Country</a:t>
                </a:r>
              </a:p>
            </c:rich>
          </c:tx>
        </c:title>
        <c:tickLblPos val="nextTo"/>
        <c:txPr>
          <a:bodyPr/>
          <a:lstStyle/>
          <a:p>
            <a:pPr>
              <a:defRPr sz="900">
                <a:cs typeface="+mn-cs"/>
              </a:defRPr>
            </a:pPr>
            <a:endParaRPr lang="ar-SA"/>
          </a:p>
        </c:txPr>
        <c:crossAx val="94343552"/>
        <c:crosses val="autoZero"/>
        <c:auto val="1"/>
        <c:lblAlgn val="ctr"/>
        <c:lblOffset val="100"/>
      </c:catAx>
      <c:valAx>
        <c:axId val="94343552"/>
        <c:scaling>
          <c:orientation val="minMax"/>
        </c:scaling>
        <c:axPos val="l"/>
        <c:title>
          <c:tx>
            <c:rich>
              <a:bodyPr rot="-5400000" vert="horz"/>
              <a:lstStyle/>
              <a:p>
                <a:pPr>
                  <a:defRPr sz="900" b="0">
                    <a:cs typeface="+mn-cs"/>
                  </a:defRPr>
                </a:pPr>
                <a:r>
                  <a:rPr lang="en-US" sz="900" b="0" i="0" u="none" strike="noStrike" baseline="0">
                    <a:cs typeface="+mn-cs"/>
                  </a:rPr>
                  <a:t>Ton CO</a:t>
                </a:r>
                <a:r>
                  <a:rPr lang="en-US" sz="900" b="0" i="0" u="none" strike="noStrike" baseline="-25000">
                    <a:cs typeface="+mn-cs"/>
                  </a:rPr>
                  <a:t>2</a:t>
                </a:r>
                <a:r>
                  <a:rPr lang="en-US" sz="900" b="0" i="0" u="none" strike="noStrike" baseline="0">
                    <a:cs typeface="+mn-cs"/>
                  </a:rPr>
                  <a:t> eq.</a:t>
                </a:r>
                <a:endParaRPr lang="ar-SA" sz="900" b="0" i="0" u="none" strike="noStrike" baseline="0">
                  <a:solidFill>
                    <a:sysClr val="windowText" lastClr="000000"/>
                  </a:solidFill>
                  <a:cs typeface="+mn-cs"/>
                </a:endParaRPr>
              </a:p>
            </c:rich>
          </c:tx>
        </c:title>
        <c:numFmt formatCode="General" sourceLinked="1"/>
        <c:tickLblPos val="nextTo"/>
        <c:crossAx val="64341504"/>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5"/>
  <c:chart>
    <c:autoTitleDeleted val="1"/>
    <c:plotArea>
      <c:layout>
        <c:manualLayout>
          <c:layoutTarget val="inner"/>
          <c:xMode val="edge"/>
          <c:yMode val="edge"/>
          <c:x val="0.14166641590183393"/>
          <c:y val="7.8853046594982074E-2"/>
          <c:w val="0.81162445458649646"/>
          <c:h val="0.59140913837383235"/>
        </c:manualLayout>
      </c:layout>
      <c:lineChart>
        <c:grouping val="standard"/>
        <c:ser>
          <c:idx val="0"/>
          <c:order val="0"/>
          <c:cat>
            <c:numRef>
              <c:f>Sheet1!$B$1:$H$1</c:f>
              <c:numCache>
                <c:formatCode>General</c:formatCode>
                <c:ptCount val="7"/>
                <c:pt idx="0">
                  <c:v>2004</c:v>
                </c:pt>
                <c:pt idx="1">
                  <c:v>2007</c:v>
                </c:pt>
                <c:pt idx="2">
                  <c:v>2011</c:v>
                </c:pt>
                <c:pt idx="3">
                  <c:v>2013</c:v>
                </c:pt>
                <c:pt idx="4">
                  <c:v>2015</c:v>
                </c:pt>
                <c:pt idx="5">
                  <c:v>2016</c:v>
                </c:pt>
                <c:pt idx="6">
                  <c:v>2017</c:v>
                </c:pt>
              </c:numCache>
            </c:numRef>
          </c:cat>
          <c:val>
            <c:numRef>
              <c:f>Sheet1!$B$1:$H$1</c:f>
              <c:numCache>
                <c:formatCode>General</c:formatCode>
                <c:ptCount val="7"/>
                <c:pt idx="0">
                  <c:v>2004</c:v>
                </c:pt>
                <c:pt idx="1">
                  <c:v>2007</c:v>
                </c:pt>
                <c:pt idx="2">
                  <c:v>2011</c:v>
                </c:pt>
                <c:pt idx="3">
                  <c:v>2013</c:v>
                </c:pt>
                <c:pt idx="4">
                  <c:v>2015</c:v>
                </c:pt>
                <c:pt idx="5">
                  <c:v>2016</c:v>
                </c:pt>
                <c:pt idx="6">
                  <c:v>2017</c:v>
                </c:pt>
              </c:numCache>
            </c:numRef>
          </c:val>
        </c:ser>
        <c:ser>
          <c:idx val="1"/>
          <c:order val="1"/>
          <c:dLbls>
            <c:dLbl>
              <c:idx val="2"/>
              <c:layout>
                <c:manualLayout>
                  <c:x val="0"/>
                  <c:y val="0"/>
                </c:manualLayout>
              </c:layout>
              <c:showVal val="1"/>
            </c:dLbl>
            <c:numFmt formatCode="#,##0.0" sourceLinked="0"/>
            <c:txPr>
              <a:bodyPr/>
              <a:lstStyle/>
              <a:p>
                <a:pPr>
                  <a:defRPr sz="800"/>
                </a:pPr>
                <a:endParaRPr lang="ar-SA"/>
              </a:p>
            </c:txPr>
            <c:showVal val="1"/>
          </c:dLbls>
          <c:cat>
            <c:numRef>
              <c:f>Sheet1!$B$1:$H$1</c:f>
              <c:numCache>
                <c:formatCode>General</c:formatCode>
                <c:ptCount val="7"/>
                <c:pt idx="0">
                  <c:v>2004</c:v>
                </c:pt>
                <c:pt idx="1">
                  <c:v>2007</c:v>
                </c:pt>
                <c:pt idx="2">
                  <c:v>2011</c:v>
                </c:pt>
                <c:pt idx="3">
                  <c:v>2013</c:v>
                </c:pt>
                <c:pt idx="4">
                  <c:v>2015</c:v>
                </c:pt>
                <c:pt idx="5">
                  <c:v>2016</c:v>
                </c:pt>
                <c:pt idx="6">
                  <c:v>2017</c:v>
                </c:pt>
              </c:numCache>
            </c:numRef>
          </c:cat>
          <c:val>
            <c:numRef>
              <c:f>Sheet1!$B$2:$H$2</c:f>
              <c:numCache>
                <c:formatCode>#,##0.00</c:formatCode>
                <c:ptCount val="7"/>
                <c:pt idx="0">
                  <c:v>24.3</c:v>
                </c:pt>
                <c:pt idx="1">
                  <c:v>21.5</c:v>
                </c:pt>
                <c:pt idx="2" formatCode="#,##0.0">
                  <c:v>18.100000000000001</c:v>
                </c:pt>
                <c:pt idx="3" formatCode="#,##0.0">
                  <c:v>14.9</c:v>
                </c:pt>
                <c:pt idx="4" formatCode="#,##0.0">
                  <c:v>13.2</c:v>
                </c:pt>
                <c:pt idx="5">
                  <c:v>12.9</c:v>
                </c:pt>
                <c:pt idx="6" formatCode="General">
                  <c:v>9.7000000000000011</c:v>
                </c:pt>
              </c:numCache>
            </c:numRef>
          </c:val>
        </c:ser>
        <c:marker val="1"/>
        <c:axId val="106661760"/>
        <c:axId val="106676992"/>
      </c:lineChart>
      <c:catAx>
        <c:axId val="106661760"/>
        <c:scaling>
          <c:orientation val="minMax"/>
        </c:scaling>
        <c:axPos val="b"/>
        <c:title>
          <c:tx>
            <c:rich>
              <a:bodyPr/>
              <a:lstStyle/>
              <a:p>
                <a:pPr>
                  <a:defRPr sz="800"/>
                </a:pPr>
                <a:r>
                  <a:rPr lang="en-US" sz="800"/>
                  <a:t>Year</a:t>
                </a:r>
                <a:endParaRPr lang="en-GB" sz="800"/>
              </a:p>
            </c:rich>
          </c:tx>
        </c:title>
        <c:numFmt formatCode="General" sourceLinked="1"/>
        <c:majorTickMark val="none"/>
        <c:tickLblPos val="nextTo"/>
        <c:txPr>
          <a:bodyPr rot="0" vert="horz"/>
          <a:lstStyle/>
          <a:p>
            <a:pPr>
              <a:defRPr sz="800"/>
            </a:pPr>
            <a:endParaRPr lang="ar-SA"/>
          </a:p>
        </c:txPr>
        <c:crossAx val="106676992"/>
        <c:crosses val="autoZero"/>
        <c:auto val="1"/>
        <c:lblAlgn val="ctr"/>
        <c:lblOffset val="50"/>
        <c:tickLblSkip val="1"/>
        <c:tickMarkSkip val="1"/>
      </c:catAx>
      <c:valAx>
        <c:axId val="106676992"/>
        <c:scaling>
          <c:orientation val="minMax"/>
          <c:max val="30"/>
          <c:min val="5"/>
        </c:scaling>
        <c:axPos val="l"/>
        <c:title>
          <c:tx>
            <c:rich>
              <a:bodyPr/>
              <a:lstStyle/>
              <a:p>
                <a:pPr>
                  <a:defRPr sz="800"/>
                </a:pPr>
                <a:r>
                  <a:rPr lang="ar-SA" sz="800"/>
                  <a:t>%</a:t>
                </a:r>
                <a:endParaRPr lang="en-GB" sz="800"/>
              </a:p>
            </c:rich>
          </c:tx>
        </c:title>
        <c:numFmt formatCode="#,##0" sourceLinked="0"/>
        <c:tickLblPos val="nextTo"/>
        <c:txPr>
          <a:bodyPr rot="-60000" vert="horz"/>
          <a:lstStyle/>
          <a:p>
            <a:pPr>
              <a:defRPr sz="800"/>
            </a:pPr>
            <a:endParaRPr lang="ar-SA"/>
          </a:p>
        </c:txPr>
        <c:crossAx val="106661760"/>
        <c:crosses val="autoZero"/>
        <c:crossBetween val="between"/>
        <c:majorUnit val="5"/>
        <c:minorUnit val="5"/>
      </c:valAx>
    </c:plotArea>
    <c:plotVisOnly val="1"/>
    <c:dispBlanksAs val="gap"/>
  </c:chart>
  <c:spPr>
    <a:noFill/>
    <a:ln>
      <a:noFill/>
    </a:ln>
  </c:spPr>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5C1D-4D5E-4751-8778-3CB35BDC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3584</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PCBS Issues a Press Release on World Environment Day</vt:lpstr>
      <vt:lpstr>PCBS Issues a Press Release on World Environment Day</vt:lpstr>
    </vt:vector>
  </TitlesOfParts>
  <Company>Hewlett-Packard Company</Company>
  <LinksUpToDate>false</LinksUpToDate>
  <CharactersWithSpaces>4204</CharactersWithSpaces>
  <SharedDoc>false</SharedDoc>
  <HLinks>
    <vt:vector size="132" baseType="variant">
      <vt:variant>
        <vt:i4>2424865</vt:i4>
      </vt:variant>
      <vt:variant>
        <vt:i4>69</vt:i4>
      </vt:variant>
      <vt:variant>
        <vt:i4>0</vt:i4>
      </vt:variant>
      <vt:variant>
        <vt:i4>5</vt:i4>
      </vt:variant>
      <vt:variant>
        <vt:lpwstr>http://www.pcbs.gov.ps/</vt:lpwstr>
      </vt:variant>
      <vt:variant>
        <vt:lpwstr/>
      </vt:variant>
      <vt:variant>
        <vt:i4>1114227</vt:i4>
      </vt:variant>
      <vt:variant>
        <vt:i4>66</vt:i4>
      </vt:variant>
      <vt:variant>
        <vt:i4>0</vt:i4>
      </vt:variant>
      <vt:variant>
        <vt:i4>5</vt:i4>
      </vt:variant>
      <vt:variant>
        <vt:lpwstr>mailto:diwan@pcbs.gov.ps</vt:lpwstr>
      </vt:variant>
      <vt:variant>
        <vt:lpwstr/>
      </vt:variant>
      <vt:variant>
        <vt:i4>2883623</vt:i4>
      </vt:variant>
      <vt:variant>
        <vt:i4>63</vt:i4>
      </vt:variant>
      <vt:variant>
        <vt:i4>0</vt:i4>
      </vt:variant>
      <vt:variant>
        <vt:i4>5</vt:i4>
      </vt:variant>
      <vt:variant>
        <vt:lpwstr>http://www.tititudorancea.com/</vt:lpwstr>
      </vt:variant>
      <vt:variant>
        <vt:lpwstr/>
      </vt:variant>
      <vt:variant>
        <vt:i4>2883623</vt:i4>
      </vt:variant>
      <vt:variant>
        <vt:i4>57</vt:i4>
      </vt:variant>
      <vt:variant>
        <vt:i4>0</vt:i4>
      </vt:variant>
      <vt:variant>
        <vt:i4>5</vt:i4>
      </vt:variant>
      <vt:variant>
        <vt:lpwstr>http://www.tititudorancea.com/</vt:lpwstr>
      </vt:variant>
      <vt:variant>
        <vt:lpwstr/>
      </vt:variant>
      <vt:variant>
        <vt:i4>1179739</vt:i4>
      </vt:variant>
      <vt:variant>
        <vt:i4>51</vt:i4>
      </vt:variant>
      <vt:variant>
        <vt:i4>0</vt:i4>
      </vt:variant>
      <vt:variant>
        <vt:i4>5</vt:i4>
      </vt:variant>
      <vt:variant>
        <vt:lpwstr>http://en.wikipedia.org/wiki/Erosion</vt:lpwstr>
      </vt:variant>
      <vt:variant>
        <vt:lpwstr/>
      </vt:variant>
      <vt:variant>
        <vt:i4>7077941</vt:i4>
      </vt:variant>
      <vt:variant>
        <vt:i4>48</vt:i4>
      </vt:variant>
      <vt:variant>
        <vt:i4>0</vt:i4>
      </vt:variant>
      <vt:variant>
        <vt:i4>5</vt:i4>
      </vt:variant>
      <vt:variant>
        <vt:lpwstr>http://en.wikipedia.org/wiki/Reforestation</vt:lpwstr>
      </vt:variant>
      <vt:variant>
        <vt:lpwstr/>
      </vt:variant>
      <vt:variant>
        <vt:i4>1441901</vt:i4>
      </vt:variant>
      <vt:variant>
        <vt:i4>45</vt:i4>
      </vt:variant>
      <vt:variant>
        <vt:i4>0</vt:i4>
      </vt:variant>
      <vt:variant>
        <vt:i4>5</vt:i4>
      </vt:variant>
      <vt:variant>
        <vt:lpwstr>http://en.wikipedia.org/wiki/Organic_agriculture</vt:lpwstr>
      </vt:variant>
      <vt:variant>
        <vt:lpwstr/>
      </vt:variant>
      <vt:variant>
        <vt:i4>3539031</vt:i4>
      </vt:variant>
      <vt:variant>
        <vt:i4>42</vt:i4>
      </vt:variant>
      <vt:variant>
        <vt:i4>0</vt:i4>
      </vt:variant>
      <vt:variant>
        <vt:i4>5</vt:i4>
      </vt:variant>
      <vt:variant>
        <vt:lpwstr>http://en.wikipedia.org/wiki/Land_management</vt:lpwstr>
      </vt:variant>
      <vt:variant>
        <vt:lpwstr/>
      </vt:variant>
      <vt:variant>
        <vt:i4>7405578</vt:i4>
      </vt:variant>
      <vt:variant>
        <vt:i4>39</vt:i4>
      </vt:variant>
      <vt:variant>
        <vt:i4>0</vt:i4>
      </vt:variant>
      <vt:variant>
        <vt:i4>5</vt:i4>
      </vt:variant>
      <vt:variant>
        <vt:lpwstr>http://en.wikipedia.org/wiki/Waste_sorting</vt:lpwstr>
      </vt:variant>
      <vt:variant>
        <vt:lpwstr/>
      </vt:variant>
      <vt:variant>
        <vt:i4>7929906</vt:i4>
      </vt:variant>
      <vt:variant>
        <vt:i4>36</vt:i4>
      </vt:variant>
      <vt:variant>
        <vt:i4>0</vt:i4>
      </vt:variant>
      <vt:variant>
        <vt:i4>5</vt:i4>
      </vt:variant>
      <vt:variant>
        <vt:lpwstr>http://en.wikipedia.org/wiki/Municipal_solid_waste</vt:lpwstr>
      </vt:variant>
      <vt:variant>
        <vt:lpwstr/>
      </vt:variant>
      <vt:variant>
        <vt:i4>6488107</vt:i4>
      </vt:variant>
      <vt:variant>
        <vt:i4>33</vt:i4>
      </vt:variant>
      <vt:variant>
        <vt:i4>0</vt:i4>
      </vt:variant>
      <vt:variant>
        <vt:i4>5</vt:i4>
      </vt:variant>
      <vt:variant>
        <vt:lpwstr>http://en.wikipedia.org/wiki/Recycling</vt:lpwstr>
      </vt:variant>
      <vt:variant>
        <vt:lpwstr/>
      </vt:variant>
      <vt:variant>
        <vt:i4>7667774</vt:i4>
      </vt:variant>
      <vt:variant>
        <vt:i4>30</vt:i4>
      </vt:variant>
      <vt:variant>
        <vt:i4>0</vt:i4>
      </vt:variant>
      <vt:variant>
        <vt:i4>5</vt:i4>
      </vt:variant>
      <vt:variant>
        <vt:lpwstr>http://en.wikipedia.org/wiki/Rainwater</vt:lpwstr>
      </vt:variant>
      <vt:variant>
        <vt:lpwstr/>
      </vt:variant>
      <vt:variant>
        <vt:i4>7077946</vt:i4>
      </vt:variant>
      <vt:variant>
        <vt:i4>27</vt:i4>
      </vt:variant>
      <vt:variant>
        <vt:i4>0</vt:i4>
      </vt:variant>
      <vt:variant>
        <vt:i4>5</vt:i4>
      </vt:variant>
      <vt:variant>
        <vt:lpwstr>http://en.wikipedia.org/wiki/Greywater</vt:lpwstr>
      </vt:variant>
      <vt:variant>
        <vt:lpwstr/>
      </vt:variant>
      <vt:variant>
        <vt:i4>3997782</vt:i4>
      </vt:variant>
      <vt:variant>
        <vt:i4>24</vt:i4>
      </vt:variant>
      <vt:variant>
        <vt:i4>0</vt:i4>
      </vt:variant>
      <vt:variant>
        <vt:i4>5</vt:i4>
      </vt:variant>
      <vt:variant>
        <vt:lpwstr>http://en.wikipedia.org/wiki/Electric_vehicle</vt:lpwstr>
      </vt:variant>
      <vt:variant>
        <vt:lpwstr/>
      </vt:variant>
      <vt:variant>
        <vt:i4>4390951</vt:i4>
      </vt:variant>
      <vt:variant>
        <vt:i4>21</vt:i4>
      </vt:variant>
      <vt:variant>
        <vt:i4>0</vt:i4>
      </vt:variant>
      <vt:variant>
        <vt:i4>5</vt:i4>
      </vt:variant>
      <vt:variant>
        <vt:lpwstr>http://en.wikipedia.org/wiki/Hybrid_vehicle</vt:lpwstr>
      </vt:variant>
      <vt:variant>
        <vt:lpwstr/>
      </vt:variant>
      <vt:variant>
        <vt:i4>5111849</vt:i4>
      </vt:variant>
      <vt:variant>
        <vt:i4>18</vt:i4>
      </vt:variant>
      <vt:variant>
        <vt:i4>0</vt:i4>
      </vt:variant>
      <vt:variant>
        <vt:i4>5</vt:i4>
      </vt:variant>
      <vt:variant>
        <vt:lpwstr>http://en.wikipedia.org/wiki/Public_transit</vt:lpwstr>
      </vt:variant>
      <vt:variant>
        <vt:lpwstr/>
      </vt:variant>
      <vt:variant>
        <vt:i4>1441914</vt:i4>
      </vt:variant>
      <vt:variant>
        <vt:i4>15</vt:i4>
      </vt:variant>
      <vt:variant>
        <vt:i4>0</vt:i4>
      </vt:variant>
      <vt:variant>
        <vt:i4>5</vt:i4>
      </vt:variant>
      <vt:variant>
        <vt:lpwstr>http://en.wikipedia.org/wiki/Alternative_fuel</vt:lpwstr>
      </vt:variant>
      <vt:variant>
        <vt:lpwstr/>
      </vt:variant>
      <vt:variant>
        <vt:i4>6946833</vt:i4>
      </vt:variant>
      <vt:variant>
        <vt:i4>12</vt:i4>
      </vt:variant>
      <vt:variant>
        <vt:i4>0</vt:i4>
      </vt:variant>
      <vt:variant>
        <vt:i4>5</vt:i4>
      </vt:variant>
      <vt:variant>
        <vt:lpwstr>http://en.wikipedia.org/wiki/Sustainable_transport</vt:lpwstr>
      </vt:variant>
      <vt:variant>
        <vt:lpwstr/>
      </vt:variant>
      <vt:variant>
        <vt:i4>3735623</vt:i4>
      </vt:variant>
      <vt:variant>
        <vt:i4>9</vt:i4>
      </vt:variant>
      <vt:variant>
        <vt:i4>0</vt:i4>
      </vt:variant>
      <vt:variant>
        <vt:i4>5</vt:i4>
      </vt:variant>
      <vt:variant>
        <vt:lpwstr>http://en.wikipedia.org/wiki/Geothermal_power</vt:lpwstr>
      </vt:variant>
      <vt:variant>
        <vt:lpwstr/>
      </vt:variant>
      <vt:variant>
        <vt:i4>5439551</vt:i4>
      </vt:variant>
      <vt:variant>
        <vt:i4>6</vt:i4>
      </vt:variant>
      <vt:variant>
        <vt:i4>0</vt:i4>
      </vt:variant>
      <vt:variant>
        <vt:i4>5</vt:i4>
      </vt:variant>
      <vt:variant>
        <vt:lpwstr>http://en.wikipedia.org/wiki/Wind_power</vt:lpwstr>
      </vt:variant>
      <vt:variant>
        <vt:lpwstr/>
      </vt:variant>
      <vt:variant>
        <vt:i4>458862</vt:i4>
      </vt:variant>
      <vt:variant>
        <vt:i4>3</vt:i4>
      </vt:variant>
      <vt:variant>
        <vt:i4>0</vt:i4>
      </vt:variant>
      <vt:variant>
        <vt:i4>5</vt:i4>
      </vt:variant>
      <vt:variant>
        <vt:lpwstr>http://en.wikipedia.org/wiki/Solar_power</vt:lpwstr>
      </vt:variant>
      <vt:variant>
        <vt:lpwstr/>
      </vt:variant>
      <vt:variant>
        <vt:i4>5242939</vt:i4>
      </vt:variant>
      <vt:variant>
        <vt:i4>0</vt:i4>
      </vt:variant>
      <vt:variant>
        <vt:i4>0</vt:i4>
      </vt:variant>
      <vt:variant>
        <vt:i4>5</vt:i4>
      </vt:variant>
      <vt:variant>
        <vt:lpwstr>http://en.wikipedia.org/wiki/Social_equity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PCBS Issues a Press Release on World Environment Day</dc:title>
  <dc:creator>atumeh</dc:creator>
  <cp:lastModifiedBy>hbadran</cp:lastModifiedBy>
  <cp:revision>2</cp:revision>
  <cp:lastPrinted>2019-05-22T10:33:00Z</cp:lastPrinted>
  <dcterms:created xsi:type="dcterms:W3CDTF">2019-05-22T10:35:00Z</dcterms:created>
  <dcterms:modified xsi:type="dcterms:W3CDTF">2019-05-22T10:35:00Z</dcterms:modified>
</cp:coreProperties>
</file>