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14" w:rsidRDefault="00A47D14" w:rsidP="006B26CA">
      <w:pPr>
        <w:pStyle w:val="Heading3"/>
        <w:bidi w:val="0"/>
        <w:jc w:val="center"/>
        <w:rPr>
          <w:sz w:val="32"/>
          <w:szCs w:val="32"/>
          <w:u w:val="none"/>
        </w:rPr>
      </w:pPr>
    </w:p>
    <w:p w:rsidR="006B26CA" w:rsidRPr="006647EB" w:rsidRDefault="006B26CA" w:rsidP="00A47D14">
      <w:pPr>
        <w:pStyle w:val="Heading3"/>
        <w:bidi w:val="0"/>
        <w:jc w:val="center"/>
        <w:rPr>
          <w:sz w:val="32"/>
          <w:szCs w:val="32"/>
          <w:u w:val="none"/>
          <w:rtl/>
          <w:lang w:val="en-US" w:bidi="ar-SA"/>
        </w:rPr>
      </w:pPr>
      <w:r w:rsidRPr="006647EB">
        <w:rPr>
          <w:sz w:val="32"/>
          <w:szCs w:val="32"/>
          <w:u w:val="none"/>
        </w:rPr>
        <w:t>Palestinian Central Bureau of Statistics</w:t>
      </w:r>
    </w:p>
    <w:p w:rsidR="006B26CA" w:rsidRPr="00302775" w:rsidRDefault="006B26CA" w:rsidP="006B26CA">
      <w:pPr>
        <w:bidi w:val="0"/>
        <w:jc w:val="center"/>
        <w:rPr>
          <w:b/>
          <w:bCs/>
        </w:rPr>
      </w:pPr>
    </w:p>
    <w:p w:rsidR="006B26CA" w:rsidRPr="00302775" w:rsidRDefault="006B26CA" w:rsidP="006B26CA">
      <w:pPr>
        <w:bidi w:val="0"/>
        <w:jc w:val="center"/>
        <w:rPr>
          <w:b/>
          <w:bCs/>
        </w:rPr>
      </w:pPr>
    </w:p>
    <w:p w:rsidR="006B26CA" w:rsidRPr="00302775" w:rsidRDefault="006B26CA" w:rsidP="006B26CA">
      <w:pPr>
        <w:bidi w:val="0"/>
        <w:jc w:val="center"/>
        <w:rPr>
          <w:b/>
          <w:bCs/>
        </w:rPr>
      </w:pPr>
    </w:p>
    <w:p w:rsidR="006B26CA" w:rsidRPr="006B26CA" w:rsidRDefault="006B26CA" w:rsidP="00BA77E8">
      <w:pPr>
        <w:pStyle w:val="Heading1"/>
        <w:ind w:hanging="334"/>
        <w:jc w:val="center"/>
        <w:rPr>
          <w:rFonts w:ascii="Times New Roman" w:hAnsi="Times New Roman" w:cs="Times New Roman"/>
          <w:sz w:val="28"/>
          <w:szCs w:val="28"/>
          <w:rtl/>
          <w:lang w:val="en-US"/>
        </w:rPr>
      </w:pPr>
      <w:r w:rsidRPr="006B26CA">
        <w:rPr>
          <w:rFonts w:ascii="Times New Roman" w:hAnsi="Times New Roman" w:cs="Times New Roman"/>
          <w:sz w:val="28"/>
          <w:szCs w:val="28"/>
          <w:lang w:val="en-US" w:bidi="ar-SA"/>
        </w:rPr>
        <w:t xml:space="preserve">Preliminary Estimates of </w:t>
      </w:r>
      <w:r w:rsidRPr="006B26CA">
        <w:rPr>
          <w:rFonts w:ascii="Times New Roman" w:hAnsi="Times New Roman" w:cs="Times New Roman"/>
          <w:sz w:val="28"/>
          <w:szCs w:val="28"/>
        </w:rPr>
        <w:t xml:space="preserve">Quarterly National Accounts,  </w:t>
      </w:r>
      <w:r w:rsidRPr="006B26CA">
        <w:rPr>
          <w:rFonts w:ascii="Times New Roman" w:hAnsi="Times New Roman" w:cs="Times New Roman"/>
          <w:sz w:val="28"/>
          <w:szCs w:val="28"/>
          <w:lang w:val="en-US"/>
        </w:rPr>
        <w:t>Fourth Quarter</w:t>
      </w:r>
      <w:r w:rsidRPr="006B26CA">
        <w:rPr>
          <w:rFonts w:ascii="Times New Roman" w:hAnsi="Times New Roman" w:cs="Times New Roman"/>
          <w:sz w:val="28"/>
          <w:szCs w:val="28"/>
        </w:rPr>
        <w:t xml:space="preserve"> </w:t>
      </w:r>
      <w:r w:rsidR="00BA77E8">
        <w:rPr>
          <w:rFonts w:ascii="Times New Roman" w:hAnsi="Times New Roman" w:cs="Times New Roman"/>
          <w:sz w:val="28"/>
          <w:szCs w:val="28"/>
        </w:rPr>
        <w:t>2020</w:t>
      </w:r>
    </w:p>
    <w:p w:rsidR="006B26CA" w:rsidRPr="00302775" w:rsidRDefault="006B26CA" w:rsidP="006B26CA">
      <w:pPr>
        <w:pStyle w:val="Heading1"/>
        <w:jc w:val="center"/>
        <w:rPr>
          <w:rFonts w:ascii="Times New Roman" w:hAnsi="Times New Roman" w:cs="Times New Roman"/>
          <w:sz w:val="40"/>
          <w:szCs w:val="40"/>
          <w:rtl/>
          <w:lang w:val="en-US"/>
        </w:rPr>
      </w:pPr>
    </w:p>
    <w:p w:rsidR="006B26CA" w:rsidRPr="006647EB" w:rsidRDefault="006B26CA" w:rsidP="006B26CA">
      <w:pPr>
        <w:pStyle w:val="Heading7"/>
        <w:bidi w:val="0"/>
        <w:ind w:right="-110"/>
        <w:jc w:val="center"/>
        <w:rPr>
          <w:sz w:val="28"/>
          <w:szCs w:val="28"/>
          <w:vertAlign w:val="superscript"/>
        </w:rPr>
      </w:pPr>
      <w:r w:rsidRPr="006647EB">
        <w:rPr>
          <w:sz w:val="28"/>
          <w:szCs w:val="28"/>
        </w:rPr>
        <w:t>Main Results</w:t>
      </w:r>
      <w:r w:rsidRPr="006647EB">
        <w:rPr>
          <w:rStyle w:val="FootnoteReference"/>
          <w:sz w:val="28"/>
          <w:szCs w:val="28"/>
        </w:rPr>
        <w:footnoteReference w:id="1"/>
      </w:r>
      <w:r w:rsidRPr="006647EB">
        <w:rPr>
          <w:sz w:val="28"/>
          <w:szCs w:val="28"/>
          <w:vertAlign w:val="superscript"/>
        </w:rPr>
        <w:t xml:space="preserve"> </w:t>
      </w:r>
    </w:p>
    <w:p w:rsidR="006B26CA" w:rsidRDefault="006B26CA" w:rsidP="001D2FFA">
      <w:pPr>
        <w:pStyle w:val="Heading7"/>
        <w:bidi w:val="0"/>
        <w:ind w:right="-110"/>
        <w:jc w:val="center"/>
        <w:rPr>
          <w:sz w:val="28"/>
          <w:szCs w:val="28"/>
        </w:rPr>
      </w:pPr>
    </w:p>
    <w:p w:rsidR="001D2FFA" w:rsidRPr="004C795F" w:rsidRDefault="001D2FFA" w:rsidP="001D2FFA">
      <w:pPr>
        <w:pStyle w:val="Heading7"/>
        <w:bidi w:val="0"/>
        <w:ind w:right="-110"/>
        <w:jc w:val="both"/>
      </w:pPr>
    </w:p>
    <w:p w:rsidR="006B26CA" w:rsidRDefault="001D2FFA" w:rsidP="001D2FFA">
      <w:pPr>
        <w:bidi w:val="0"/>
        <w:jc w:val="center"/>
        <w:rPr>
          <w:b/>
          <w:bCs/>
          <w:sz w:val="26"/>
          <w:szCs w:val="26"/>
          <w:lang w:eastAsia="en-US"/>
        </w:rPr>
      </w:pPr>
      <w:r w:rsidRPr="006B26CA">
        <w:rPr>
          <w:b/>
          <w:bCs/>
          <w:sz w:val="26"/>
          <w:szCs w:val="26"/>
        </w:rPr>
        <w:t>Gross Domestic Product</w:t>
      </w:r>
      <w:r w:rsidRPr="006B26CA">
        <w:rPr>
          <w:b/>
          <w:bCs/>
          <w:sz w:val="26"/>
          <w:szCs w:val="26"/>
          <w:lang w:eastAsia="en-US"/>
        </w:rPr>
        <w:t xml:space="preserve"> (GDP) at constant prices decreased by 4.6% in  the West Bank and 6.1% in Gaza Strip during the 1</w:t>
      </w:r>
      <w:r w:rsidRPr="006B26CA">
        <w:rPr>
          <w:b/>
          <w:bCs/>
          <w:sz w:val="26"/>
          <w:szCs w:val="26"/>
          <w:vertAlign w:val="superscript"/>
          <w:lang w:eastAsia="en-US"/>
        </w:rPr>
        <w:t>st</w:t>
      </w:r>
      <w:r w:rsidRPr="006B26CA">
        <w:rPr>
          <w:b/>
          <w:bCs/>
          <w:sz w:val="26"/>
          <w:szCs w:val="26"/>
          <w:lang w:eastAsia="en-US"/>
        </w:rPr>
        <w:t xml:space="preserve"> quarter 2020 compared</w:t>
      </w:r>
    </w:p>
    <w:p w:rsidR="001D2FFA" w:rsidRPr="006B26CA" w:rsidRDefault="001D2FFA" w:rsidP="006B26CA">
      <w:pPr>
        <w:bidi w:val="0"/>
        <w:jc w:val="center"/>
        <w:rPr>
          <w:b/>
          <w:bCs/>
          <w:sz w:val="26"/>
          <w:szCs w:val="26"/>
          <w:lang w:eastAsia="en-US"/>
        </w:rPr>
      </w:pPr>
      <w:r w:rsidRPr="006B26CA">
        <w:rPr>
          <w:b/>
          <w:bCs/>
          <w:sz w:val="26"/>
          <w:szCs w:val="26"/>
          <w:lang w:eastAsia="en-US"/>
        </w:rPr>
        <w:t xml:space="preserve"> to the 4</w:t>
      </w:r>
      <w:r w:rsidRPr="006B26CA">
        <w:rPr>
          <w:b/>
          <w:bCs/>
          <w:sz w:val="26"/>
          <w:szCs w:val="26"/>
          <w:vertAlign w:val="superscript"/>
          <w:lang w:eastAsia="en-US"/>
        </w:rPr>
        <w:t>th</w:t>
      </w:r>
      <w:r w:rsidRPr="006B26CA">
        <w:rPr>
          <w:b/>
          <w:bCs/>
          <w:sz w:val="26"/>
          <w:szCs w:val="26"/>
          <w:lang w:eastAsia="en-US"/>
        </w:rPr>
        <w:t xml:space="preserve"> quarter 2019</w:t>
      </w:r>
    </w:p>
    <w:p w:rsidR="001D2FFA" w:rsidRPr="004C795F" w:rsidRDefault="001D2FFA" w:rsidP="001D2FFA">
      <w:pPr>
        <w:bidi w:val="0"/>
        <w:rPr>
          <w:lang w:eastAsia="en-US"/>
        </w:rPr>
      </w:pPr>
    </w:p>
    <w:p w:rsidR="001D2FFA" w:rsidRPr="006B26CA" w:rsidRDefault="001D2FFA" w:rsidP="001D2FFA">
      <w:pPr>
        <w:bidi w:val="0"/>
        <w:jc w:val="lowKashida"/>
        <w:rPr>
          <w:sz w:val="26"/>
          <w:szCs w:val="26"/>
          <w:lang w:eastAsia="en-US"/>
        </w:rPr>
      </w:pPr>
      <w:r w:rsidRPr="006B26CA">
        <w:rPr>
          <w:sz w:val="26"/>
          <w:szCs w:val="26"/>
          <w:lang w:eastAsia="en-US"/>
        </w:rPr>
        <w:t>Estimates at constant prices showed a decrease of 4.9% in Palestine during the 1</w:t>
      </w:r>
      <w:r w:rsidRPr="006B26CA">
        <w:rPr>
          <w:sz w:val="26"/>
          <w:szCs w:val="26"/>
          <w:vertAlign w:val="superscript"/>
          <w:lang w:eastAsia="en-US"/>
        </w:rPr>
        <w:t>st</w:t>
      </w:r>
      <w:r w:rsidRPr="006B26CA">
        <w:rPr>
          <w:sz w:val="26"/>
          <w:szCs w:val="26"/>
          <w:lang w:eastAsia="en-US"/>
        </w:rPr>
        <w:t xml:space="preserve"> quarter 2020 compared to the 4</w:t>
      </w:r>
      <w:r w:rsidRPr="006B26CA">
        <w:rPr>
          <w:sz w:val="26"/>
          <w:szCs w:val="26"/>
          <w:vertAlign w:val="superscript"/>
          <w:lang w:eastAsia="en-US"/>
        </w:rPr>
        <w:t>th</w:t>
      </w:r>
      <w:r w:rsidRPr="006B26CA">
        <w:rPr>
          <w:sz w:val="26"/>
          <w:szCs w:val="26"/>
          <w:lang w:eastAsia="en-US"/>
        </w:rPr>
        <w:t xml:space="preserve"> quarter 2019 at constant prices, (mainly in Agriculture and fishing by 9%, Mining, Manufacturing, Electricity and Water 9%, Construction 21%,</w:t>
      </w:r>
      <w:r w:rsidRPr="006B26CA">
        <w:rPr>
          <w:sz w:val="26"/>
          <w:szCs w:val="26"/>
        </w:rPr>
        <w:t xml:space="preserve"> </w:t>
      </w:r>
      <w:r w:rsidRPr="006B26CA">
        <w:rPr>
          <w:sz w:val="26"/>
          <w:szCs w:val="26"/>
          <w:lang w:eastAsia="en-US"/>
        </w:rPr>
        <w:t xml:space="preserve">Information and Communication 5%, Public Administration and Defense by 6%).  </w:t>
      </w:r>
    </w:p>
    <w:p w:rsidR="001D2FFA" w:rsidRPr="006B26CA" w:rsidRDefault="001D2FFA" w:rsidP="001D2FFA">
      <w:pPr>
        <w:bidi w:val="0"/>
        <w:jc w:val="lowKashida"/>
        <w:rPr>
          <w:sz w:val="26"/>
          <w:szCs w:val="26"/>
          <w:lang w:eastAsia="en-US"/>
        </w:rPr>
      </w:pPr>
    </w:p>
    <w:p w:rsidR="001D2FFA" w:rsidRPr="006B26CA" w:rsidRDefault="001D2FFA" w:rsidP="001D2FFA">
      <w:pPr>
        <w:bidi w:val="0"/>
        <w:jc w:val="lowKashida"/>
        <w:rPr>
          <w:sz w:val="26"/>
          <w:szCs w:val="26"/>
          <w:lang w:eastAsia="en-US"/>
        </w:rPr>
      </w:pPr>
      <w:r w:rsidRPr="006B26CA">
        <w:rPr>
          <w:sz w:val="26"/>
          <w:szCs w:val="26"/>
          <w:lang w:eastAsia="en-US"/>
        </w:rPr>
        <w:t xml:space="preserve"> On the other hand, it showed a decrease of 3.4% in GDP in Palestine during the 1</w:t>
      </w:r>
      <w:r w:rsidRPr="006B26CA">
        <w:rPr>
          <w:sz w:val="26"/>
          <w:szCs w:val="26"/>
          <w:vertAlign w:val="superscript"/>
          <w:lang w:eastAsia="en-US"/>
        </w:rPr>
        <w:t>st</w:t>
      </w:r>
      <w:r w:rsidRPr="006B26CA">
        <w:rPr>
          <w:sz w:val="26"/>
          <w:szCs w:val="26"/>
          <w:lang w:eastAsia="en-US"/>
        </w:rPr>
        <w:t xml:space="preserve"> quarter 2020 compared to the </w:t>
      </w:r>
      <w:r w:rsidRPr="006B26CA">
        <w:rPr>
          <w:rFonts w:hint="cs"/>
          <w:sz w:val="26"/>
          <w:szCs w:val="26"/>
          <w:rtl/>
          <w:lang w:eastAsia="en-US"/>
        </w:rPr>
        <w:t>1</w:t>
      </w:r>
      <w:proofErr w:type="spellStart"/>
      <w:r w:rsidRPr="006B26CA">
        <w:rPr>
          <w:sz w:val="26"/>
          <w:szCs w:val="26"/>
          <w:vertAlign w:val="superscript"/>
          <w:lang w:eastAsia="en-US"/>
        </w:rPr>
        <w:t>st</w:t>
      </w:r>
      <w:proofErr w:type="spellEnd"/>
      <w:r w:rsidRPr="006B26CA">
        <w:rPr>
          <w:sz w:val="26"/>
          <w:szCs w:val="26"/>
          <w:lang w:eastAsia="en-US"/>
        </w:rPr>
        <w:t xml:space="preserve"> quarter 2019 which excludes the seasonal effect, meanwhile the base year is 2015. GDP for the 1</w:t>
      </w:r>
      <w:r w:rsidRPr="006B26CA">
        <w:rPr>
          <w:sz w:val="26"/>
          <w:szCs w:val="26"/>
          <w:vertAlign w:val="superscript"/>
          <w:lang w:eastAsia="en-US"/>
        </w:rPr>
        <w:t>st</w:t>
      </w:r>
      <w:r w:rsidRPr="006B26CA">
        <w:rPr>
          <w:sz w:val="26"/>
          <w:szCs w:val="26"/>
          <w:lang w:eastAsia="en-US"/>
        </w:rPr>
        <w:t xml:space="preserve"> quarter 2020 at constant prices was USD 3,150 million for the West Bank and USD 670 million for Gaza Strip. </w:t>
      </w:r>
    </w:p>
    <w:p w:rsidR="001D2FFA" w:rsidRPr="006B26CA" w:rsidRDefault="001D2FFA" w:rsidP="001D2FFA">
      <w:pPr>
        <w:bidi w:val="0"/>
        <w:jc w:val="lowKashida"/>
        <w:rPr>
          <w:sz w:val="26"/>
          <w:szCs w:val="26"/>
        </w:rPr>
      </w:pPr>
    </w:p>
    <w:p w:rsidR="001D2FFA" w:rsidRPr="006B26CA" w:rsidRDefault="001D2FFA" w:rsidP="001D2FFA">
      <w:pPr>
        <w:bidi w:val="0"/>
        <w:jc w:val="lowKashida"/>
        <w:rPr>
          <w:sz w:val="26"/>
          <w:szCs w:val="26"/>
          <w:lang w:eastAsia="en-US"/>
        </w:rPr>
      </w:pPr>
      <w:r w:rsidRPr="006B26CA">
        <w:rPr>
          <w:sz w:val="26"/>
          <w:szCs w:val="26"/>
        </w:rPr>
        <w:t>It worth mentioning that at this quarter the emergency plan was announced  in the West Bank as of March 5</w:t>
      </w:r>
      <w:r w:rsidRPr="006B26CA">
        <w:rPr>
          <w:sz w:val="26"/>
          <w:szCs w:val="26"/>
          <w:vertAlign w:val="superscript"/>
        </w:rPr>
        <w:t>th</w:t>
      </w:r>
      <w:r w:rsidRPr="006B26CA">
        <w:rPr>
          <w:sz w:val="26"/>
          <w:szCs w:val="26"/>
        </w:rPr>
        <w:t xml:space="preserve"> 2020. This emergency started when Bethlehem Governorate recorded the first infection cases of Covid-19 virus, and followed by the government decree that restricts the movement between governorates and cities on March 22</w:t>
      </w:r>
      <w:r w:rsidRPr="006B26CA">
        <w:rPr>
          <w:sz w:val="26"/>
          <w:szCs w:val="26"/>
          <w:vertAlign w:val="superscript"/>
        </w:rPr>
        <w:t>nd</w:t>
      </w:r>
      <w:r w:rsidRPr="006B26CA">
        <w:rPr>
          <w:sz w:val="26"/>
          <w:szCs w:val="26"/>
        </w:rPr>
        <w:t xml:space="preserve"> 2020</w:t>
      </w:r>
      <w:r w:rsidRPr="006B26CA">
        <w:rPr>
          <w:sz w:val="26"/>
          <w:szCs w:val="26"/>
          <w:lang w:eastAsia="en-US"/>
        </w:rPr>
        <w:t>.</w:t>
      </w:r>
    </w:p>
    <w:p w:rsidR="001D2FFA" w:rsidRPr="006B26CA" w:rsidRDefault="001D2FFA" w:rsidP="001D2FFA">
      <w:pPr>
        <w:bidi w:val="0"/>
        <w:jc w:val="lowKashida"/>
        <w:rPr>
          <w:sz w:val="26"/>
          <w:szCs w:val="26"/>
          <w:lang w:eastAsia="en-US"/>
        </w:rPr>
      </w:pPr>
    </w:p>
    <w:p w:rsidR="001D2FFA" w:rsidRPr="006B26CA" w:rsidRDefault="001D2FFA" w:rsidP="001D2FFA">
      <w:pPr>
        <w:bidi w:val="0"/>
        <w:jc w:val="both"/>
        <w:rPr>
          <w:b/>
          <w:bCs/>
          <w:snapToGrid w:val="0"/>
          <w:sz w:val="26"/>
          <w:szCs w:val="26"/>
        </w:rPr>
      </w:pPr>
      <w:r w:rsidRPr="006B26CA">
        <w:rPr>
          <w:b/>
          <w:bCs/>
          <w:snapToGrid w:val="0"/>
          <w:sz w:val="26"/>
          <w:szCs w:val="26"/>
        </w:rPr>
        <w:t xml:space="preserve"> Decrease in Gross Domestic Product Per Capita</w:t>
      </w:r>
    </w:p>
    <w:p w:rsidR="001D2FFA" w:rsidRDefault="001D2FFA" w:rsidP="001D2FFA">
      <w:pPr>
        <w:bidi w:val="0"/>
        <w:jc w:val="both"/>
        <w:rPr>
          <w:snapToGrid w:val="0"/>
          <w:sz w:val="26"/>
          <w:szCs w:val="26"/>
        </w:rPr>
      </w:pPr>
      <w:r w:rsidRPr="006B26CA">
        <w:rPr>
          <w:snapToGrid w:val="0"/>
          <w:sz w:val="26"/>
          <w:szCs w:val="26"/>
        </w:rPr>
        <w:t xml:space="preserve">GDP per Capita for </w:t>
      </w:r>
      <w:r w:rsidRPr="006B26CA">
        <w:rPr>
          <w:sz w:val="26"/>
          <w:szCs w:val="26"/>
          <w:lang w:eastAsia="en-US"/>
        </w:rPr>
        <w:t xml:space="preserve">Palestine at constant prices </w:t>
      </w:r>
      <w:r w:rsidRPr="006B26CA">
        <w:rPr>
          <w:snapToGrid w:val="0"/>
          <w:sz w:val="26"/>
          <w:szCs w:val="26"/>
        </w:rPr>
        <w:t xml:space="preserve">was  USD 802 during the </w:t>
      </w:r>
      <w:r w:rsidRPr="006B26CA">
        <w:rPr>
          <w:sz w:val="26"/>
          <w:szCs w:val="26"/>
          <w:lang w:eastAsia="en-US"/>
        </w:rPr>
        <w:t>1</w:t>
      </w:r>
      <w:r w:rsidRPr="006B26CA">
        <w:rPr>
          <w:sz w:val="26"/>
          <w:szCs w:val="26"/>
          <w:vertAlign w:val="superscript"/>
          <w:lang w:eastAsia="en-US"/>
        </w:rPr>
        <w:t>st</w:t>
      </w:r>
      <w:r w:rsidRPr="006B26CA">
        <w:rPr>
          <w:sz w:val="26"/>
          <w:szCs w:val="26"/>
          <w:lang w:eastAsia="en-US"/>
        </w:rPr>
        <w:t xml:space="preserve"> quarter 2020, it showed a</w:t>
      </w:r>
      <w:r w:rsidRPr="006B26CA">
        <w:rPr>
          <w:snapToGrid w:val="0"/>
          <w:sz w:val="26"/>
          <w:szCs w:val="26"/>
        </w:rPr>
        <w:t xml:space="preserve"> decrease of 6% compared to the </w:t>
      </w:r>
      <w:r w:rsidRPr="006B26CA">
        <w:rPr>
          <w:sz w:val="26"/>
          <w:szCs w:val="26"/>
          <w:lang w:eastAsia="en-US"/>
        </w:rPr>
        <w:t>4</w:t>
      </w:r>
      <w:r w:rsidRPr="006B26CA">
        <w:rPr>
          <w:sz w:val="26"/>
          <w:szCs w:val="26"/>
          <w:vertAlign w:val="superscript"/>
          <w:lang w:eastAsia="en-US"/>
        </w:rPr>
        <w:t>th</w:t>
      </w:r>
      <w:r w:rsidRPr="006B26CA">
        <w:rPr>
          <w:sz w:val="26"/>
          <w:szCs w:val="26"/>
        </w:rPr>
        <w:t xml:space="preserve"> </w:t>
      </w:r>
      <w:r w:rsidRPr="006B26CA">
        <w:rPr>
          <w:snapToGrid w:val="0"/>
          <w:sz w:val="26"/>
          <w:szCs w:val="26"/>
        </w:rPr>
        <w:t xml:space="preserve">quarter 2019. As for the West Bank it was USD 1,151 </w:t>
      </w:r>
      <w:r w:rsidRPr="006B26CA">
        <w:rPr>
          <w:sz w:val="26"/>
          <w:szCs w:val="26"/>
          <w:lang w:eastAsia="en-US"/>
        </w:rPr>
        <w:t xml:space="preserve">at constant prices </w:t>
      </w:r>
      <w:r w:rsidRPr="006B26CA">
        <w:rPr>
          <w:snapToGrid w:val="0"/>
          <w:sz w:val="26"/>
          <w:szCs w:val="26"/>
        </w:rPr>
        <w:t xml:space="preserve">during the </w:t>
      </w:r>
      <w:r w:rsidRPr="006B26CA">
        <w:rPr>
          <w:sz w:val="26"/>
          <w:szCs w:val="26"/>
          <w:lang w:eastAsia="en-US"/>
        </w:rPr>
        <w:t>1</w:t>
      </w:r>
      <w:r w:rsidRPr="006B26CA">
        <w:rPr>
          <w:sz w:val="26"/>
          <w:szCs w:val="26"/>
          <w:vertAlign w:val="superscript"/>
          <w:lang w:eastAsia="en-US"/>
        </w:rPr>
        <w:t>st</w:t>
      </w:r>
      <w:r w:rsidRPr="006B26CA">
        <w:rPr>
          <w:sz w:val="26"/>
          <w:szCs w:val="26"/>
          <w:lang w:eastAsia="en-US"/>
        </w:rPr>
        <w:t xml:space="preserve"> quarter 2020</w:t>
      </w:r>
      <w:r w:rsidRPr="006B26CA">
        <w:rPr>
          <w:snapToGrid w:val="0"/>
          <w:sz w:val="26"/>
          <w:szCs w:val="26"/>
        </w:rPr>
        <w:t xml:space="preserve">, it showed a decrease </w:t>
      </w:r>
      <w:r w:rsidRPr="006B26CA">
        <w:rPr>
          <w:sz w:val="26"/>
          <w:szCs w:val="26"/>
          <w:lang w:eastAsia="en-US"/>
        </w:rPr>
        <w:t>by 5% during the 1</w:t>
      </w:r>
      <w:r w:rsidRPr="006B26CA">
        <w:rPr>
          <w:sz w:val="26"/>
          <w:szCs w:val="26"/>
          <w:vertAlign w:val="superscript"/>
          <w:lang w:eastAsia="en-US"/>
        </w:rPr>
        <w:t>st</w:t>
      </w:r>
      <w:r w:rsidRPr="006B26CA">
        <w:rPr>
          <w:sz w:val="26"/>
          <w:szCs w:val="26"/>
          <w:lang w:eastAsia="en-US"/>
        </w:rPr>
        <w:t xml:space="preserve"> quarter 2020 compared to the 4</w:t>
      </w:r>
      <w:r w:rsidRPr="006B26CA">
        <w:rPr>
          <w:sz w:val="26"/>
          <w:szCs w:val="26"/>
          <w:vertAlign w:val="superscript"/>
          <w:lang w:eastAsia="en-US"/>
        </w:rPr>
        <w:t>th</w:t>
      </w:r>
      <w:r w:rsidRPr="006B26CA">
        <w:rPr>
          <w:sz w:val="26"/>
          <w:szCs w:val="26"/>
          <w:lang w:eastAsia="en-US"/>
        </w:rPr>
        <w:t xml:space="preserve"> quarter 2019</w:t>
      </w:r>
      <w:r w:rsidRPr="006B26CA">
        <w:rPr>
          <w:snapToGrid w:val="0"/>
          <w:sz w:val="26"/>
          <w:szCs w:val="26"/>
        </w:rPr>
        <w:t xml:space="preserve">, while for Gaza Strip it was USD 331 during the </w:t>
      </w:r>
      <w:r w:rsidRPr="006B26CA">
        <w:rPr>
          <w:sz w:val="26"/>
          <w:szCs w:val="26"/>
          <w:lang w:eastAsia="en-US"/>
        </w:rPr>
        <w:t>1</w:t>
      </w:r>
      <w:r w:rsidRPr="006B26CA">
        <w:rPr>
          <w:sz w:val="26"/>
          <w:szCs w:val="26"/>
          <w:vertAlign w:val="superscript"/>
          <w:lang w:eastAsia="en-US"/>
        </w:rPr>
        <w:t>st</w:t>
      </w:r>
      <w:r w:rsidRPr="006B26CA">
        <w:rPr>
          <w:sz w:val="26"/>
          <w:szCs w:val="26"/>
          <w:lang w:eastAsia="en-US"/>
        </w:rPr>
        <w:t xml:space="preserve"> quarter 2020</w:t>
      </w:r>
      <w:r w:rsidRPr="006B26CA">
        <w:rPr>
          <w:snapToGrid w:val="0"/>
          <w:sz w:val="26"/>
          <w:szCs w:val="26"/>
        </w:rPr>
        <w:t xml:space="preserve">, and it showed a decrease </w:t>
      </w:r>
      <w:r w:rsidRPr="006B26CA">
        <w:rPr>
          <w:sz w:val="26"/>
          <w:szCs w:val="26"/>
          <w:lang w:eastAsia="en-US"/>
        </w:rPr>
        <w:t>by 7% during the 1</w:t>
      </w:r>
      <w:r w:rsidRPr="006B26CA">
        <w:rPr>
          <w:sz w:val="26"/>
          <w:szCs w:val="26"/>
          <w:vertAlign w:val="superscript"/>
          <w:lang w:eastAsia="en-US"/>
        </w:rPr>
        <w:t>st</w:t>
      </w:r>
      <w:r w:rsidRPr="006B26CA">
        <w:rPr>
          <w:sz w:val="26"/>
          <w:szCs w:val="26"/>
          <w:lang w:eastAsia="en-US"/>
        </w:rPr>
        <w:t xml:space="preserve"> quarter 2020 compared to the 4</w:t>
      </w:r>
      <w:r w:rsidRPr="006B26CA">
        <w:rPr>
          <w:sz w:val="26"/>
          <w:szCs w:val="26"/>
          <w:vertAlign w:val="superscript"/>
          <w:lang w:eastAsia="en-US"/>
        </w:rPr>
        <w:t>th</w:t>
      </w:r>
      <w:r w:rsidRPr="006B26CA">
        <w:rPr>
          <w:sz w:val="26"/>
          <w:szCs w:val="26"/>
          <w:lang w:eastAsia="en-US"/>
        </w:rPr>
        <w:t xml:space="preserve"> quarter 2019</w:t>
      </w:r>
      <w:r w:rsidRPr="006B26CA">
        <w:rPr>
          <w:snapToGrid w:val="0"/>
          <w:sz w:val="26"/>
          <w:szCs w:val="26"/>
        </w:rPr>
        <w:t>.</w:t>
      </w:r>
    </w:p>
    <w:p w:rsidR="006B26CA" w:rsidRDefault="006B26CA" w:rsidP="006B26CA">
      <w:pPr>
        <w:bidi w:val="0"/>
        <w:jc w:val="both"/>
        <w:rPr>
          <w:snapToGrid w:val="0"/>
          <w:sz w:val="26"/>
          <w:szCs w:val="26"/>
        </w:rPr>
      </w:pPr>
    </w:p>
    <w:p w:rsidR="006B26CA" w:rsidRDefault="006B26CA" w:rsidP="006B26CA">
      <w:pPr>
        <w:bidi w:val="0"/>
        <w:jc w:val="both"/>
        <w:rPr>
          <w:snapToGrid w:val="0"/>
          <w:sz w:val="26"/>
          <w:szCs w:val="26"/>
        </w:rPr>
      </w:pPr>
    </w:p>
    <w:p w:rsidR="006B26CA" w:rsidRDefault="006B26CA" w:rsidP="006B26CA">
      <w:pPr>
        <w:bidi w:val="0"/>
        <w:jc w:val="both"/>
        <w:rPr>
          <w:snapToGrid w:val="0"/>
          <w:sz w:val="26"/>
          <w:szCs w:val="26"/>
        </w:rPr>
      </w:pPr>
    </w:p>
    <w:p w:rsidR="006B26CA" w:rsidRDefault="006B26CA" w:rsidP="006B26CA">
      <w:pPr>
        <w:bidi w:val="0"/>
        <w:jc w:val="both"/>
        <w:rPr>
          <w:snapToGrid w:val="0"/>
          <w:sz w:val="26"/>
          <w:szCs w:val="26"/>
        </w:rPr>
      </w:pPr>
    </w:p>
    <w:p w:rsidR="006B26CA" w:rsidRDefault="006B26CA" w:rsidP="006B26CA">
      <w:pPr>
        <w:bidi w:val="0"/>
        <w:jc w:val="both"/>
        <w:rPr>
          <w:snapToGrid w:val="0"/>
          <w:sz w:val="26"/>
          <w:szCs w:val="26"/>
        </w:rPr>
      </w:pPr>
    </w:p>
    <w:p w:rsidR="006B26CA" w:rsidRPr="006B26CA" w:rsidRDefault="006B26CA" w:rsidP="006B26CA">
      <w:pPr>
        <w:bidi w:val="0"/>
        <w:jc w:val="both"/>
        <w:rPr>
          <w:snapToGrid w:val="0"/>
          <w:sz w:val="26"/>
          <w:szCs w:val="26"/>
        </w:rPr>
      </w:pPr>
    </w:p>
    <w:p w:rsidR="006B26CA" w:rsidRPr="004C795F" w:rsidRDefault="006B26CA" w:rsidP="006B26CA">
      <w:pPr>
        <w:bidi w:val="0"/>
        <w:jc w:val="both"/>
        <w:rPr>
          <w:snapToGrid w:val="0"/>
        </w:rPr>
      </w:pPr>
    </w:p>
    <w:p w:rsidR="001D2FFA" w:rsidRPr="004C795F" w:rsidRDefault="001D2FFA" w:rsidP="001D2FFA">
      <w:pPr>
        <w:bidi w:val="0"/>
        <w:jc w:val="both"/>
        <w:rPr>
          <w:snapToGrid w:val="0"/>
        </w:rPr>
      </w:pPr>
    </w:p>
    <w:p w:rsidR="001D2FFA" w:rsidRPr="006B26CA" w:rsidRDefault="001D2FFA" w:rsidP="001D2FFA">
      <w:pPr>
        <w:pStyle w:val="BodyTextIndent2"/>
        <w:spacing w:after="0" w:line="240" w:lineRule="atLeast"/>
        <w:ind w:left="0"/>
        <w:jc w:val="center"/>
        <w:rPr>
          <w:b/>
          <w:bCs/>
          <w:sz w:val="26"/>
          <w:szCs w:val="26"/>
        </w:rPr>
      </w:pPr>
      <w:r w:rsidRPr="006B26CA">
        <w:rPr>
          <w:b/>
          <w:bCs/>
          <w:sz w:val="26"/>
          <w:szCs w:val="26"/>
        </w:rPr>
        <w:t>GDP by quarter in Palestine at Constant Prices, 2016-2020</w:t>
      </w:r>
    </w:p>
    <w:p w:rsidR="001D2FFA" w:rsidRPr="004C795F" w:rsidRDefault="001D2FFA" w:rsidP="001D2FFA">
      <w:pPr>
        <w:tabs>
          <w:tab w:val="left" w:pos="3400"/>
        </w:tabs>
      </w:pPr>
    </w:p>
    <w:p w:rsidR="001D2FFA" w:rsidRPr="004C795F" w:rsidRDefault="001D2FFA" w:rsidP="001D2FFA">
      <w:pPr>
        <w:pStyle w:val="BodyTextIndent2"/>
        <w:jc w:val="center"/>
        <w:rPr>
          <w:b/>
          <w:bCs/>
        </w:rPr>
      </w:pPr>
      <w:r w:rsidRPr="004C795F">
        <w:rPr>
          <w:rFonts w:hint="cs"/>
          <w:b/>
          <w:bCs/>
          <w:noProof/>
          <w:rtl/>
          <w:lang w:eastAsia="en-US"/>
        </w:rPr>
        <w:drawing>
          <wp:inline distT="0" distB="0" distL="0" distR="0">
            <wp:extent cx="5610225" cy="2962275"/>
            <wp:effectExtent l="19050" t="0" r="9525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D2FFA" w:rsidRPr="004C795F" w:rsidRDefault="001D2FFA" w:rsidP="001D2FFA">
      <w:pPr>
        <w:pStyle w:val="BodyText3"/>
        <w:ind w:right="358"/>
        <w:rPr>
          <w:rFonts w:ascii="Times New Roman" w:cs="Times New Roman"/>
          <w:sz w:val="16"/>
          <w:szCs w:val="16"/>
        </w:rPr>
      </w:pPr>
    </w:p>
    <w:p w:rsidR="00D6358D" w:rsidRPr="001D2FFA" w:rsidRDefault="00D6358D" w:rsidP="001D2FFA">
      <w:pPr>
        <w:rPr>
          <w:rtl/>
        </w:rPr>
      </w:pPr>
    </w:p>
    <w:sectPr w:rsidR="00D6358D" w:rsidRPr="001D2FFA" w:rsidSect="00D6358D">
      <w:headerReference w:type="even" r:id="rId9"/>
      <w:footerReference w:type="default" r:id="rId10"/>
      <w:pgSz w:w="11906" w:h="16838" w:code="9"/>
      <w:pgMar w:top="993" w:right="1418" w:bottom="1418" w:left="1418" w:header="709" w:footer="709" w:gutter="0"/>
      <w:pgNumType w:start="5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261" w:rsidRDefault="00A56261" w:rsidP="00212081">
      <w:r>
        <w:separator/>
      </w:r>
    </w:p>
  </w:endnote>
  <w:endnote w:type="continuationSeparator" w:id="0">
    <w:p w:rsidR="00A56261" w:rsidRDefault="00A56261" w:rsidP="0021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509" w:rsidRDefault="0066506E" w:rsidP="002B0C48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261" w:rsidRDefault="00A56261" w:rsidP="00212081">
      <w:r>
        <w:separator/>
      </w:r>
    </w:p>
  </w:footnote>
  <w:footnote w:type="continuationSeparator" w:id="0">
    <w:p w:rsidR="00A56261" w:rsidRDefault="00A56261" w:rsidP="00212081">
      <w:r>
        <w:continuationSeparator/>
      </w:r>
    </w:p>
  </w:footnote>
  <w:footnote w:id="1">
    <w:p w:rsidR="006B26CA" w:rsidRDefault="006B26CA" w:rsidP="006B26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13A50">
        <w:rPr>
          <w:rFonts w:cs="Times New Roman"/>
          <w:snapToGrid w:val="0"/>
          <w:szCs w:val="20"/>
        </w:rPr>
        <w:t xml:space="preserve">The data excluded those parts of Jerusalem which were annexed </w:t>
      </w:r>
      <w:r w:rsidRPr="00E13A50">
        <w:rPr>
          <w:rFonts w:cs="Times New Roman"/>
          <w:szCs w:val="20"/>
          <w:lang w:eastAsia="en-US"/>
        </w:rPr>
        <w:t>by</w:t>
      </w:r>
      <w:r w:rsidRPr="00E13A50">
        <w:rPr>
          <w:rFonts w:cs="Times New Roman"/>
          <w:snapToGrid w:val="0"/>
          <w:szCs w:val="20"/>
        </w:rPr>
        <w:t xml:space="preserve"> Israeli Occupation </w:t>
      </w:r>
      <w:r w:rsidRPr="00E13A50">
        <w:rPr>
          <w:rFonts w:cs="Times New Roman"/>
          <w:szCs w:val="20"/>
          <w:lang w:eastAsia="en-US"/>
        </w:rPr>
        <w:t>in 1967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509" w:rsidRDefault="00A5626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2118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12081"/>
    <w:rsid w:val="00001867"/>
    <w:rsid w:val="00006590"/>
    <w:rsid w:val="00007A6D"/>
    <w:rsid w:val="00013628"/>
    <w:rsid w:val="00014AD2"/>
    <w:rsid w:val="00020C1C"/>
    <w:rsid w:val="0002273D"/>
    <w:rsid w:val="000250E7"/>
    <w:rsid w:val="00026272"/>
    <w:rsid w:val="000332C5"/>
    <w:rsid w:val="0003594B"/>
    <w:rsid w:val="00036896"/>
    <w:rsid w:val="00036EC6"/>
    <w:rsid w:val="000406FA"/>
    <w:rsid w:val="0004429E"/>
    <w:rsid w:val="00046002"/>
    <w:rsid w:val="00052826"/>
    <w:rsid w:val="00052A00"/>
    <w:rsid w:val="00052D60"/>
    <w:rsid w:val="00054BE8"/>
    <w:rsid w:val="00056A49"/>
    <w:rsid w:val="00057E4E"/>
    <w:rsid w:val="00060502"/>
    <w:rsid w:val="00061B8F"/>
    <w:rsid w:val="00061C91"/>
    <w:rsid w:val="00066C0D"/>
    <w:rsid w:val="000711DC"/>
    <w:rsid w:val="00071EE4"/>
    <w:rsid w:val="000734F6"/>
    <w:rsid w:val="000739A5"/>
    <w:rsid w:val="00074E17"/>
    <w:rsid w:val="0007646D"/>
    <w:rsid w:val="000774C7"/>
    <w:rsid w:val="00080C7B"/>
    <w:rsid w:val="00081357"/>
    <w:rsid w:val="00081BFE"/>
    <w:rsid w:val="00093AE7"/>
    <w:rsid w:val="0009640F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838"/>
    <w:rsid w:val="000C1C05"/>
    <w:rsid w:val="000C2A54"/>
    <w:rsid w:val="000C39C7"/>
    <w:rsid w:val="000C4243"/>
    <w:rsid w:val="000C5808"/>
    <w:rsid w:val="000E0CED"/>
    <w:rsid w:val="000E125A"/>
    <w:rsid w:val="000E41C8"/>
    <w:rsid w:val="000E41DC"/>
    <w:rsid w:val="000E7DBB"/>
    <w:rsid w:val="000F1803"/>
    <w:rsid w:val="000F210C"/>
    <w:rsid w:val="000F2A6E"/>
    <w:rsid w:val="000F3770"/>
    <w:rsid w:val="000F4D70"/>
    <w:rsid w:val="000F72AE"/>
    <w:rsid w:val="00101D28"/>
    <w:rsid w:val="00102933"/>
    <w:rsid w:val="00102FB8"/>
    <w:rsid w:val="00103668"/>
    <w:rsid w:val="00103B15"/>
    <w:rsid w:val="001046D7"/>
    <w:rsid w:val="00105C22"/>
    <w:rsid w:val="001065F4"/>
    <w:rsid w:val="0011005C"/>
    <w:rsid w:val="00112607"/>
    <w:rsid w:val="00114BE9"/>
    <w:rsid w:val="00114EE2"/>
    <w:rsid w:val="0011758A"/>
    <w:rsid w:val="00122146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996"/>
    <w:rsid w:val="0014239E"/>
    <w:rsid w:val="00143DBF"/>
    <w:rsid w:val="00145387"/>
    <w:rsid w:val="001519A4"/>
    <w:rsid w:val="001524E2"/>
    <w:rsid w:val="001552D9"/>
    <w:rsid w:val="00163EF0"/>
    <w:rsid w:val="001647CF"/>
    <w:rsid w:val="00167F9C"/>
    <w:rsid w:val="00172592"/>
    <w:rsid w:val="00174C52"/>
    <w:rsid w:val="0017555A"/>
    <w:rsid w:val="00175AEB"/>
    <w:rsid w:val="001767CC"/>
    <w:rsid w:val="001829AF"/>
    <w:rsid w:val="00184122"/>
    <w:rsid w:val="00184422"/>
    <w:rsid w:val="001869E0"/>
    <w:rsid w:val="00186E78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7E8D"/>
    <w:rsid w:val="001C1B4B"/>
    <w:rsid w:val="001C55C7"/>
    <w:rsid w:val="001C631A"/>
    <w:rsid w:val="001C68C7"/>
    <w:rsid w:val="001D000E"/>
    <w:rsid w:val="001D0427"/>
    <w:rsid w:val="001D0C5A"/>
    <w:rsid w:val="001D0EE9"/>
    <w:rsid w:val="001D2FFA"/>
    <w:rsid w:val="001D4B3D"/>
    <w:rsid w:val="001D4BC5"/>
    <w:rsid w:val="001D4E08"/>
    <w:rsid w:val="001D4F49"/>
    <w:rsid w:val="001D63E6"/>
    <w:rsid w:val="001D71F5"/>
    <w:rsid w:val="001D7CE5"/>
    <w:rsid w:val="001E127C"/>
    <w:rsid w:val="001E3E59"/>
    <w:rsid w:val="001E76B7"/>
    <w:rsid w:val="001F026D"/>
    <w:rsid w:val="001F4D47"/>
    <w:rsid w:val="001F4F1D"/>
    <w:rsid w:val="001F5E31"/>
    <w:rsid w:val="001F6FA8"/>
    <w:rsid w:val="001F6FF1"/>
    <w:rsid w:val="00200227"/>
    <w:rsid w:val="002011E2"/>
    <w:rsid w:val="002052E4"/>
    <w:rsid w:val="00207467"/>
    <w:rsid w:val="00207CB5"/>
    <w:rsid w:val="00210D54"/>
    <w:rsid w:val="00211A76"/>
    <w:rsid w:val="00212081"/>
    <w:rsid w:val="00213C78"/>
    <w:rsid w:val="0021433F"/>
    <w:rsid w:val="00223824"/>
    <w:rsid w:val="00224944"/>
    <w:rsid w:val="00225C3D"/>
    <w:rsid w:val="00230E8C"/>
    <w:rsid w:val="00230EA5"/>
    <w:rsid w:val="00234A09"/>
    <w:rsid w:val="0024048B"/>
    <w:rsid w:val="00240F16"/>
    <w:rsid w:val="00242473"/>
    <w:rsid w:val="00242BA3"/>
    <w:rsid w:val="0024458B"/>
    <w:rsid w:val="00247487"/>
    <w:rsid w:val="00252F80"/>
    <w:rsid w:val="00257518"/>
    <w:rsid w:val="0026154C"/>
    <w:rsid w:val="002661BA"/>
    <w:rsid w:val="00266298"/>
    <w:rsid w:val="0026663C"/>
    <w:rsid w:val="00267446"/>
    <w:rsid w:val="002678D9"/>
    <w:rsid w:val="00272045"/>
    <w:rsid w:val="00274848"/>
    <w:rsid w:val="00276893"/>
    <w:rsid w:val="00276970"/>
    <w:rsid w:val="00280939"/>
    <w:rsid w:val="00281E6A"/>
    <w:rsid w:val="00287536"/>
    <w:rsid w:val="00291076"/>
    <w:rsid w:val="00291231"/>
    <w:rsid w:val="0029292A"/>
    <w:rsid w:val="0029304A"/>
    <w:rsid w:val="0029597F"/>
    <w:rsid w:val="002A3C77"/>
    <w:rsid w:val="002A4133"/>
    <w:rsid w:val="002A6211"/>
    <w:rsid w:val="002B0BA9"/>
    <w:rsid w:val="002B0C48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E2B34"/>
    <w:rsid w:val="002E77FB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43EA"/>
    <w:rsid w:val="00316988"/>
    <w:rsid w:val="003178C2"/>
    <w:rsid w:val="0031796B"/>
    <w:rsid w:val="00317C13"/>
    <w:rsid w:val="00324223"/>
    <w:rsid w:val="00326E9B"/>
    <w:rsid w:val="003277EA"/>
    <w:rsid w:val="0033206D"/>
    <w:rsid w:val="003331AE"/>
    <w:rsid w:val="003341C4"/>
    <w:rsid w:val="0034154C"/>
    <w:rsid w:val="0034248C"/>
    <w:rsid w:val="0034288D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81FB5"/>
    <w:rsid w:val="0038349E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693C"/>
    <w:rsid w:val="003C4045"/>
    <w:rsid w:val="003C6BF7"/>
    <w:rsid w:val="003C6D63"/>
    <w:rsid w:val="003C6FEC"/>
    <w:rsid w:val="003C7F85"/>
    <w:rsid w:val="003D34FF"/>
    <w:rsid w:val="003D4196"/>
    <w:rsid w:val="003D4277"/>
    <w:rsid w:val="003D42FA"/>
    <w:rsid w:val="003D5BDE"/>
    <w:rsid w:val="003D6E51"/>
    <w:rsid w:val="003E339A"/>
    <w:rsid w:val="003F597D"/>
    <w:rsid w:val="003F6016"/>
    <w:rsid w:val="00400208"/>
    <w:rsid w:val="00401BC6"/>
    <w:rsid w:val="00401C82"/>
    <w:rsid w:val="004035A4"/>
    <w:rsid w:val="00404C65"/>
    <w:rsid w:val="00414BAF"/>
    <w:rsid w:val="00415920"/>
    <w:rsid w:val="004175C7"/>
    <w:rsid w:val="0042024D"/>
    <w:rsid w:val="00420BD3"/>
    <w:rsid w:val="00420CB4"/>
    <w:rsid w:val="00422047"/>
    <w:rsid w:val="004256DC"/>
    <w:rsid w:val="00425C0A"/>
    <w:rsid w:val="0042654C"/>
    <w:rsid w:val="00427BC1"/>
    <w:rsid w:val="00430DBA"/>
    <w:rsid w:val="00442A7E"/>
    <w:rsid w:val="0044325F"/>
    <w:rsid w:val="00443E01"/>
    <w:rsid w:val="00445EC7"/>
    <w:rsid w:val="004462D4"/>
    <w:rsid w:val="00446F80"/>
    <w:rsid w:val="004502F0"/>
    <w:rsid w:val="004511AB"/>
    <w:rsid w:val="00453162"/>
    <w:rsid w:val="00455168"/>
    <w:rsid w:val="004561E8"/>
    <w:rsid w:val="0045703B"/>
    <w:rsid w:val="004572AA"/>
    <w:rsid w:val="00462D73"/>
    <w:rsid w:val="0046743D"/>
    <w:rsid w:val="00470C4B"/>
    <w:rsid w:val="00472900"/>
    <w:rsid w:val="00473222"/>
    <w:rsid w:val="00473874"/>
    <w:rsid w:val="00481872"/>
    <w:rsid w:val="0048366F"/>
    <w:rsid w:val="00486DAA"/>
    <w:rsid w:val="0049202F"/>
    <w:rsid w:val="00492679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238C"/>
    <w:rsid w:val="004D7322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6321"/>
    <w:rsid w:val="005025D1"/>
    <w:rsid w:val="005026B3"/>
    <w:rsid w:val="00504322"/>
    <w:rsid w:val="005060F4"/>
    <w:rsid w:val="00511A29"/>
    <w:rsid w:val="005172DB"/>
    <w:rsid w:val="00527B47"/>
    <w:rsid w:val="00531850"/>
    <w:rsid w:val="00536A5D"/>
    <w:rsid w:val="00540249"/>
    <w:rsid w:val="005408E3"/>
    <w:rsid w:val="0054282F"/>
    <w:rsid w:val="00542E33"/>
    <w:rsid w:val="00546B66"/>
    <w:rsid w:val="005528E7"/>
    <w:rsid w:val="00553BCC"/>
    <w:rsid w:val="0055451E"/>
    <w:rsid w:val="00555072"/>
    <w:rsid w:val="005554A0"/>
    <w:rsid w:val="00555B8A"/>
    <w:rsid w:val="00557268"/>
    <w:rsid w:val="00563F11"/>
    <w:rsid w:val="00564A0E"/>
    <w:rsid w:val="0056752B"/>
    <w:rsid w:val="00572CAB"/>
    <w:rsid w:val="00575F9A"/>
    <w:rsid w:val="00581E9E"/>
    <w:rsid w:val="005862BA"/>
    <w:rsid w:val="00592164"/>
    <w:rsid w:val="0059277F"/>
    <w:rsid w:val="005927BD"/>
    <w:rsid w:val="00593BB2"/>
    <w:rsid w:val="00594696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75BA"/>
    <w:rsid w:val="005C764D"/>
    <w:rsid w:val="005C7B0F"/>
    <w:rsid w:val="005D2E4E"/>
    <w:rsid w:val="005D4CDA"/>
    <w:rsid w:val="005D52DE"/>
    <w:rsid w:val="005D65F1"/>
    <w:rsid w:val="005D74D9"/>
    <w:rsid w:val="005E4118"/>
    <w:rsid w:val="005E472C"/>
    <w:rsid w:val="005F271A"/>
    <w:rsid w:val="005F2C1A"/>
    <w:rsid w:val="005F43A9"/>
    <w:rsid w:val="005F5D61"/>
    <w:rsid w:val="005F6D3F"/>
    <w:rsid w:val="005F6EF6"/>
    <w:rsid w:val="005F7E98"/>
    <w:rsid w:val="0060124D"/>
    <w:rsid w:val="0060392C"/>
    <w:rsid w:val="00610E1E"/>
    <w:rsid w:val="00612A49"/>
    <w:rsid w:val="0061373E"/>
    <w:rsid w:val="00616163"/>
    <w:rsid w:val="006206B0"/>
    <w:rsid w:val="0062119F"/>
    <w:rsid w:val="00621F94"/>
    <w:rsid w:val="006241AE"/>
    <w:rsid w:val="006271E2"/>
    <w:rsid w:val="006306B4"/>
    <w:rsid w:val="00632D47"/>
    <w:rsid w:val="00635017"/>
    <w:rsid w:val="00635646"/>
    <w:rsid w:val="00640385"/>
    <w:rsid w:val="00641BC0"/>
    <w:rsid w:val="00643145"/>
    <w:rsid w:val="0064315E"/>
    <w:rsid w:val="0064495F"/>
    <w:rsid w:val="00645B0D"/>
    <w:rsid w:val="00645FEC"/>
    <w:rsid w:val="00647600"/>
    <w:rsid w:val="00653628"/>
    <w:rsid w:val="00653759"/>
    <w:rsid w:val="00654010"/>
    <w:rsid w:val="00655246"/>
    <w:rsid w:val="00661DA0"/>
    <w:rsid w:val="0066506E"/>
    <w:rsid w:val="00666D38"/>
    <w:rsid w:val="0067012B"/>
    <w:rsid w:val="0067331E"/>
    <w:rsid w:val="00674995"/>
    <w:rsid w:val="00677D47"/>
    <w:rsid w:val="00680D85"/>
    <w:rsid w:val="0068197A"/>
    <w:rsid w:val="006831F8"/>
    <w:rsid w:val="006873D8"/>
    <w:rsid w:val="006905E2"/>
    <w:rsid w:val="00690BE7"/>
    <w:rsid w:val="006930CD"/>
    <w:rsid w:val="00693448"/>
    <w:rsid w:val="006959AF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6CA"/>
    <w:rsid w:val="006B2C9D"/>
    <w:rsid w:val="006B3AE4"/>
    <w:rsid w:val="006B50E9"/>
    <w:rsid w:val="006B737F"/>
    <w:rsid w:val="006C1069"/>
    <w:rsid w:val="006D0F11"/>
    <w:rsid w:val="006D73C1"/>
    <w:rsid w:val="006E20FB"/>
    <w:rsid w:val="006F2D8D"/>
    <w:rsid w:val="007003D2"/>
    <w:rsid w:val="00701459"/>
    <w:rsid w:val="00703495"/>
    <w:rsid w:val="00703C4D"/>
    <w:rsid w:val="007057F6"/>
    <w:rsid w:val="00705E8F"/>
    <w:rsid w:val="007070D7"/>
    <w:rsid w:val="0071280D"/>
    <w:rsid w:val="00712B0F"/>
    <w:rsid w:val="00714856"/>
    <w:rsid w:val="007150F2"/>
    <w:rsid w:val="00724136"/>
    <w:rsid w:val="0072430D"/>
    <w:rsid w:val="007253A4"/>
    <w:rsid w:val="007309C8"/>
    <w:rsid w:val="00730D9E"/>
    <w:rsid w:val="00732929"/>
    <w:rsid w:val="00732E40"/>
    <w:rsid w:val="00734D56"/>
    <w:rsid w:val="00735913"/>
    <w:rsid w:val="007359BB"/>
    <w:rsid w:val="007365EA"/>
    <w:rsid w:val="00740A8F"/>
    <w:rsid w:val="00741430"/>
    <w:rsid w:val="0074143D"/>
    <w:rsid w:val="00750831"/>
    <w:rsid w:val="00751F2C"/>
    <w:rsid w:val="00752A66"/>
    <w:rsid w:val="0076080B"/>
    <w:rsid w:val="00760E04"/>
    <w:rsid w:val="00762B98"/>
    <w:rsid w:val="00762E92"/>
    <w:rsid w:val="00765C02"/>
    <w:rsid w:val="007667AB"/>
    <w:rsid w:val="00767D78"/>
    <w:rsid w:val="00770F5B"/>
    <w:rsid w:val="00772AE3"/>
    <w:rsid w:val="00772DCF"/>
    <w:rsid w:val="00773E53"/>
    <w:rsid w:val="00775FB8"/>
    <w:rsid w:val="00777B65"/>
    <w:rsid w:val="00783BAF"/>
    <w:rsid w:val="00783DF8"/>
    <w:rsid w:val="0078716D"/>
    <w:rsid w:val="00792833"/>
    <w:rsid w:val="00793938"/>
    <w:rsid w:val="00794224"/>
    <w:rsid w:val="007A0FAE"/>
    <w:rsid w:val="007A57CB"/>
    <w:rsid w:val="007A599D"/>
    <w:rsid w:val="007B0EBE"/>
    <w:rsid w:val="007B177B"/>
    <w:rsid w:val="007B37CC"/>
    <w:rsid w:val="007B3999"/>
    <w:rsid w:val="007B440C"/>
    <w:rsid w:val="007C02F9"/>
    <w:rsid w:val="007C44A3"/>
    <w:rsid w:val="007C5E9B"/>
    <w:rsid w:val="007D0E0D"/>
    <w:rsid w:val="007D1625"/>
    <w:rsid w:val="007D17BF"/>
    <w:rsid w:val="007D18C8"/>
    <w:rsid w:val="007D26AE"/>
    <w:rsid w:val="007D48FF"/>
    <w:rsid w:val="007D49FD"/>
    <w:rsid w:val="007D6D41"/>
    <w:rsid w:val="007E0B6D"/>
    <w:rsid w:val="007E6831"/>
    <w:rsid w:val="007F0912"/>
    <w:rsid w:val="007F13BF"/>
    <w:rsid w:val="007F4678"/>
    <w:rsid w:val="007F4911"/>
    <w:rsid w:val="008042EE"/>
    <w:rsid w:val="00804A1A"/>
    <w:rsid w:val="0080675F"/>
    <w:rsid w:val="0081110A"/>
    <w:rsid w:val="0081301D"/>
    <w:rsid w:val="008131B8"/>
    <w:rsid w:val="00815F8C"/>
    <w:rsid w:val="00816D74"/>
    <w:rsid w:val="00817370"/>
    <w:rsid w:val="00820218"/>
    <w:rsid w:val="00821E23"/>
    <w:rsid w:val="00823C78"/>
    <w:rsid w:val="00824475"/>
    <w:rsid w:val="00825C76"/>
    <w:rsid w:val="0082700B"/>
    <w:rsid w:val="00830BFC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B8A"/>
    <w:rsid w:val="0085294E"/>
    <w:rsid w:val="00857E8A"/>
    <w:rsid w:val="008606DC"/>
    <w:rsid w:val="008607B8"/>
    <w:rsid w:val="008671BE"/>
    <w:rsid w:val="00877D17"/>
    <w:rsid w:val="00890620"/>
    <w:rsid w:val="00891282"/>
    <w:rsid w:val="00893F7B"/>
    <w:rsid w:val="00896C97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5C7D"/>
    <w:rsid w:val="008B697B"/>
    <w:rsid w:val="008C0A3C"/>
    <w:rsid w:val="008C2C51"/>
    <w:rsid w:val="008C59A3"/>
    <w:rsid w:val="008C5AFB"/>
    <w:rsid w:val="008D0334"/>
    <w:rsid w:val="008D0740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76EB"/>
    <w:rsid w:val="008F7737"/>
    <w:rsid w:val="00900332"/>
    <w:rsid w:val="00900388"/>
    <w:rsid w:val="00902EDE"/>
    <w:rsid w:val="0090366C"/>
    <w:rsid w:val="0090491D"/>
    <w:rsid w:val="00905544"/>
    <w:rsid w:val="00906D6C"/>
    <w:rsid w:val="00916080"/>
    <w:rsid w:val="00920E55"/>
    <w:rsid w:val="0092315C"/>
    <w:rsid w:val="009329D6"/>
    <w:rsid w:val="0093649F"/>
    <w:rsid w:val="00937032"/>
    <w:rsid w:val="0093776D"/>
    <w:rsid w:val="00941645"/>
    <w:rsid w:val="00941F1F"/>
    <w:rsid w:val="009431F0"/>
    <w:rsid w:val="009443F8"/>
    <w:rsid w:val="00945537"/>
    <w:rsid w:val="00945D3B"/>
    <w:rsid w:val="00946CCC"/>
    <w:rsid w:val="00951B77"/>
    <w:rsid w:val="009559B1"/>
    <w:rsid w:val="00955CDE"/>
    <w:rsid w:val="00957D07"/>
    <w:rsid w:val="009605F1"/>
    <w:rsid w:val="00961657"/>
    <w:rsid w:val="00961E7C"/>
    <w:rsid w:val="00962A92"/>
    <w:rsid w:val="00963493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9052E"/>
    <w:rsid w:val="0099074B"/>
    <w:rsid w:val="009907F9"/>
    <w:rsid w:val="00992203"/>
    <w:rsid w:val="009922FF"/>
    <w:rsid w:val="00992B0A"/>
    <w:rsid w:val="00995DEE"/>
    <w:rsid w:val="009962D7"/>
    <w:rsid w:val="009A13E3"/>
    <w:rsid w:val="009A480D"/>
    <w:rsid w:val="009A50B3"/>
    <w:rsid w:val="009B009C"/>
    <w:rsid w:val="009B0F07"/>
    <w:rsid w:val="009B1109"/>
    <w:rsid w:val="009B2126"/>
    <w:rsid w:val="009B6247"/>
    <w:rsid w:val="009B697D"/>
    <w:rsid w:val="009C21D0"/>
    <w:rsid w:val="009C2658"/>
    <w:rsid w:val="009C28CC"/>
    <w:rsid w:val="009C374D"/>
    <w:rsid w:val="009C725E"/>
    <w:rsid w:val="009D5760"/>
    <w:rsid w:val="009D5E11"/>
    <w:rsid w:val="009D5F63"/>
    <w:rsid w:val="009D6AC2"/>
    <w:rsid w:val="009E2E14"/>
    <w:rsid w:val="009E7BCB"/>
    <w:rsid w:val="009F060D"/>
    <w:rsid w:val="009F1566"/>
    <w:rsid w:val="009F1729"/>
    <w:rsid w:val="009F2297"/>
    <w:rsid w:val="009F31EF"/>
    <w:rsid w:val="009F375A"/>
    <w:rsid w:val="009F5EEB"/>
    <w:rsid w:val="009F601C"/>
    <w:rsid w:val="009F63A5"/>
    <w:rsid w:val="009F6C28"/>
    <w:rsid w:val="009F6C3E"/>
    <w:rsid w:val="00A013ED"/>
    <w:rsid w:val="00A0485F"/>
    <w:rsid w:val="00A06DB9"/>
    <w:rsid w:val="00A07FB7"/>
    <w:rsid w:val="00A1665F"/>
    <w:rsid w:val="00A20BD9"/>
    <w:rsid w:val="00A213C7"/>
    <w:rsid w:val="00A21FD8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47D14"/>
    <w:rsid w:val="00A50169"/>
    <w:rsid w:val="00A512EE"/>
    <w:rsid w:val="00A51E85"/>
    <w:rsid w:val="00A56261"/>
    <w:rsid w:val="00A60197"/>
    <w:rsid w:val="00A60484"/>
    <w:rsid w:val="00A70DD7"/>
    <w:rsid w:val="00A730CB"/>
    <w:rsid w:val="00A731FD"/>
    <w:rsid w:val="00A73FDD"/>
    <w:rsid w:val="00A7650D"/>
    <w:rsid w:val="00A77894"/>
    <w:rsid w:val="00A800AD"/>
    <w:rsid w:val="00A80D15"/>
    <w:rsid w:val="00A81E31"/>
    <w:rsid w:val="00A86BA0"/>
    <w:rsid w:val="00A915AF"/>
    <w:rsid w:val="00A917BE"/>
    <w:rsid w:val="00A922F2"/>
    <w:rsid w:val="00A92864"/>
    <w:rsid w:val="00A9441B"/>
    <w:rsid w:val="00A95279"/>
    <w:rsid w:val="00A972D4"/>
    <w:rsid w:val="00A97C88"/>
    <w:rsid w:val="00AA0770"/>
    <w:rsid w:val="00AA43D0"/>
    <w:rsid w:val="00AB0182"/>
    <w:rsid w:val="00AB028C"/>
    <w:rsid w:val="00AB09CF"/>
    <w:rsid w:val="00AB1EA0"/>
    <w:rsid w:val="00AB4E32"/>
    <w:rsid w:val="00AB5122"/>
    <w:rsid w:val="00AB573A"/>
    <w:rsid w:val="00AB5DBA"/>
    <w:rsid w:val="00AB77E7"/>
    <w:rsid w:val="00AC08D2"/>
    <w:rsid w:val="00AC0BFB"/>
    <w:rsid w:val="00AC16D7"/>
    <w:rsid w:val="00AC2538"/>
    <w:rsid w:val="00AC45BA"/>
    <w:rsid w:val="00AC601C"/>
    <w:rsid w:val="00AD0D01"/>
    <w:rsid w:val="00AD1853"/>
    <w:rsid w:val="00AD652F"/>
    <w:rsid w:val="00AD73D2"/>
    <w:rsid w:val="00AD7DD6"/>
    <w:rsid w:val="00AE302E"/>
    <w:rsid w:val="00AE3E94"/>
    <w:rsid w:val="00AE531D"/>
    <w:rsid w:val="00AE5C5A"/>
    <w:rsid w:val="00AE61C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207DF"/>
    <w:rsid w:val="00B22911"/>
    <w:rsid w:val="00B22E06"/>
    <w:rsid w:val="00B30432"/>
    <w:rsid w:val="00B30FBF"/>
    <w:rsid w:val="00B320BE"/>
    <w:rsid w:val="00B33195"/>
    <w:rsid w:val="00B344E4"/>
    <w:rsid w:val="00B345BC"/>
    <w:rsid w:val="00B36164"/>
    <w:rsid w:val="00B40C42"/>
    <w:rsid w:val="00B4193B"/>
    <w:rsid w:val="00B45147"/>
    <w:rsid w:val="00B46FC0"/>
    <w:rsid w:val="00B57979"/>
    <w:rsid w:val="00B60937"/>
    <w:rsid w:val="00B60EEC"/>
    <w:rsid w:val="00B63FDE"/>
    <w:rsid w:val="00B663CE"/>
    <w:rsid w:val="00B66D41"/>
    <w:rsid w:val="00B708FB"/>
    <w:rsid w:val="00B83606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A77E8"/>
    <w:rsid w:val="00BB17CC"/>
    <w:rsid w:val="00BB1865"/>
    <w:rsid w:val="00BB496E"/>
    <w:rsid w:val="00BB605A"/>
    <w:rsid w:val="00BB7AA1"/>
    <w:rsid w:val="00BC096F"/>
    <w:rsid w:val="00BC129E"/>
    <w:rsid w:val="00BC29F7"/>
    <w:rsid w:val="00BC6060"/>
    <w:rsid w:val="00BD200A"/>
    <w:rsid w:val="00BD29BA"/>
    <w:rsid w:val="00BD52C7"/>
    <w:rsid w:val="00BD5660"/>
    <w:rsid w:val="00BD6A8D"/>
    <w:rsid w:val="00BD6BE4"/>
    <w:rsid w:val="00BD70DE"/>
    <w:rsid w:val="00BE5AD1"/>
    <w:rsid w:val="00BE5BFD"/>
    <w:rsid w:val="00BE755A"/>
    <w:rsid w:val="00BF100B"/>
    <w:rsid w:val="00BF4482"/>
    <w:rsid w:val="00BF51CB"/>
    <w:rsid w:val="00BF7A2C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F40"/>
    <w:rsid w:val="00C36D34"/>
    <w:rsid w:val="00C403DB"/>
    <w:rsid w:val="00C4167A"/>
    <w:rsid w:val="00C41CE9"/>
    <w:rsid w:val="00C44F78"/>
    <w:rsid w:val="00C47943"/>
    <w:rsid w:val="00C523FD"/>
    <w:rsid w:val="00C542BB"/>
    <w:rsid w:val="00C55359"/>
    <w:rsid w:val="00C55F90"/>
    <w:rsid w:val="00C57059"/>
    <w:rsid w:val="00C603DE"/>
    <w:rsid w:val="00C60D49"/>
    <w:rsid w:val="00C67894"/>
    <w:rsid w:val="00C704C6"/>
    <w:rsid w:val="00C70DB3"/>
    <w:rsid w:val="00C73D3D"/>
    <w:rsid w:val="00C752F0"/>
    <w:rsid w:val="00C77863"/>
    <w:rsid w:val="00C811F7"/>
    <w:rsid w:val="00C81BC1"/>
    <w:rsid w:val="00C83680"/>
    <w:rsid w:val="00C84DDB"/>
    <w:rsid w:val="00C909A3"/>
    <w:rsid w:val="00C92829"/>
    <w:rsid w:val="00C954DD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2ED"/>
    <w:rsid w:val="00CC7450"/>
    <w:rsid w:val="00CC7D08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CF7694"/>
    <w:rsid w:val="00D01A16"/>
    <w:rsid w:val="00D02878"/>
    <w:rsid w:val="00D05D11"/>
    <w:rsid w:val="00D065E6"/>
    <w:rsid w:val="00D0664E"/>
    <w:rsid w:val="00D06AE5"/>
    <w:rsid w:val="00D06BDA"/>
    <w:rsid w:val="00D0761B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2A5E"/>
    <w:rsid w:val="00D4417A"/>
    <w:rsid w:val="00D445D8"/>
    <w:rsid w:val="00D4471A"/>
    <w:rsid w:val="00D45A87"/>
    <w:rsid w:val="00D517CF"/>
    <w:rsid w:val="00D52833"/>
    <w:rsid w:val="00D571A0"/>
    <w:rsid w:val="00D615C0"/>
    <w:rsid w:val="00D61D31"/>
    <w:rsid w:val="00D62E8D"/>
    <w:rsid w:val="00D6358D"/>
    <w:rsid w:val="00D67B03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60E3"/>
    <w:rsid w:val="00D773BE"/>
    <w:rsid w:val="00D859CE"/>
    <w:rsid w:val="00D85B27"/>
    <w:rsid w:val="00D917F7"/>
    <w:rsid w:val="00D92FF4"/>
    <w:rsid w:val="00D9460A"/>
    <w:rsid w:val="00D94955"/>
    <w:rsid w:val="00D9559F"/>
    <w:rsid w:val="00D9632D"/>
    <w:rsid w:val="00DA0F1B"/>
    <w:rsid w:val="00DA20F7"/>
    <w:rsid w:val="00DA6E0C"/>
    <w:rsid w:val="00DA6FD5"/>
    <w:rsid w:val="00DA7095"/>
    <w:rsid w:val="00DB23AD"/>
    <w:rsid w:val="00DB4EA1"/>
    <w:rsid w:val="00DB6AF5"/>
    <w:rsid w:val="00DB6EE7"/>
    <w:rsid w:val="00DB7B82"/>
    <w:rsid w:val="00DC1465"/>
    <w:rsid w:val="00DC15AF"/>
    <w:rsid w:val="00DC626B"/>
    <w:rsid w:val="00DD0761"/>
    <w:rsid w:val="00DD2946"/>
    <w:rsid w:val="00DD6A0A"/>
    <w:rsid w:val="00DE541F"/>
    <w:rsid w:val="00DE5E8B"/>
    <w:rsid w:val="00DE63B0"/>
    <w:rsid w:val="00DE6C79"/>
    <w:rsid w:val="00DE76AB"/>
    <w:rsid w:val="00DF2525"/>
    <w:rsid w:val="00DF2E1F"/>
    <w:rsid w:val="00E03D64"/>
    <w:rsid w:val="00E04238"/>
    <w:rsid w:val="00E05EC7"/>
    <w:rsid w:val="00E125A3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EE3"/>
    <w:rsid w:val="00E32845"/>
    <w:rsid w:val="00E32CC2"/>
    <w:rsid w:val="00E34018"/>
    <w:rsid w:val="00E3408A"/>
    <w:rsid w:val="00E3520D"/>
    <w:rsid w:val="00E41013"/>
    <w:rsid w:val="00E4158E"/>
    <w:rsid w:val="00E41EDF"/>
    <w:rsid w:val="00E42CF9"/>
    <w:rsid w:val="00E460EA"/>
    <w:rsid w:val="00E46345"/>
    <w:rsid w:val="00E471F4"/>
    <w:rsid w:val="00E523BA"/>
    <w:rsid w:val="00E563FB"/>
    <w:rsid w:val="00E674C5"/>
    <w:rsid w:val="00E71C9F"/>
    <w:rsid w:val="00E73A0E"/>
    <w:rsid w:val="00E748C0"/>
    <w:rsid w:val="00E76F52"/>
    <w:rsid w:val="00E76FF1"/>
    <w:rsid w:val="00E82AB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28D"/>
    <w:rsid w:val="00EC3982"/>
    <w:rsid w:val="00EC6366"/>
    <w:rsid w:val="00ED5E67"/>
    <w:rsid w:val="00ED6EFC"/>
    <w:rsid w:val="00ED73C5"/>
    <w:rsid w:val="00ED786F"/>
    <w:rsid w:val="00EE0454"/>
    <w:rsid w:val="00EE08E7"/>
    <w:rsid w:val="00EE134A"/>
    <w:rsid w:val="00EE1C29"/>
    <w:rsid w:val="00EE420C"/>
    <w:rsid w:val="00EE7DE7"/>
    <w:rsid w:val="00EF12D9"/>
    <w:rsid w:val="00EF2BD6"/>
    <w:rsid w:val="00EF2CA1"/>
    <w:rsid w:val="00EF3030"/>
    <w:rsid w:val="00EF3AEF"/>
    <w:rsid w:val="00EF3B71"/>
    <w:rsid w:val="00EF6FCE"/>
    <w:rsid w:val="00F02BDB"/>
    <w:rsid w:val="00F05E1A"/>
    <w:rsid w:val="00F07C0C"/>
    <w:rsid w:val="00F07F8B"/>
    <w:rsid w:val="00F1070A"/>
    <w:rsid w:val="00F108DA"/>
    <w:rsid w:val="00F114C7"/>
    <w:rsid w:val="00F120BC"/>
    <w:rsid w:val="00F121D5"/>
    <w:rsid w:val="00F16C01"/>
    <w:rsid w:val="00F1771C"/>
    <w:rsid w:val="00F2100F"/>
    <w:rsid w:val="00F2435F"/>
    <w:rsid w:val="00F24946"/>
    <w:rsid w:val="00F26756"/>
    <w:rsid w:val="00F27CCB"/>
    <w:rsid w:val="00F3029F"/>
    <w:rsid w:val="00F31D0E"/>
    <w:rsid w:val="00F32A1B"/>
    <w:rsid w:val="00F360B1"/>
    <w:rsid w:val="00F41AAB"/>
    <w:rsid w:val="00F42B59"/>
    <w:rsid w:val="00F45AAE"/>
    <w:rsid w:val="00F5103A"/>
    <w:rsid w:val="00F5164B"/>
    <w:rsid w:val="00F52ABF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75D4E"/>
    <w:rsid w:val="00F8105A"/>
    <w:rsid w:val="00F81B5D"/>
    <w:rsid w:val="00F83B98"/>
    <w:rsid w:val="00F85141"/>
    <w:rsid w:val="00F8562E"/>
    <w:rsid w:val="00F87EB4"/>
    <w:rsid w:val="00F87FD6"/>
    <w:rsid w:val="00F900CE"/>
    <w:rsid w:val="00F93DE7"/>
    <w:rsid w:val="00F95ED4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478B"/>
    <w:rsid w:val="00FB667F"/>
    <w:rsid w:val="00FC2D03"/>
    <w:rsid w:val="00FC4518"/>
    <w:rsid w:val="00FC4F8D"/>
    <w:rsid w:val="00FC5987"/>
    <w:rsid w:val="00FC73ED"/>
    <w:rsid w:val="00FD4332"/>
    <w:rsid w:val="00FD644E"/>
    <w:rsid w:val="00FD7567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6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522207258237498"/>
          <c:y val="4.1278468329486687E-2"/>
          <c:w val="0.80987492345936063"/>
          <c:h val="0.77814699566920065"/>
        </c:manualLayout>
      </c:layout>
      <c:lineChart>
        <c:grouping val="stacked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2.0375185056771612E-2"/>
                  <c:y val="-7.5051760599066694E-2"/>
                </c:manualLayout>
              </c:layout>
              <c:showVal val="1"/>
            </c:dLbl>
            <c:dLbl>
              <c:idx val="16"/>
              <c:layout>
                <c:manualLayout>
                  <c:x val="0"/>
                  <c:y val="-7.717041800643093E-2"/>
                </c:manualLayout>
              </c:layout>
              <c:showVal val="1"/>
            </c:dLbl>
            <c:dLbl>
              <c:idx val="19"/>
              <c:layout>
                <c:manualLayout>
                  <c:x val="-6.7917283522572237E-3"/>
                  <c:y val="-4.8783644389393616E-2"/>
                </c:manualLayout>
              </c:layout>
              <c:showVal val="1"/>
            </c:dLbl>
            <c:delete val="1"/>
          </c:dLbls>
          <c:cat>
            <c:multiLvlStrRef>
              <c:f>Sheet1!$A$3:$B$19</c:f>
              <c:multiLvlStrCache>
                <c:ptCount val="17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</c:lvl>
              </c:multiLvlStrCache>
            </c:multiLvlStrRef>
          </c:cat>
          <c:val>
            <c:numRef>
              <c:f>Sheet1!$C$3:$C$19</c:f>
              <c:numCache>
                <c:formatCode>#,##0.0</c:formatCode>
                <c:ptCount val="17"/>
                <c:pt idx="0">
                  <c:v>3775</c:v>
                </c:pt>
                <c:pt idx="1">
                  <c:v>3859.5</c:v>
                </c:pt>
                <c:pt idx="2">
                  <c:v>3798.6</c:v>
                </c:pt>
                <c:pt idx="3">
                  <c:v>3777.8999999999996</c:v>
                </c:pt>
                <c:pt idx="4">
                  <c:v>3708</c:v>
                </c:pt>
                <c:pt idx="5">
                  <c:v>3814.8</c:v>
                </c:pt>
                <c:pt idx="6">
                  <c:v>3952.3999999999996</c:v>
                </c:pt>
                <c:pt idx="7">
                  <c:v>3951.7</c:v>
                </c:pt>
                <c:pt idx="8">
                  <c:v>3799.6000000000004</c:v>
                </c:pt>
                <c:pt idx="9">
                  <c:v>3788.1000000000004</c:v>
                </c:pt>
                <c:pt idx="10">
                  <c:v>3938.8</c:v>
                </c:pt>
                <c:pt idx="11">
                  <c:v>4089.7</c:v>
                </c:pt>
                <c:pt idx="12">
                  <c:v>3956.1</c:v>
                </c:pt>
                <c:pt idx="13">
                  <c:v>3876.6000000000004</c:v>
                </c:pt>
                <c:pt idx="14">
                  <c:v>3915.3</c:v>
                </c:pt>
                <c:pt idx="15">
                  <c:v>4016.4</c:v>
                </c:pt>
                <c:pt idx="16">
                  <c:v>3820.4</c:v>
                </c:pt>
              </c:numCache>
            </c:numRef>
          </c:val>
        </c:ser>
        <c:marker val="1"/>
        <c:axId val="224200576"/>
        <c:axId val="224202112"/>
      </c:lineChart>
      <c:catAx>
        <c:axId val="2242005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224202112"/>
        <c:crosses val="autoZero"/>
        <c:auto val="1"/>
        <c:lblAlgn val="ctr"/>
        <c:lblOffset val="100"/>
      </c:catAx>
      <c:valAx>
        <c:axId val="224202112"/>
        <c:scaling>
          <c:orientation val="minMax"/>
          <c:max val="7000"/>
          <c:min val="0"/>
        </c:scaling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</c:title>
        <c:numFmt formatCode="#,##0" sourceLinked="0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224200576"/>
        <c:crossesAt val="1"/>
        <c:crossBetween val="between"/>
        <c:majorUnit val="1000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0B3BA-2EC4-4333-95F9-C25DC32A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loays</cp:lastModifiedBy>
  <cp:revision>22</cp:revision>
  <cp:lastPrinted>2017-09-25T08:47:00Z</cp:lastPrinted>
  <dcterms:created xsi:type="dcterms:W3CDTF">2017-09-25T08:55:00Z</dcterms:created>
  <dcterms:modified xsi:type="dcterms:W3CDTF">2020-06-25T12:50:00Z</dcterms:modified>
</cp:coreProperties>
</file>