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6DF" w:rsidRDefault="00FB76DF" w:rsidP="00671E95">
      <w:pPr>
        <w:pStyle w:val="Heading1"/>
        <w:bidi w:val="0"/>
        <w:jc w:val="center"/>
        <w:rPr>
          <w:color w:val="000000"/>
          <w:sz w:val="28"/>
          <w:szCs w:val="28"/>
        </w:rPr>
      </w:pPr>
    </w:p>
    <w:p w:rsidR="00671E95" w:rsidRPr="00FB76DF" w:rsidRDefault="00671E95" w:rsidP="00FB76DF">
      <w:pPr>
        <w:pStyle w:val="Heading1"/>
        <w:bidi w:val="0"/>
        <w:jc w:val="center"/>
        <w:rPr>
          <w:sz w:val="32"/>
          <w:szCs w:val="32"/>
        </w:rPr>
      </w:pPr>
      <w:r w:rsidRPr="00FB76DF">
        <w:rPr>
          <w:color w:val="000000"/>
          <w:sz w:val="32"/>
          <w:szCs w:val="32"/>
        </w:rPr>
        <w:t>Palestinian Central Bureau of Statistics (PCBS)</w:t>
      </w:r>
    </w:p>
    <w:p w:rsidR="00671E95" w:rsidRPr="00FB76DF" w:rsidRDefault="00671E95" w:rsidP="00671E95">
      <w:pPr>
        <w:bidi w:val="0"/>
        <w:jc w:val="center"/>
        <w:rPr>
          <w:rFonts w:eastAsiaTheme="minorHAnsi"/>
          <w:sz w:val="16"/>
          <w:szCs w:val="16"/>
          <w:rtl/>
        </w:rPr>
      </w:pPr>
      <w:r w:rsidRPr="00FB76DF">
        <w:rPr>
          <w:sz w:val="16"/>
          <w:szCs w:val="16"/>
        </w:rPr>
        <w:t> </w:t>
      </w:r>
    </w:p>
    <w:p w:rsidR="00671E95" w:rsidRPr="00FB76DF" w:rsidRDefault="00671E95" w:rsidP="00FB76DF">
      <w:pPr>
        <w:bidi w:val="0"/>
        <w:jc w:val="center"/>
        <w:rPr>
          <w:b/>
          <w:bCs/>
          <w:sz w:val="28"/>
          <w:szCs w:val="28"/>
        </w:rPr>
      </w:pPr>
      <w:r w:rsidRPr="00FB76DF">
        <w:rPr>
          <w:b/>
          <w:bCs/>
          <w:sz w:val="28"/>
          <w:szCs w:val="28"/>
        </w:rPr>
        <w:t>Industrial Production Index (IPI) in Palestine During 2018&amp;</w:t>
      </w:r>
      <w:r w:rsidR="00FB76DF">
        <w:rPr>
          <w:b/>
          <w:bCs/>
          <w:sz w:val="28"/>
          <w:szCs w:val="28"/>
        </w:rPr>
        <w:t xml:space="preserve"> </w:t>
      </w:r>
      <w:r w:rsidRPr="00FB76DF">
        <w:rPr>
          <w:b/>
          <w:bCs/>
          <w:sz w:val="28"/>
          <w:szCs w:val="28"/>
        </w:rPr>
        <w:t>During, 12/2018</w:t>
      </w:r>
    </w:p>
    <w:p w:rsidR="00671E95" w:rsidRPr="00FB76DF" w:rsidRDefault="00671E95" w:rsidP="00671E95">
      <w:pPr>
        <w:bidi w:val="0"/>
        <w:jc w:val="center"/>
        <w:rPr>
          <w:b/>
          <w:bCs/>
          <w:sz w:val="28"/>
          <w:szCs w:val="28"/>
        </w:rPr>
      </w:pPr>
      <w:r w:rsidRPr="00FB76DF">
        <w:rPr>
          <w:b/>
          <w:bCs/>
          <w:sz w:val="28"/>
          <w:szCs w:val="28"/>
        </w:rPr>
        <w:t> </w:t>
      </w:r>
    </w:p>
    <w:p w:rsidR="00FB76DF" w:rsidRPr="008969AA" w:rsidRDefault="00FB76DF" w:rsidP="00671E95">
      <w:pPr>
        <w:jc w:val="right"/>
        <w:outlineLvl w:val="0"/>
        <w:rPr>
          <w:rFonts w:asciiTheme="majorBidi" w:hAnsiTheme="majorBidi" w:cstheme="majorBidi"/>
          <w:b/>
          <w:bCs/>
          <w:sz w:val="16"/>
          <w:szCs w:val="16"/>
        </w:rPr>
      </w:pPr>
    </w:p>
    <w:p w:rsidR="008021F0" w:rsidRPr="00FB76DF" w:rsidRDefault="008021F0" w:rsidP="00671E95">
      <w:pPr>
        <w:jc w:val="right"/>
        <w:outlineLvl w:val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FB76DF">
        <w:rPr>
          <w:rFonts w:asciiTheme="majorBidi" w:hAnsiTheme="majorBidi" w:cstheme="majorBidi"/>
          <w:b/>
          <w:bCs/>
          <w:sz w:val="28"/>
          <w:szCs w:val="28"/>
        </w:rPr>
        <w:t>Decrease in the Industrial Production Index (IPI) in Palestine</w:t>
      </w:r>
      <w:r w:rsidRPr="00FB76DF">
        <w:rPr>
          <w:rFonts w:asciiTheme="majorBidi" w:hAnsiTheme="majorBidi" w:cstheme="majorBidi"/>
          <w:b/>
          <w:bCs/>
          <w:kern w:val="36"/>
          <w:sz w:val="28"/>
          <w:szCs w:val="28"/>
        </w:rPr>
        <w:t xml:space="preserve"> </w:t>
      </w:r>
      <w:r w:rsidRPr="00FB76DF">
        <w:rPr>
          <w:rFonts w:asciiTheme="majorBidi" w:hAnsiTheme="majorBidi" w:cstheme="majorBidi"/>
          <w:b/>
          <w:bCs/>
          <w:sz w:val="28"/>
          <w:szCs w:val="28"/>
        </w:rPr>
        <w:t xml:space="preserve">during </w:t>
      </w:r>
      <w:r w:rsidRPr="00FB76DF">
        <w:rPr>
          <w:rFonts w:asciiTheme="majorBidi" w:hAnsiTheme="majorBidi" w:cstheme="majorBidi"/>
          <w:b/>
          <w:bCs/>
          <w:kern w:val="36"/>
          <w:sz w:val="28"/>
          <w:szCs w:val="28"/>
        </w:rPr>
        <w:t>2018</w:t>
      </w:r>
    </w:p>
    <w:p w:rsidR="00671E95" w:rsidRPr="00FB76DF" w:rsidRDefault="00671E95" w:rsidP="008021F0">
      <w:pPr>
        <w:bidi w:val="0"/>
        <w:spacing w:line="360" w:lineRule="auto"/>
        <w:jc w:val="both"/>
        <w:outlineLvl w:val="0"/>
        <w:rPr>
          <w:sz w:val="16"/>
          <w:szCs w:val="16"/>
        </w:rPr>
      </w:pPr>
    </w:p>
    <w:p w:rsidR="008021F0" w:rsidRDefault="008021F0" w:rsidP="00FB76DF">
      <w:pPr>
        <w:bidi w:val="0"/>
        <w:spacing w:line="360" w:lineRule="auto"/>
        <w:jc w:val="both"/>
        <w:outlineLvl w:val="0"/>
      </w:pPr>
      <w:r w:rsidRPr="008F54BB">
        <w:t xml:space="preserve">The </w:t>
      </w:r>
      <w:r w:rsidRPr="003D6BDE">
        <w:rPr>
          <w:b/>
          <w:bCs/>
        </w:rPr>
        <w:t xml:space="preserve">overall IPI in Palestine reached </w:t>
      </w:r>
      <w:r>
        <w:rPr>
          <w:b/>
          <w:bCs/>
        </w:rPr>
        <w:t>103.59</w:t>
      </w:r>
      <w:r w:rsidRPr="008F54BB">
        <w:t xml:space="preserve"> during the year of 201</w:t>
      </w:r>
      <w:r>
        <w:t>8 with a</w:t>
      </w:r>
      <w:r w:rsidRPr="008F54BB">
        <w:t xml:space="preserve"> </w:t>
      </w:r>
      <w:r>
        <w:rPr>
          <w:b/>
          <w:bCs/>
        </w:rPr>
        <w:t>decrease</w:t>
      </w:r>
      <w:r w:rsidRPr="003D6BDE">
        <w:rPr>
          <w:b/>
          <w:bCs/>
        </w:rPr>
        <w:t xml:space="preserve"> of </w:t>
      </w:r>
      <w:r>
        <w:rPr>
          <w:b/>
          <w:bCs/>
        </w:rPr>
        <w:t>3.94</w:t>
      </w:r>
      <w:r w:rsidRPr="003D6BDE">
        <w:rPr>
          <w:b/>
          <w:bCs/>
        </w:rPr>
        <w:t>%</w:t>
      </w:r>
      <w:r w:rsidRPr="008F54BB">
        <w:t xml:space="preserve"> compared to the previous year (Base Month December 2015 = 100).</w:t>
      </w:r>
    </w:p>
    <w:p w:rsidR="00FB76DF" w:rsidRPr="00FB76DF" w:rsidRDefault="00FB76DF" w:rsidP="00FB76DF">
      <w:pPr>
        <w:bidi w:val="0"/>
        <w:spacing w:line="360" w:lineRule="auto"/>
        <w:jc w:val="both"/>
        <w:outlineLvl w:val="0"/>
        <w:rPr>
          <w:sz w:val="16"/>
          <w:szCs w:val="16"/>
        </w:rPr>
      </w:pPr>
    </w:p>
    <w:p w:rsidR="008021F0" w:rsidRPr="005576F7" w:rsidRDefault="008021F0" w:rsidP="00B84A7F">
      <w:pPr>
        <w:bidi w:val="0"/>
        <w:spacing w:line="360" w:lineRule="auto"/>
        <w:jc w:val="both"/>
        <w:outlineLvl w:val="0"/>
        <w:rPr>
          <w:rFonts w:asciiTheme="majorBidi" w:hAnsiTheme="majorBidi" w:cstheme="majorBidi"/>
          <w:rtl/>
        </w:rPr>
      </w:pPr>
      <w:r w:rsidRPr="008F54BB">
        <w:t xml:space="preserve">IPI </w:t>
      </w:r>
      <w:r>
        <w:t xml:space="preserve">for </w:t>
      </w:r>
      <w:r w:rsidR="00F261FD">
        <w:t>2018</w:t>
      </w:r>
      <w:r>
        <w:t xml:space="preserve"> decreased</w:t>
      </w:r>
      <w:r w:rsidRPr="008F54BB">
        <w:t xml:space="preserve"> due to the </w:t>
      </w:r>
      <w:r>
        <w:t>decrease</w:t>
      </w:r>
      <w:r w:rsidRPr="008F54BB">
        <w:t xml:space="preserve"> in the </w:t>
      </w:r>
      <w:r w:rsidRPr="00AD6D03">
        <w:rPr>
          <w:b/>
          <w:bCs/>
        </w:rPr>
        <w:t>activities of</w:t>
      </w:r>
      <w:r w:rsidRPr="005576F7">
        <w:rPr>
          <w:rFonts w:asciiTheme="majorBidi" w:hAnsiTheme="majorBidi" w:cstheme="majorBidi"/>
          <w:b/>
          <w:bCs/>
        </w:rPr>
        <w:t xml:space="preserve"> </w:t>
      </w:r>
      <w:r w:rsidRPr="008F54BB">
        <w:rPr>
          <w:b/>
          <w:bCs/>
        </w:rPr>
        <w:t>Electricity, Gas, Steam and Air Conditioning Supply</w:t>
      </w:r>
      <w:r w:rsidRPr="005576F7">
        <w:rPr>
          <w:rFonts w:asciiTheme="majorBidi" w:hAnsiTheme="majorBidi" w:cstheme="majorBidi"/>
          <w:b/>
          <w:bCs/>
        </w:rPr>
        <w:t xml:space="preserve"> </w:t>
      </w:r>
      <w:r w:rsidRPr="008F54BB">
        <w:t xml:space="preserve">by </w:t>
      </w:r>
      <w:r>
        <w:t>20.80</w:t>
      </w:r>
      <w:r w:rsidRPr="008F54BB">
        <w:t xml:space="preserve">%, and the </w:t>
      </w:r>
      <w:r w:rsidRPr="00AD6D03">
        <w:rPr>
          <w:b/>
          <w:bCs/>
        </w:rPr>
        <w:t>activities of</w:t>
      </w:r>
      <w:r w:rsidRPr="005576F7">
        <w:rPr>
          <w:rFonts w:asciiTheme="majorBidi" w:hAnsiTheme="majorBidi" w:cstheme="majorBidi"/>
          <w:b/>
          <w:bCs/>
        </w:rPr>
        <w:t xml:space="preserve"> </w:t>
      </w:r>
      <w:r w:rsidRPr="008F54BB">
        <w:rPr>
          <w:b/>
          <w:bCs/>
        </w:rPr>
        <w:t>Manufacturing Industry</w:t>
      </w:r>
      <w:r w:rsidRPr="005576F7">
        <w:rPr>
          <w:rFonts w:asciiTheme="majorBidi" w:hAnsiTheme="majorBidi" w:cstheme="majorBidi"/>
        </w:rPr>
        <w:t xml:space="preserve"> </w:t>
      </w:r>
      <w:r w:rsidRPr="008F54BB">
        <w:t xml:space="preserve">by </w:t>
      </w:r>
      <w:r>
        <w:t>3.63</w:t>
      </w:r>
      <w:r w:rsidRPr="008F54BB">
        <w:t>%</w:t>
      </w:r>
      <w:r>
        <w:t xml:space="preserve">, while </w:t>
      </w:r>
      <w:r w:rsidRPr="008F54BB">
        <w:t xml:space="preserve">the </w:t>
      </w:r>
      <w:r w:rsidRPr="00AD6D03">
        <w:rPr>
          <w:b/>
          <w:bCs/>
        </w:rPr>
        <w:t>activities of</w:t>
      </w:r>
      <w:r w:rsidRPr="005576F7">
        <w:rPr>
          <w:rFonts w:asciiTheme="majorBidi" w:hAnsiTheme="majorBidi" w:cstheme="majorBidi"/>
          <w:b/>
          <w:bCs/>
        </w:rPr>
        <w:t xml:space="preserve"> </w:t>
      </w:r>
      <w:r w:rsidRPr="008F54BB">
        <w:rPr>
          <w:b/>
          <w:bCs/>
        </w:rPr>
        <w:t>Mining and Quarrying</w:t>
      </w:r>
      <w:r w:rsidRPr="005576F7">
        <w:rPr>
          <w:rFonts w:asciiTheme="majorBidi" w:hAnsiTheme="majorBidi" w:cstheme="majorBidi"/>
        </w:rPr>
        <w:t xml:space="preserve"> </w:t>
      </w:r>
      <w:r>
        <w:t xml:space="preserve">increased </w:t>
      </w:r>
      <w:r w:rsidRPr="008F54BB">
        <w:t xml:space="preserve">by </w:t>
      </w:r>
      <w:r>
        <w:t>20.46</w:t>
      </w:r>
      <w:r w:rsidRPr="008F54BB">
        <w:t xml:space="preserve">%, </w:t>
      </w:r>
      <w:r>
        <w:t xml:space="preserve">and </w:t>
      </w:r>
      <w:r w:rsidRPr="008F54BB">
        <w:t xml:space="preserve">the </w:t>
      </w:r>
      <w:r w:rsidRPr="00AD6D03">
        <w:rPr>
          <w:b/>
          <w:bCs/>
        </w:rPr>
        <w:t>activities of</w:t>
      </w:r>
      <w:r w:rsidRPr="005576F7">
        <w:rPr>
          <w:rFonts w:asciiTheme="majorBidi" w:hAnsiTheme="majorBidi" w:cstheme="majorBidi"/>
        </w:rPr>
        <w:t xml:space="preserve"> </w:t>
      </w:r>
      <w:r w:rsidRPr="008F54BB">
        <w:rPr>
          <w:b/>
          <w:bCs/>
        </w:rPr>
        <w:t>Water Supply, Sewerage, Waste Management and</w:t>
      </w:r>
      <w:r w:rsidRPr="005576F7">
        <w:rPr>
          <w:rFonts w:asciiTheme="majorBidi" w:hAnsiTheme="majorBidi" w:cstheme="majorBidi"/>
          <w:b/>
          <w:bCs/>
        </w:rPr>
        <w:t xml:space="preserve"> Remediation</w:t>
      </w:r>
      <w:r w:rsidRPr="005576F7">
        <w:rPr>
          <w:rFonts w:asciiTheme="majorBidi" w:hAnsiTheme="majorBidi" w:cstheme="majorBidi"/>
        </w:rPr>
        <w:t xml:space="preserve"> </w:t>
      </w:r>
      <w:r w:rsidR="00F261FD">
        <w:rPr>
          <w:rFonts w:asciiTheme="majorBidi" w:hAnsiTheme="majorBidi" w:cstheme="majorBidi"/>
        </w:rPr>
        <w:t xml:space="preserve">increased </w:t>
      </w:r>
      <w:r w:rsidRPr="008F54BB">
        <w:t xml:space="preserve">by </w:t>
      </w:r>
      <w:r>
        <w:t>4.71%</w:t>
      </w:r>
      <w:r w:rsidRPr="008F54BB">
        <w:t>.</w:t>
      </w:r>
      <w:r w:rsidRPr="005576F7">
        <w:rPr>
          <w:rFonts w:asciiTheme="majorBidi" w:hAnsiTheme="majorBidi" w:cstheme="majorBidi"/>
        </w:rPr>
        <w:t xml:space="preserve"> </w:t>
      </w:r>
    </w:p>
    <w:p w:rsidR="008021F0" w:rsidRPr="00B84A7F" w:rsidRDefault="008021F0" w:rsidP="00B84A7F">
      <w:pPr>
        <w:autoSpaceDE w:val="0"/>
        <w:autoSpaceDN w:val="0"/>
        <w:bidi w:val="0"/>
        <w:adjustRightInd w:val="0"/>
        <w:rPr>
          <w:snapToGrid w:val="0"/>
          <w:sz w:val="16"/>
          <w:szCs w:val="16"/>
        </w:rPr>
      </w:pPr>
    </w:p>
    <w:p w:rsidR="008021F0" w:rsidRPr="00671E95" w:rsidRDefault="008021F0" w:rsidP="00671E95">
      <w:pPr>
        <w:autoSpaceDE w:val="0"/>
        <w:autoSpaceDN w:val="0"/>
        <w:bidi w:val="0"/>
        <w:adjustRightInd w:val="0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671E95">
        <w:rPr>
          <w:rFonts w:asciiTheme="majorBidi" w:hAnsiTheme="majorBidi" w:cstheme="majorBidi"/>
          <w:b/>
          <w:bCs/>
          <w:sz w:val="26"/>
          <w:szCs w:val="26"/>
        </w:rPr>
        <w:t>The table shows percent changes in IPI in Palestine for the period 201</w:t>
      </w:r>
      <w:r w:rsidRPr="00671E95">
        <w:rPr>
          <w:rFonts w:asciiTheme="majorBidi" w:hAnsiTheme="majorBidi" w:cstheme="majorBidi"/>
          <w:b/>
          <w:bCs/>
          <w:sz w:val="26"/>
          <w:szCs w:val="26"/>
          <w:rtl/>
        </w:rPr>
        <w:t>2</w:t>
      </w:r>
      <w:r w:rsidRPr="00671E95">
        <w:rPr>
          <w:rFonts w:asciiTheme="majorBidi" w:hAnsiTheme="majorBidi" w:cstheme="majorBidi"/>
          <w:b/>
          <w:bCs/>
          <w:sz w:val="26"/>
          <w:szCs w:val="26"/>
        </w:rPr>
        <w:t xml:space="preserve"> –201</w:t>
      </w:r>
      <w:r w:rsidR="00A61129" w:rsidRPr="00671E95">
        <w:rPr>
          <w:rFonts w:asciiTheme="majorBidi" w:hAnsiTheme="majorBidi" w:cstheme="majorBidi"/>
          <w:b/>
          <w:bCs/>
          <w:sz w:val="26"/>
          <w:szCs w:val="26"/>
        </w:rPr>
        <w:t>8</w:t>
      </w:r>
      <w:r w:rsidRPr="00671E95">
        <w:rPr>
          <w:rFonts w:asciiTheme="majorBidi" w:hAnsiTheme="majorBidi" w:cstheme="majorBidi"/>
          <w:b/>
          <w:bCs/>
          <w:sz w:val="26"/>
          <w:szCs w:val="26"/>
        </w:rPr>
        <w:t>:</w:t>
      </w:r>
    </w:p>
    <w:p w:rsidR="008021F0" w:rsidRPr="003D6BDE" w:rsidRDefault="008021F0" w:rsidP="008021F0">
      <w:pPr>
        <w:autoSpaceDE w:val="0"/>
        <w:autoSpaceDN w:val="0"/>
        <w:adjustRightInd w:val="0"/>
        <w:jc w:val="both"/>
        <w:rPr>
          <w:snapToGrid w:val="0"/>
          <w:sz w:val="10"/>
          <w:szCs w:val="10"/>
        </w:rPr>
      </w:pPr>
    </w:p>
    <w:tbl>
      <w:tblPr>
        <w:tblW w:w="4111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2410"/>
      </w:tblGrid>
      <w:tr w:rsidR="008021F0" w:rsidRPr="005576F7" w:rsidTr="00671E95">
        <w:trPr>
          <w:trHeight w:val="290"/>
          <w:jc w:val="center"/>
        </w:trPr>
        <w:tc>
          <w:tcPr>
            <w:tcW w:w="1701" w:type="dxa"/>
            <w:vAlign w:val="center"/>
          </w:tcPr>
          <w:p w:rsidR="008021F0" w:rsidRPr="008F54BB" w:rsidRDefault="008021F0" w:rsidP="00671E95">
            <w:pPr>
              <w:autoSpaceDE w:val="0"/>
              <w:autoSpaceDN w:val="0"/>
              <w:bidi w:val="0"/>
              <w:adjustRightInd w:val="0"/>
              <w:rPr>
                <w:b/>
                <w:bCs/>
                <w:snapToGrid w:val="0"/>
              </w:rPr>
            </w:pPr>
            <w:r w:rsidRPr="008F54BB">
              <w:rPr>
                <w:b/>
                <w:bCs/>
                <w:snapToGrid w:val="0"/>
              </w:rPr>
              <w:t>Year</w:t>
            </w:r>
          </w:p>
        </w:tc>
        <w:tc>
          <w:tcPr>
            <w:tcW w:w="2410" w:type="dxa"/>
            <w:vAlign w:val="center"/>
          </w:tcPr>
          <w:p w:rsidR="008021F0" w:rsidRPr="008F54BB" w:rsidRDefault="008021F0" w:rsidP="00671E95">
            <w:pPr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Percent Change %</w:t>
            </w:r>
          </w:p>
        </w:tc>
      </w:tr>
      <w:tr w:rsidR="008021F0" w:rsidRPr="005576F7" w:rsidTr="00B84A7F">
        <w:trPr>
          <w:trHeight w:val="376"/>
          <w:jc w:val="center"/>
        </w:trPr>
        <w:tc>
          <w:tcPr>
            <w:tcW w:w="1701" w:type="dxa"/>
            <w:vAlign w:val="center"/>
          </w:tcPr>
          <w:p w:rsidR="008021F0" w:rsidRPr="008F54BB" w:rsidRDefault="008021F0" w:rsidP="00671E95">
            <w:pPr>
              <w:autoSpaceDE w:val="0"/>
              <w:autoSpaceDN w:val="0"/>
              <w:bidi w:val="0"/>
              <w:adjustRightInd w:val="0"/>
              <w:rPr>
                <w:snapToGrid w:val="0"/>
              </w:rPr>
            </w:pPr>
            <w:r w:rsidRPr="008F54BB">
              <w:rPr>
                <w:snapToGrid w:val="0"/>
              </w:rPr>
              <w:t>2012</w:t>
            </w:r>
          </w:p>
        </w:tc>
        <w:tc>
          <w:tcPr>
            <w:tcW w:w="2410" w:type="dxa"/>
            <w:vAlign w:val="center"/>
          </w:tcPr>
          <w:p w:rsidR="008021F0" w:rsidRPr="008F54BB" w:rsidRDefault="008021F0" w:rsidP="00671E95">
            <w:pPr>
              <w:autoSpaceDE w:val="0"/>
              <w:autoSpaceDN w:val="0"/>
              <w:bidi w:val="0"/>
              <w:adjustRightInd w:val="0"/>
              <w:jc w:val="right"/>
              <w:rPr>
                <w:snapToGrid w:val="0"/>
              </w:rPr>
            </w:pPr>
            <w:r w:rsidRPr="008F54BB">
              <w:rPr>
                <w:snapToGrid w:val="0"/>
              </w:rPr>
              <w:t>+ 6.39</w:t>
            </w:r>
          </w:p>
        </w:tc>
      </w:tr>
      <w:tr w:rsidR="008021F0" w:rsidRPr="005576F7" w:rsidTr="00B84A7F">
        <w:trPr>
          <w:trHeight w:val="410"/>
          <w:jc w:val="center"/>
        </w:trPr>
        <w:tc>
          <w:tcPr>
            <w:tcW w:w="1701" w:type="dxa"/>
            <w:vAlign w:val="center"/>
          </w:tcPr>
          <w:p w:rsidR="008021F0" w:rsidRPr="008F54BB" w:rsidRDefault="008021F0" w:rsidP="00671E95">
            <w:pPr>
              <w:autoSpaceDE w:val="0"/>
              <w:autoSpaceDN w:val="0"/>
              <w:bidi w:val="0"/>
              <w:adjustRightInd w:val="0"/>
              <w:rPr>
                <w:snapToGrid w:val="0"/>
              </w:rPr>
            </w:pPr>
            <w:r w:rsidRPr="008F54BB">
              <w:rPr>
                <w:snapToGrid w:val="0"/>
              </w:rPr>
              <w:t>2013</w:t>
            </w:r>
          </w:p>
        </w:tc>
        <w:tc>
          <w:tcPr>
            <w:tcW w:w="2410" w:type="dxa"/>
            <w:vAlign w:val="center"/>
          </w:tcPr>
          <w:p w:rsidR="008021F0" w:rsidRPr="008F54BB" w:rsidRDefault="008021F0" w:rsidP="00671E95">
            <w:pPr>
              <w:autoSpaceDE w:val="0"/>
              <w:autoSpaceDN w:val="0"/>
              <w:bidi w:val="0"/>
              <w:adjustRightInd w:val="0"/>
              <w:jc w:val="right"/>
              <w:rPr>
                <w:snapToGrid w:val="0"/>
              </w:rPr>
            </w:pPr>
            <w:r w:rsidRPr="008F54BB">
              <w:rPr>
                <w:snapToGrid w:val="0"/>
              </w:rPr>
              <w:t>+ 7.82</w:t>
            </w:r>
          </w:p>
        </w:tc>
      </w:tr>
      <w:tr w:rsidR="008021F0" w:rsidRPr="005576F7" w:rsidTr="00B84A7F">
        <w:trPr>
          <w:trHeight w:val="416"/>
          <w:jc w:val="center"/>
        </w:trPr>
        <w:tc>
          <w:tcPr>
            <w:tcW w:w="1701" w:type="dxa"/>
            <w:vAlign w:val="center"/>
          </w:tcPr>
          <w:p w:rsidR="008021F0" w:rsidRPr="008F54BB" w:rsidRDefault="008021F0" w:rsidP="00671E95">
            <w:pPr>
              <w:autoSpaceDE w:val="0"/>
              <w:autoSpaceDN w:val="0"/>
              <w:bidi w:val="0"/>
              <w:adjustRightInd w:val="0"/>
              <w:rPr>
                <w:snapToGrid w:val="0"/>
              </w:rPr>
            </w:pPr>
            <w:r w:rsidRPr="008F54BB">
              <w:rPr>
                <w:snapToGrid w:val="0"/>
              </w:rPr>
              <w:t>2014</w:t>
            </w:r>
          </w:p>
        </w:tc>
        <w:tc>
          <w:tcPr>
            <w:tcW w:w="2410" w:type="dxa"/>
            <w:vAlign w:val="center"/>
          </w:tcPr>
          <w:p w:rsidR="008021F0" w:rsidRPr="008F54BB" w:rsidRDefault="008021F0" w:rsidP="00671E95">
            <w:pPr>
              <w:autoSpaceDE w:val="0"/>
              <w:autoSpaceDN w:val="0"/>
              <w:bidi w:val="0"/>
              <w:adjustRightInd w:val="0"/>
              <w:jc w:val="right"/>
              <w:rPr>
                <w:snapToGrid w:val="0"/>
              </w:rPr>
            </w:pPr>
            <w:r w:rsidRPr="008F54BB">
              <w:rPr>
                <w:snapToGrid w:val="0"/>
              </w:rPr>
              <w:t>- 3.92</w:t>
            </w:r>
          </w:p>
        </w:tc>
      </w:tr>
      <w:tr w:rsidR="008021F0" w:rsidRPr="005576F7" w:rsidTr="00B84A7F">
        <w:trPr>
          <w:trHeight w:val="422"/>
          <w:jc w:val="center"/>
        </w:trPr>
        <w:tc>
          <w:tcPr>
            <w:tcW w:w="1701" w:type="dxa"/>
            <w:vAlign w:val="center"/>
          </w:tcPr>
          <w:p w:rsidR="008021F0" w:rsidRPr="008F54BB" w:rsidRDefault="008021F0" w:rsidP="00671E95">
            <w:pPr>
              <w:autoSpaceDE w:val="0"/>
              <w:autoSpaceDN w:val="0"/>
              <w:bidi w:val="0"/>
              <w:adjustRightInd w:val="0"/>
              <w:rPr>
                <w:snapToGrid w:val="0"/>
              </w:rPr>
            </w:pPr>
            <w:r w:rsidRPr="008F54BB">
              <w:rPr>
                <w:snapToGrid w:val="0"/>
              </w:rPr>
              <w:t>2015</w:t>
            </w:r>
          </w:p>
        </w:tc>
        <w:tc>
          <w:tcPr>
            <w:tcW w:w="2410" w:type="dxa"/>
            <w:vAlign w:val="center"/>
          </w:tcPr>
          <w:p w:rsidR="008021F0" w:rsidRPr="008F54BB" w:rsidRDefault="008021F0" w:rsidP="00671E95">
            <w:pPr>
              <w:autoSpaceDE w:val="0"/>
              <w:autoSpaceDN w:val="0"/>
              <w:bidi w:val="0"/>
              <w:adjustRightInd w:val="0"/>
              <w:jc w:val="right"/>
              <w:rPr>
                <w:snapToGrid w:val="0"/>
              </w:rPr>
            </w:pPr>
            <w:r w:rsidRPr="008F54BB">
              <w:rPr>
                <w:snapToGrid w:val="0"/>
              </w:rPr>
              <w:t>- 3.80</w:t>
            </w:r>
          </w:p>
        </w:tc>
      </w:tr>
      <w:tr w:rsidR="008021F0" w:rsidRPr="005576F7" w:rsidTr="00B84A7F">
        <w:trPr>
          <w:trHeight w:val="414"/>
          <w:jc w:val="center"/>
        </w:trPr>
        <w:tc>
          <w:tcPr>
            <w:tcW w:w="1701" w:type="dxa"/>
            <w:vAlign w:val="center"/>
          </w:tcPr>
          <w:p w:rsidR="008021F0" w:rsidRPr="008F54BB" w:rsidRDefault="008021F0" w:rsidP="00671E95">
            <w:pPr>
              <w:autoSpaceDE w:val="0"/>
              <w:autoSpaceDN w:val="0"/>
              <w:bidi w:val="0"/>
              <w:adjustRightInd w:val="0"/>
              <w:rPr>
                <w:snapToGrid w:val="0"/>
              </w:rPr>
            </w:pPr>
            <w:r w:rsidRPr="008F54BB">
              <w:rPr>
                <w:snapToGrid w:val="0"/>
              </w:rPr>
              <w:t>2016</w:t>
            </w:r>
          </w:p>
        </w:tc>
        <w:tc>
          <w:tcPr>
            <w:tcW w:w="2410" w:type="dxa"/>
            <w:vAlign w:val="center"/>
          </w:tcPr>
          <w:p w:rsidR="008021F0" w:rsidRPr="008F54BB" w:rsidRDefault="008021F0" w:rsidP="00671E95">
            <w:pPr>
              <w:autoSpaceDE w:val="0"/>
              <w:autoSpaceDN w:val="0"/>
              <w:bidi w:val="0"/>
              <w:adjustRightInd w:val="0"/>
              <w:jc w:val="right"/>
              <w:rPr>
                <w:snapToGrid w:val="0"/>
              </w:rPr>
            </w:pPr>
            <w:r w:rsidRPr="008F54BB">
              <w:rPr>
                <w:snapToGrid w:val="0"/>
              </w:rPr>
              <w:t>+ 0.96</w:t>
            </w:r>
          </w:p>
        </w:tc>
      </w:tr>
      <w:tr w:rsidR="008021F0" w:rsidRPr="005576F7" w:rsidTr="00B84A7F">
        <w:trPr>
          <w:trHeight w:val="420"/>
          <w:jc w:val="center"/>
        </w:trPr>
        <w:tc>
          <w:tcPr>
            <w:tcW w:w="1701" w:type="dxa"/>
            <w:vAlign w:val="center"/>
          </w:tcPr>
          <w:p w:rsidR="008021F0" w:rsidRPr="008F54BB" w:rsidRDefault="008021F0" w:rsidP="00671E95">
            <w:pPr>
              <w:autoSpaceDE w:val="0"/>
              <w:autoSpaceDN w:val="0"/>
              <w:bidi w:val="0"/>
              <w:adjustRightInd w:val="0"/>
              <w:rPr>
                <w:snapToGrid w:val="0"/>
              </w:rPr>
            </w:pPr>
            <w:r w:rsidRPr="008F54BB">
              <w:rPr>
                <w:snapToGrid w:val="0"/>
              </w:rPr>
              <w:t>2017</w:t>
            </w:r>
          </w:p>
        </w:tc>
        <w:tc>
          <w:tcPr>
            <w:tcW w:w="2410" w:type="dxa"/>
            <w:vAlign w:val="center"/>
          </w:tcPr>
          <w:p w:rsidR="008021F0" w:rsidRPr="008F54BB" w:rsidRDefault="008021F0" w:rsidP="00671E95">
            <w:pPr>
              <w:autoSpaceDE w:val="0"/>
              <w:autoSpaceDN w:val="0"/>
              <w:bidi w:val="0"/>
              <w:adjustRightInd w:val="0"/>
              <w:jc w:val="right"/>
              <w:rPr>
                <w:snapToGrid w:val="0"/>
              </w:rPr>
            </w:pPr>
            <w:r w:rsidRPr="008F54BB">
              <w:rPr>
                <w:snapToGrid w:val="0"/>
              </w:rPr>
              <w:t>+ 4.11</w:t>
            </w:r>
          </w:p>
        </w:tc>
      </w:tr>
      <w:tr w:rsidR="00A61129" w:rsidRPr="005576F7" w:rsidTr="00B84A7F">
        <w:trPr>
          <w:trHeight w:val="412"/>
          <w:jc w:val="center"/>
        </w:trPr>
        <w:tc>
          <w:tcPr>
            <w:tcW w:w="1701" w:type="dxa"/>
            <w:vAlign w:val="center"/>
          </w:tcPr>
          <w:p w:rsidR="00A61129" w:rsidRPr="008F54BB" w:rsidRDefault="00A61129" w:rsidP="00671E95">
            <w:pPr>
              <w:autoSpaceDE w:val="0"/>
              <w:autoSpaceDN w:val="0"/>
              <w:bidi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2018</w:t>
            </w:r>
          </w:p>
        </w:tc>
        <w:tc>
          <w:tcPr>
            <w:tcW w:w="2410" w:type="dxa"/>
            <w:vAlign w:val="center"/>
          </w:tcPr>
          <w:p w:rsidR="00A61129" w:rsidRPr="008F54BB" w:rsidRDefault="00A61129" w:rsidP="00671E95">
            <w:pPr>
              <w:autoSpaceDE w:val="0"/>
              <w:autoSpaceDN w:val="0"/>
              <w:bidi w:val="0"/>
              <w:adjustRightInd w:val="0"/>
              <w:jc w:val="right"/>
              <w:rPr>
                <w:snapToGrid w:val="0"/>
              </w:rPr>
            </w:pPr>
            <w:r w:rsidRPr="008F54BB">
              <w:rPr>
                <w:snapToGrid w:val="0"/>
              </w:rPr>
              <w:t>- 3.</w:t>
            </w:r>
            <w:r>
              <w:rPr>
                <w:snapToGrid w:val="0"/>
              </w:rPr>
              <w:t>94</w:t>
            </w:r>
          </w:p>
        </w:tc>
      </w:tr>
      <w:tr w:rsidR="008021F0" w:rsidRPr="005576F7" w:rsidTr="00B84A7F">
        <w:trPr>
          <w:trHeight w:val="418"/>
          <w:jc w:val="center"/>
        </w:trPr>
        <w:tc>
          <w:tcPr>
            <w:tcW w:w="1701" w:type="dxa"/>
            <w:vAlign w:val="center"/>
          </w:tcPr>
          <w:p w:rsidR="008021F0" w:rsidRPr="008F54BB" w:rsidRDefault="008021F0" w:rsidP="00671E95">
            <w:pPr>
              <w:autoSpaceDE w:val="0"/>
              <w:autoSpaceDN w:val="0"/>
              <w:bidi w:val="0"/>
              <w:adjustRightInd w:val="0"/>
              <w:rPr>
                <w:b/>
                <w:bCs/>
                <w:snapToGrid w:val="0"/>
              </w:rPr>
            </w:pPr>
            <w:r w:rsidRPr="008F54BB">
              <w:rPr>
                <w:b/>
                <w:bCs/>
                <w:snapToGrid w:val="0"/>
              </w:rPr>
              <w:t>Cum.</w:t>
            </w:r>
          </w:p>
        </w:tc>
        <w:tc>
          <w:tcPr>
            <w:tcW w:w="2410" w:type="dxa"/>
            <w:vAlign w:val="center"/>
          </w:tcPr>
          <w:p w:rsidR="008021F0" w:rsidRPr="008F54BB" w:rsidRDefault="008021F0" w:rsidP="00671E95">
            <w:pPr>
              <w:autoSpaceDE w:val="0"/>
              <w:autoSpaceDN w:val="0"/>
              <w:bidi w:val="0"/>
              <w:adjustRightInd w:val="0"/>
              <w:jc w:val="right"/>
              <w:rPr>
                <w:b/>
                <w:bCs/>
                <w:snapToGrid w:val="0"/>
              </w:rPr>
            </w:pPr>
            <w:r w:rsidRPr="008F54BB">
              <w:rPr>
                <w:b/>
                <w:bCs/>
                <w:snapToGrid w:val="0"/>
              </w:rPr>
              <w:t xml:space="preserve">+ </w:t>
            </w:r>
            <w:r w:rsidR="00A61129">
              <w:rPr>
                <w:b/>
                <w:bCs/>
                <w:snapToGrid w:val="0"/>
              </w:rPr>
              <w:t>7.05</w:t>
            </w:r>
          </w:p>
        </w:tc>
      </w:tr>
    </w:tbl>
    <w:p w:rsidR="006649F0" w:rsidRPr="006649F0" w:rsidRDefault="006649F0" w:rsidP="008021F0">
      <w:pPr>
        <w:jc w:val="both"/>
        <w:outlineLvl w:val="0"/>
        <w:rPr>
          <w:b/>
          <w:bCs/>
          <w:sz w:val="2"/>
          <w:szCs w:val="2"/>
        </w:rPr>
      </w:pPr>
    </w:p>
    <w:p w:rsidR="00671E95" w:rsidRDefault="00671E95" w:rsidP="00671E95">
      <w:pPr>
        <w:bidi w:val="0"/>
        <w:spacing w:line="360" w:lineRule="auto"/>
        <w:jc w:val="both"/>
        <w:outlineLvl w:val="0"/>
        <w:rPr>
          <w:b/>
          <w:bCs/>
          <w:sz w:val="16"/>
          <w:szCs w:val="16"/>
        </w:rPr>
      </w:pPr>
    </w:p>
    <w:p w:rsidR="002C20FD" w:rsidRPr="00B84A7F" w:rsidRDefault="00C1583F" w:rsidP="00671E95">
      <w:pPr>
        <w:bidi w:val="0"/>
        <w:jc w:val="both"/>
        <w:outlineLvl w:val="0"/>
        <w:rPr>
          <w:rFonts w:asciiTheme="majorBidi" w:hAnsiTheme="majorBidi" w:cstheme="majorBidi"/>
          <w:b/>
          <w:bCs/>
          <w:sz w:val="27"/>
          <w:szCs w:val="27"/>
        </w:rPr>
      </w:pPr>
      <w:r w:rsidRPr="00B84A7F">
        <w:rPr>
          <w:rFonts w:asciiTheme="majorBidi" w:hAnsiTheme="majorBidi" w:cstheme="majorBidi"/>
          <w:b/>
          <w:bCs/>
          <w:sz w:val="27"/>
          <w:szCs w:val="27"/>
        </w:rPr>
        <w:t>In</w:t>
      </w:r>
      <w:r w:rsidR="007D5CBF" w:rsidRPr="00B84A7F">
        <w:rPr>
          <w:rFonts w:asciiTheme="majorBidi" w:hAnsiTheme="majorBidi" w:cstheme="majorBidi"/>
          <w:b/>
          <w:bCs/>
          <w:sz w:val="27"/>
          <w:szCs w:val="27"/>
        </w:rPr>
        <w:t>crease</w:t>
      </w:r>
      <w:r w:rsidR="002C20FD" w:rsidRPr="00B84A7F">
        <w:rPr>
          <w:rFonts w:asciiTheme="majorBidi" w:hAnsiTheme="majorBidi" w:cstheme="majorBidi"/>
          <w:b/>
          <w:bCs/>
          <w:sz w:val="27"/>
          <w:szCs w:val="27"/>
        </w:rPr>
        <w:t xml:space="preserve"> in the Industrial Production Index (IPI) in Palestine</w:t>
      </w:r>
      <w:r w:rsidR="002C20FD" w:rsidRPr="00B84A7F">
        <w:rPr>
          <w:rFonts w:asciiTheme="majorBidi" w:hAnsiTheme="majorBidi" w:cstheme="majorBidi"/>
          <w:b/>
          <w:bCs/>
          <w:kern w:val="36"/>
          <w:sz w:val="27"/>
          <w:szCs w:val="27"/>
        </w:rPr>
        <w:t xml:space="preserve"> </w:t>
      </w:r>
      <w:r w:rsidR="002C20FD" w:rsidRPr="00B84A7F">
        <w:rPr>
          <w:rFonts w:asciiTheme="majorBidi" w:hAnsiTheme="majorBidi" w:cstheme="majorBidi"/>
          <w:b/>
          <w:bCs/>
          <w:sz w:val="27"/>
          <w:szCs w:val="27"/>
        </w:rPr>
        <w:t xml:space="preserve">during </w:t>
      </w:r>
      <w:r w:rsidR="00A61129" w:rsidRPr="00B84A7F">
        <w:rPr>
          <w:rFonts w:asciiTheme="majorBidi" w:hAnsiTheme="majorBidi" w:cstheme="majorBidi"/>
          <w:b/>
          <w:bCs/>
          <w:sz w:val="27"/>
          <w:szCs w:val="27"/>
        </w:rPr>
        <w:t>December</w:t>
      </w:r>
      <w:r w:rsidR="002C20FD" w:rsidRPr="00B84A7F">
        <w:rPr>
          <w:rFonts w:asciiTheme="majorBidi" w:hAnsiTheme="majorBidi" w:cstheme="majorBidi"/>
          <w:b/>
          <w:bCs/>
          <w:sz w:val="27"/>
          <w:szCs w:val="27"/>
        </w:rPr>
        <w:t xml:space="preserve"> </w:t>
      </w:r>
      <w:r w:rsidR="002C20FD" w:rsidRPr="00B84A7F">
        <w:rPr>
          <w:rFonts w:asciiTheme="majorBidi" w:hAnsiTheme="majorBidi" w:cstheme="majorBidi"/>
          <w:b/>
          <w:bCs/>
          <w:kern w:val="36"/>
          <w:sz w:val="27"/>
          <w:szCs w:val="27"/>
        </w:rPr>
        <w:t>2018</w:t>
      </w:r>
    </w:p>
    <w:p w:rsidR="00FB76DF" w:rsidRPr="00FB76DF" w:rsidRDefault="00FB76DF" w:rsidP="00B84A7F">
      <w:pPr>
        <w:bidi w:val="0"/>
        <w:spacing w:line="360" w:lineRule="auto"/>
        <w:jc w:val="both"/>
        <w:rPr>
          <w:sz w:val="16"/>
          <w:szCs w:val="16"/>
        </w:rPr>
      </w:pPr>
    </w:p>
    <w:p w:rsidR="00696D0D" w:rsidRDefault="002C20FD" w:rsidP="00FB76DF">
      <w:pPr>
        <w:bidi w:val="0"/>
        <w:spacing w:line="360" w:lineRule="auto"/>
        <w:jc w:val="both"/>
      </w:pPr>
      <w:r w:rsidRPr="00254168">
        <w:t xml:space="preserve">The overall IPI in Palestine reached </w:t>
      </w:r>
      <w:r w:rsidR="00A61129">
        <w:t>110.41</w:t>
      </w:r>
      <w:r w:rsidRPr="00254168">
        <w:t xml:space="preserve"> during </w:t>
      </w:r>
      <w:r w:rsidR="00A61129">
        <w:t>December</w:t>
      </w:r>
      <w:r w:rsidRPr="00254168">
        <w:t xml:space="preserve"> 201</w:t>
      </w:r>
      <w:r>
        <w:t>8</w:t>
      </w:r>
      <w:r w:rsidRPr="00254168">
        <w:t xml:space="preserve"> with </w:t>
      </w:r>
      <w:r w:rsidR="00D46390">
        <w:t>a</w:t>
      </w:r>
      <w:r w:rsidR="00C1583F">
        <w:t>n</w:t>
      </w:r>
      <w:r w:rsidRPr="00254168">
        <w:t xml:space="preserve"> </w:t>
      </w:r>
      <w:r w:rsidR="00C1583F">
        <w:t>in</w:t>
      </w:r>
      <w:r w:rsidR="007D5CBF">
        <w:t>crease</w:t>
      </w:r>
      <w:r w:rsidRPr="00254168">
        <w:t xml:space="preserve"> of </w:t>
      </w:r>
      <w:r w:rsidR="00A61129">
        <w:t>1.13</w:t>
      </w:r>
      <w:r w:rsidRPr="00254168">
        <w:t xml:space="preserve">% </w:t>
      </w:r>
      <w:r w:rsidR="00EA50CB" w:rsidRPr="0053589B">
        <w:t xml:space="preserve">compared to </w:t>
      </w:r>
      <w:r w:rsidR="00A61129">
        <w:t>November</w:t>
      </w:r>
      <w:r w:rsidR="00EA50CB" w:rsidRPr="0053589B">
        <w:t xml:space="preserve"> </w:t>
      </w:r>
      <w:r w:rsidR="00EA50CB">
        <w:t>2018</w:t>
      </w:r>
      <w:r w:rsidRPr="00254168">
        <w:t xml:space="preserve"> (Base Month December 2015 = 100).</w:t>
      </w:r>
    </w:p>
    <w:p w:rsidR="00671E95" w:rsidRPr="00671E95" w:rsidRDefault="00671E95" w:rsidP="00671E95">
      <w:pPr>
        <w:autoSpaceDE w:val="0"/>
        <w:autoSpaceDN w:val="0"/>
        <w:bidi w:val="0"/>
        <w:adjustRightInd w:val="0"/>
        <w:spacing w:line="276" w:lineRule="auto"/>
        <w:jc w:val="both"/>
        <w:rPr>
          <w:sz w:val="16"/>
          <w:szCs w:val="16"/>
        </w:rPr>
      </w:pPr>
    </w:p>
    <w:p w:rsidR="006F575A" w:rsidRDefault="002C20FD" w:rsidP="00B84A7F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color w:val="000000"/>
        </w:rPr>
      </w:pPr>
      <w:r w:rsidRPr="00254168">
        <w:t xml:space="preserve">IPI for </w:t>
      </w:r>
      <w:r w:rsidR="00A61129">
        <w:t>December</w:t>
      </w:r>
      <w:r w:rsidRPr="00254168">
        <w:t xml:space="preserve"> 201</w:t>
      </w:r>
      <w:r>
        <w:t>8</w:t>
      </w:r>
      <w:r w:rsidRPr="00254168">
        <w:t xml:space="preserve"> </w:t>
      </w:r>
      <w:r w:rsidR="00C1583F">
        <w:t>in</w:t>
      </w:r>
      <w:r w:rsidR="007D5CBF">
        <w:t>creased</w:t>
      </w:r>
      <w:r w:rsidRPr="00254168">
        <w:t xml:space="preserve"> due to the </w:t>
      </w:r>
      <w:r w:rsidR="00C1583F">
        <w:t>in</w:t>
      </w:r>
      <w:r w:rsidR="007D5CBF">
        <w:t>crease</w:t>
      </w:r>
      <w:r w:rsidRPr="00254168">
        <w:t xml:space="preserve"> in</w:t>
      </w:r>
      <w:r w:rsidRPr="00BD3BAB">
        <w:t xml:space="preserve"> </w:t>
      </w:r>
      <w:r w:rsidR="00D65204">
        <w:t>the</w:t>
      </w:r>
      <w:r w:rsidR="00D65204" w:rsidRPr="00254168">
        <w:rPr>
          <w:b/>
          <w:bCs/>
        </w:rPr>
        <w:t xml:space="preserve"> </w:t>
      </w:r>
      <w:r w:rsidR="00C1583F" w:rsidRPr="00254168">
        <w:rPr>
          <w:b/>
          <w:bCs/>
        </w:rPr>
        <w:t xml:space="preserve">activities of Electricity, Gas, Steam and Air Conditioning Supply </w:t>
      </w:r>
      <w:r w:rsidR="00C1583F" w:rsidRPr="00254168">
        <w:t xml:space="preserve">by </w:t>
      </w:r>
      <w:r w:rsidR="00A61129">
        <w:t>7.49</w:t>
      </w:r>
      <w:r w:rsidR="00C1583F" w:rsidRPr="00254168">
        <w:t>% which had a share o</w:t>
      </w:r>
      <w:r w:rsidR="00C1583F">
        <w:t>f 11.98% of the total industry</w:t>
      </w:r>
      <w:r w:rsidR="00C1583F">
        <w:rPr>
          <w:rFonts w:cs="Simplified Arabic"/>
          <w:snapToGrid w:val="0"/>
          <w:color w:val="000000"/>
        </w:rPr>
        <w:t xml:space="preserve">, </w:t>
      </w:r>
      <w:r w:rsidR="000912B6">
        <w:rPr>
          <w:rFonts w:cs="Simplified Arabic"/>
          <w:snapToGrid w:val="0"/>
          <w:color w:val="000000"/>
        </w:rPr>
        <w:t>the</w:t>
      </w:r>
      <w:r w:rsidR="000912B6" w:rsidRPr="006F575A">
        <w:rPr>
          <w:rFonts w:cs="Simplified Arabic"/>
          <w:snapToGrid w:val="0"/>
          <w:color w:val="000000"/>
        </w:rPr>
        <w:t xml:space="preserve"> </w:t>
      </w:r>
      <w:r w:rsidR="000912B6" w:rsidRPr="00254168">
        <w:rPr>
          <w:b/>
          <w:bCs/>
        </w:rPr>
        <w:t>activities of Mining and Quarrying</w:t>
      </w:r>
      <w:r w:rsidR="000912B6">
        <w:t xml:space="preserve"> </w:t>
      </w:r>
      <w:r w:rsidR="000912B6" w:rsidRPr="00254168">
        <w:t xml:space="preserve">by </w:t>
      </w:r>
      <w:r w:rsidR="000912B6">
        <w:t>2.30</w:t>
      </w:r>
      <w:r w:rsidR="000912B6" w:rsidRPr="00254168">
        <w:t>% which had a share of 4.</w:t>
      </w:r>
      <w:r w:rsidR="000912B6">
        <w:t>06</w:t>
      </w:r>
      <w:r w:rsidR="000912B6" w:rsidRPr="00254168">
        <w:t>% of the total industry</w:t>
      </w:r>
      <w:r w:rsidR="000912B6">
        <w:t>,</w:t>
      </w:r>
      <w:r w:rsidR="000912B6" w:rsidRPr="00254168">
        <w:t xml:space="preserve"> </w:t>
      </w:r>
      <w:r w:rsidR="000912B6">
        <w:t xml:space="preserve">and </w:t>
      </w:r>
      <w:r w:rsidR="00A61129" w:rsidRPr="00254168">
        <w:t>the</w:t>
      </w:r>
      <w:r w:rsidR="00A61129" w:rsidRPr="00254168">
        <w:rPr>
          <w:b/>
          <w:bCs/>
        </w:rPr>
        <w:t xml:space="preserve"> activities of</w:t>
      </w:r>
      <w:r w:rsidR="00A61129" w:rsidRPr="00254168">
        <w:t xml:space="preserve"> </w:t>
      </w:r>
      <w:r w:rsidR="00A61129" w:rsidRPr="00254168">
        <w:rPr>
          <w:b/>
          <w:bCs/>
        </w:rPr>
        <w:t>Manufacturing Industry</w:t>
      </w:r>
      <w:r w:rsidR="00A61129">
        <w:t xml:space="preserve"> </w:t>
      </w:r>
      <w:r w:rsidR="00A61129" w:rsidRPr="00254168">
        <w:t xml:space="preserve">by </w:t>
      </w:r>
      <w:r w:rsidR="00A61129">
        <w:t>0.42</w:t>
      </w:r>
      <w:r w:rsidR="00A61129" w:rsidRPr="00254168">
        <w:t>% which had a share of 83.</w:t>
      </w:r>
      <w:r w:rsidR="00A61129">
        <w:t>19</w:t>
      </w:r>
      <w:r w:rsidR="00A61129" w:rsidRPr="00254168">
        <w:t>% of the total industry</w:t>
      </w:r>
      <w:r w:rsidR="000912B6">
        <w:rPr>
          <w:rFonts w:cs="Simplified Arabic"/>
          <w:snapToGrid w:val="0"/>
          <w:color w:val="000000"/>
        </w:rPr>
        <w:t>,</w:t>
      </w:r>
      <w:r w:rsidR="00A61129">
        <w:rPr>
          <w:rFonts w:cs="Simplified Arabic"/>
          <w:snapToGrid w:val="0"/>
          <w:color w:val="000000"/>
        </w:rPr>
        <w:t xml:space="preserve"> </w:t>
      </w:r>
      <w:r w:rsidR="000912B6">
        <w:rPr>
          <w:rFonts w:cs="Simplified Arabic"/>
          <w:snapToGrid w:val="0"/>
          <w:color w:val="000000"/>
        </w:rPr>
        <w:t xml:space="preserve">while </w:t>
      </w:r>
      <w:r w:rsidR="006405D4">
        <w:t>the</w:t>
      </w:r>
      <w:r w:rsidR="00D65204">
        <w:t xml:space="preserve"> </w:t>
      </w:r>
      <w:r w:rsidR="00C1583F" w:rsidRPr="00254168">
        <w:rPr>
          <w:b/>
          <w:bCs/>
        </w:rPr>
        <w:t>activities of Water Supply, Sewerage, Waste Management and Remediation</w:t>
      </w:r>
      <w:r w:rsidR="00C1583F">
        <w:rPr>
          <w:b/>
          <w:bCs/>
        </w:rPr>
        <w:t xml:space="preserve"> </w:t>
      </w:r>
      <w:r w:rsidR="000912B6" w:rsidRPr="000912B6">
        <w:t>decreased</w:t>
      </w:r>
      <w:r w:rsidR="000912B6">
        <w:rPr>
          <w:b/>
          <w:bCs/>
        </w:rPr>
        <w:t xml:space="preserve"> </w:t>
      </w:r>
      <w:r w:rsidR="00C1583F" w:rsidRPr="00254168">
        <w:t xml:space="preserve">by </w:t>
      </w:r>
      <w:r w:rsidR="000912B6">
        <w:t>3.47</w:t>
      </w:r>
      <w:r w:rsidR="00C1583F" w:rsidRPr="00254168">
        <w:t>% which had a share of 0.</w:t>
      </w:r>
      <w:r w:rsidR="00C1583F">
        <w:t>78</w:t>
      </w:r>
      <w:r w:rsidR="00C1583F" w:rsidRPr="00254168">
        <w:t>% of the total industry</w:t>
      </w:r>
      <w:r w:rsidR="00C1583F">
        <w:t>.</w:t>
      </w:r>
    </w:p>
    <w:p w:rsidR="00FB76DF" w:rsidRDefault="00FB76DF" w:rsidP="00671E95">
      <w:pPr>
        <w:autoSpaceDE w:val="0"/>
        <w:autoSpaceDN w:val="0"/>
        <w:bidi w:val="0"/>
        <w:adjustRightInd w:val="0"/>
        <w:jc w:val="center"/>
        <w:rPr>
          <w:rFonts w:cs="Simplified Arabic"/>
          <w:snapToGrid w:val="0"/>
          <w:color w:val="000000"/>
          <w:sz w:val="16"/>
          <w:szCs w:val="16"/>
        </w:rPr>
      </w:pPr>
    </w:p>
    <w:p w:rsidR="00FB76DF" w:rsidRDefault="00FB76DF" w:rsidP="00FB76DF">
      <w:pPr>
        <w:autoSpaceDE w:val="0"/>
        <w:autoSpaceDN w:val="0"/>
        <w:bidi w:val="0"/>
        <w:adjustRightInd w:val="0"/>
        <w:jc w:val="center"/>
        <w:rPr>
          <w:rFonts w:cs="Simplified Arabic"/>
          <w:snapToGrid w:val="0"/>
          <w:color w:val="000000"/>
          <w:sz w:val="16"/>
          <w:szCs w:val="16"/>
        </w:rPr>
      </w:pPr>
    </w:p>
    <w:p w:rsidR="00FB76DF" w:rsidRDefault="00FB76DF" w:rsidP="00FB76DF">
      <w:pPr>
        <w:autoSpaceDE w:val="0"/>
        <w:autoSpaceDN w:val="0"/>
        <w:bidi w:val="0"/>
        <w:adjustRightInd w:val="0"/>
        <w:jc w:val="center"/>
        <w:rPr>
          <w:rFonts w:cs="Simplified Arabic"/>
          <w:snapToGrid w:val="0"/>
          <w:color w:val="000000"/>
          <w:sz w:val="16"/>
          <w:szCs w:val="16"/>
        </w:rPr>
      </w:pPr>
    </w:p>
    <w:p w:rsidR="00FB76DF" w:rsidRDefault="00FB76DF" w:rsidP="00FB76DF">
      <w:pPr>
        <w:autoSpaceDE w:val="0"/>
        <w:autoSpaceDN w:val="0"/>
        <w:bidi w:val="0"/>
        <w:adjustRightInd w:val="0"/>
        <w:jc w:val="center"/>
        <w:rPr>
          <w:rFonts w:cs="Simplified Arabic"/>
          <w:snapToGrid w:val="0"/>
          <w:color w:val="000000"/>
          <w:sz w:val="16"/>
          <w:szCs w:val="16"/>
        </w:rPr>
      </w:pPr>
    </w:p>
    <w:p w:rsidR="00FB76DF" w:rsidRDefault="00FB76DF" w:rsidP="00FB76DF">
      <w:pPr>
        <w:autoSpaceDE w:val="0"/>
        <w:autoSpaceDN w:val="0"/>
        <w:bidi w:val="0"/>
        <w:adjustRightInd w:val="0"/>
        <w:jc w:val="center"/>
        <w:rPr>
          <w:rFonts w:cs="Simplified Arabic"/>
          <w:snapToGrid w:val="0"/>
          <w:color w:val="000000"/>
          <w:sz w:val="16"/>
          <w:szCs w:val="16"/>
        </w:rPr>
      </w:pPr>
    </w:p>
    <w:p w:rsidR="00FB76DF" w:rsidRDefault="00FB76DF" w:rsidP="00FB76DF">
      <w:pPr>
        <w:autoSpaceDE w:val="0"/>
        <w:autoSpaceDN w:val="0"/>
        <w:bidi w:val="0"/>
        <w:adjustRightInd w:val="0"/>
        <w:jc w:val="center"/>
        <w:rPr>
          <w:rFonts w:cs="Simplified Arabic"/>
          <w:snapToGrid w:val="0"/>
          <w:color w:val="000000"/>
          <w:sz w:val="16"/>
          <w:szCs w:val="16"/>
        </w:rPr>
      </w:pPr>
    </w:p>
    <w:p w:rsidR="00FB76DF" w:rsidRDefault="00FB76DF" w:rsidP="008969AA">
      <w:pPr>
        <w:autoSpaceDE w:val="0"/>
        <w:autoSpaceDN w:val="0"/>
        <w:bidi w:val="0"/>
        <w:adjustRightInd w:val="0"/>
        <w:rPr>
          <w:rFonts w:cs="Simplified Arabic"/>
          <w:snapToGrid w:val="0"/>
          <w:color w:val="000000"/>
          <w:sz w:val="16"/>
          <w:szCs w:val="16"/>
        </w:rPr>
      </w:pPr>
    </w:p>
    <w:p w:rsidR="008969AA" w:rsidRDefault="008969AA" w:rsidP="008969AA">
      <w:pPr>
        <w:autoSpaceDE w:val="0"/>
        <w:autoSpaceDN w:val="0"/>
        <w:bidi w:val="0"/>
        <w:adjustRightInd w:val="0"/>
        <w:rPr>
          <w:rFonts w:cs="Simplified Arabic"/>
          <w:snapToGrid w:val="0"/>
          <w:color w:val="000000"/>
          <w:sz w:val="16"/>
          <w:szCs w:val="16"/>
        </w:rPr>
      </w:pPr>
    </w:p>
    <w:p w:rsidR="00FB76DF" w:rsidRDefault="00FB76DF" w:rsidP="00FB76DF">
      <w:pPr>
        <w:autoSpaceDE w:val="0"/>
        <w:autoSpaceDN w:val="0"/>
        <w:bidi w:val="0"/>
        <w:adjustRightInd w:val="0"/>
        <w:rPr>
          <w:rFonts w:cs="Simplified Arabic"/>
          <w:snapToGrid w:val="0"/>
          <w:color w:val="000000"/>
          <w:sz w:val="16"/>
          <w:szCs w:val="16"/>
        </w:rPr>
      </w:pPr>
    </w:p>
    <w:p w:rsidR="00FB76DF" w:rsidRDefault="006F575A" w:rsidP="00FB76DF">
      <w:pPr>
        <w:autoSpaceDE w:val="0"/>
        <w:autoSpaceDN w:val="0"/>
        <w:bidi w:val="0"/>
        <w:adjustRightInd w:val="0"/>
        <w:jc w:val="center"/>
        <w:rPr>
          <w:rFonts w:asciiTheme="majorBidi" w:hAnsiTheme="majorBidi" w:cstheme="majorBidi"/>
          <w:b/>
          <w:bCs/>
          <w:snapToGrid w:val="0"/>
          <w:sz w:val="26"/>
          <w:szCs w:val="26"/>
        </w:rPr>
      </w:pPr>
      <w:r w:rsidRPr="00671E95">
        <w:rPr>
          <w:rFonts w:asciiTheme="majorBidi" w:hAnsiTheme="majorBidi" w:cstheme="majorBidi"/>
          <w:b/>
          <w:bCs/>
          <w:snapToGrid w:val="0"/>
          <w:sz w:val="26"/>
          <w:szCs w:val="26"/>
        </w:rPr>
        <w:t>The table shows percent change</w:t>
      </w:r>
      <w:r w:rsidR="00E52237" w:rsidRPr="00671E95">
        <w:rPr>
          <w:rFonts w:asciiTheme="majorBidi" w:hAnsiTheme="majorBidi" w:cstheme="majorBidi"/>
          <w:b/>
          <w:bCs/>
          <w:snapToGrid w:val="0"/>
          <w:sz w:val="26"/>
          <w:szCs w:val="26"/>
        </w:rPr>
        <w:t>s</w:t>
      </w:r>
      <w:r w:rsidRPr="00671E95">
        <w:rPr>
          <w:rFonts w:asciiTheme="majorBidi" w:hAnsiTheme="majorBidi" w:cstheme="majorBidi"/>
          <w:b/>
          <w:bCs/>
          <w:snapToGrid w:val="0"/>
          <w:sz w:val="26"/>
          <w:szCs w:val="26"/>
        </w:rPr>
        <w:t xml:space="preserve"> in IPI for the period</w:t>
      </w:r>
    </w:p>
    <w:p w:rsidR="006F575A" w:rsidRPr="00671E95" w:rsidRDefault="006F575A" w:rsidP="00FB76DF">
      <w:pPr>
        <w:autoSpaceDE w:val="0"/>
        <w:autoSpaceDN w:val="0"/>
        <w:bidi w:val="0"/>
        <w:adjustRightInd w:val="0"/>
        <w:jc w:val="center"/>
        <w:rPr>
          <w:rFonts w:asciiTheme="majorBidi" w:hAnsiTheme="majorBidi" w:cstheme="majorBidi"/>
          <w:b/>
          <w:bCs/>
          <w:snapToGrid w:val="0"/>
          <w:sz w:val="26"/>
          <w:szCs w:val="26"/>
        </w:rPr>
      </w:pPr>
      <w:r w:rsidRPr="00671E95">
        <w:rPr>
          <w:rFonts w:asciiTheme="majorBidi" w:hAnsiTheme="majorBidi" w:cstheme="majorBidi"/>
          <w:b/>
          <w:bCs/>
          <w:snapToGrid w:val="0"/>
          <w:sz w:val="26"/>
          <w:szCs w:val="26"/>
        </w:rPr>
        <w:t xml:space="preserve"> January – </w:t>
      </w:r>
      <w:r w:rsidR="00114BC7" w:rsidRPr="00671E95">
        <w:rPr>
          <w:rFonts w:asciiTheme="majorBidi" w:hAnsiTheme="majorBidi" w:cstheme="majorBidi"/>
          <w:b/>
          <w:bCs/>
          <w:snapToGrid w:val="0"/>
          <w:sz w:val="26"/>
          <w:szCs w:val="26"/>
        </w:rPr>
        <w:t>December</w:t>
      </w:r>
      <w:r w:rsidRPr="00671E95">
        <w:rPr>
          <w:rFonts w:asciiTheme="majorBidi" w:hAnsiTheme="majorBidi" w:cstheme="majorBidi"/>
          <w:b/>
          <w:bCs/>
          <w:snapToGrid w:val="0"/>
          <w:sz w:val="26"/>
          <w:szCs w:val="26"/>
        </w:rPr>
        <w:t xml:space="preserve"> 201</w:t>
      </w:r>
      <w:r w:rsidR="00E47503" w:rsidRPr="00671E95">
        <w:rPr>
          <w:rFonts w:asciiTheme="majorBidi" w:hAnsiTheme="majorBidi" w:cstheme="majorBidi"/>
          <w:b/>
          <w:bCs/>
          <w:snapToGrid w:val="0"/>
          <w:sz w:val="26"/>
          <w:szCs w:val="26"/>
        </w:rPr>
        <w:t>8</w:t>
      </w:r>
      <w:r w:rsidRPr="00671E95">
        <w:rPr>
          <w:rFonts w:asciiTheme="majorBidi" w:hAnsiTheme="majorBidi" w:cstheme="majorBidi"/>
          <w:b/>
          <w:bCs/>
          <w:snapToGrid w:val="0"/>
          <w:sz w:val="26"/>
          <w:szCs w:val="26"/>
        </w:rPr>
        <w:t>:</w:t>
      </w:r>
    </w:p>
    <w:p w:rsidR="00264413" w:rsidRPr="00264413" w:rsidRDefault="00264413" w:rsidP="00264413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color w:val="000000"/>
          <w:sz w:val="8"/>
          <w:szCs w:val="8"/>
        </w:rPr>
      </w:pPr>
    </w:p>
    <w:tbl>
      <w:tblPr>
        <w:tblW w:w="5691" w:type="dxa"/>
        <w:jc w:val="center"/>
        <w:tblInd w:w="-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82"/>
        <w:gridCol w:w="2409"/>
      </w:tblGrid>
      <w:tr w:rsidR="006F575A" w:rsidRPr="00FB76DF" w:rsidTr="00FB76DF">
        <w:trPr>
          <w:trHeight w:val="242"/>
          <w:tblHeader/>
          <w:jc w:val="center"/>
        </w:trPr>
        <w:tc>
          <w:tcPr>
            <w:tcW w:w="3282" w:type="dxa"/>
            <w:vAlign w:val="center"/>
          </w:tcPr>
          <w:p w:rsidR="006F575A" w:rsidRPr="00FB76DF" w:rsidRDefault="006F575A" w:rsidP="00671E95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napToGrid w:val="0"/>
                <w:color w:val="000000"/>
              </w:rPr>
            </w:pPr>
            <w:r w:rsidRPr="00FB76DF">
              <w:rPr>
                <w:rFonts w:asciiTheme="majorBidi" w:hAnsiTheme="majorBidi" w:cstheme="majorBidi"/>
                <w:b/>
                <w:bCs/>
                <w:snapToGrid w:val="0"/>
                <w:color w:val="000000"/>
              </w:rPr>
              <w:t>Month</w:t>
            </w:r>
          </w:p>
        </w:tc>
        <w:tc>
          <w:tcPr>
            <w:tcW w:w="2409" w:type="dxa"/>
          </w:tcPr>
          <w:p w:rsidR="006F575A" w:rsidRPr="00FB76DF" w:rsidRDefault="006F575A" w:rsidP="00671E95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napToGrid w:val="0"/>
                <w:color w:val="000000"/>
              </w:rPr>
            </w:pPr>
            <w:r w:rsidRPr="00FB76DF">
              <w:rPr>
                <w:rFonts w:asciiTheme="majorBidi" w:hAnsiTheme="majorBidi" w:cstheme="majorBidi"/>
                <w:b/>
                <w:bCs/>
                <w:snapToGrid w:val="0"/>
                <w:color w:val="000000"/>
              </w:rPr>
              <w:t>Percent Change</w:t>
            </w:r>
            <w:r w:rsidR="008753B9" w:rsidRPr="00FB76DF">
              <w:rPr>
                <w:rFonts w:asciiTheme="majorBidi" w:hAnsiTheme="majorBidi" w:cstheme="majorBidi"/>
                <w:b/>
                <w:bCs/>
                <w:snapToGrid w:val="0"/>
                <w:color w:val="000000"/>
              </w:rPr>
              <w:t xml:space="preserve"> (%)</w:t>
            </w:r>
          </w:p>
        </w:tc>
      </w:tr>
      <w:tr w:rsidR="00C569B2" w:rsidRPr="00FB76DF" w:rsidTr="00FB76DF">
        <w:trPr>
          <w:trHeight w:val="198"/>
          <w:jc w:val="center"/>
        </w:trPr>
        <w:tc>
          <w:tcPr>
            <w:tcW w:w="3282" w:type="dxa"/>
            <w:vAlign w:val="center"/>
          </w:tcPr>
          <w:p w:rsidR="00C569B2" w:rsidRPr="00FB76DF" w:rsidRDefault="00C569B2" w:rsidP="00671E95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FB76DF">
              <w:rPr>
                <w:rFonts w:asciiTheme="majorBidi" w:hAnsiTheme="majorBidi" w:cstheme="majorBidi"/>
                <w:snapToGrid w:val="0"/>
                <w:color w:val="000000"/>
              </w:rPr>
              <w:t>January</w:t>
            </w:r>
          </w:p>
        </w:tc>
        <w:tc>
          <w:tcPr>
            <w:tcW w:w="2409" w:type="dxa"/>
            <w:vAlign w:val="center"/>
          </w:tcPr>
          <w:p w:rsidR="00C569B2" w:rsidRPr="00FB76DF" w:rsidRDefault="00C569B2" w:rsidP="00671E95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 w:rsidRPr="00FB76DF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lang w:eastAsia="ar-SA"/>
              </w:rPr>
              <w:t>7.29</w:t>
            </w:r>
            <w:r w:rsidRPr="00FB76DF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-</w:t>
            </w:r>
          </w:p>
        </w:tc>
      </w:tr>
      <w:tr w:rsidR="00C569B2" w:rsidRPr="00FB76DF" w:rsidTr="00FB76DF">
        <w:trPr>
          <w:trHeight w:val="219"/>
          <w:jc w:val="center"/>
        </w:trPr>
        <w:tc>
          <w:tcPr>
            <w:tcW w:w="3282" w:type="dxa"/>
            <w:vAlign w:val="center"/>
          </w:tcPr>
          <w:p w:rsidR="00C569B2" w:rsidRPr="00FB76DF" w:rsidRDefault="00C569B2" w:rsidP="00671E95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FB76DF">
              <w:rPr>
                <w:rFonts w:asciiTheme="majorBidi" w:hAnsiTheme="majorBidi" w:cstheme="majorBidi"/>
                <w:snapToGrid w:val="0"/>
                <w:color w:val="000000"/>
              </w:rPr>
              <w:t>February</w:t>
            </w:r>
          </w:p>
        </w:tc>
        <w:tc>
          <w:tcPr>
            <w:tcW w:w="2409" w:type="dxa"/>
            <w:vAlign w:val="center"/>
          </w:tcPr>
          <w:p w:rsidR="00C569B2" w:rsidRPr="00FB76DF" w:rsidRDefault="00C569B2" w:rsidP="00671E95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 w:rsidRPr="00FB76DF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lang w:eastAsia="ar-SA"/>
              </w:rPr>
              <w:t>1.03</w:t>
            </w:r>
            <w:r w:rsidRPr="00FB76DF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-</w:t>
            </w:r>
          </w:p>
        </w:tc>
      </w:tr>
      <w:tr w:rsidR="00C569B2" w:rsidRPr="00FB76DF" w:rsidTr="00FB76DF">
        <w:trPr>
          <w:trHeight w:val="131"/>
          <w:jc w:val="center"/>
        </w:trPr>
        <w:tc>
          <w:tcPr>
            <w:tcW w:w="3282" w:type="dxa"/>
            <w:vAlign w:val="center"/>
          </w:tcPr>
          <w:p w:rsidR="00C569B2" w:rsidRPr="00FB76DF" w:rsidRDefault="00C569B2" w:rsidP="00671E95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FB76DF">
              <w:rPr>
                <w:rFonts w:asciiTheme="majorBidi" w:hAnsiTheme="majorBidi" w:cstheme="majorBidi"/>
                <w:snapToGrid w:val="0"/>
                <w:color w:val="000000"/>
              </w:rPr>
              <w:t>March</w:t>
            </w:r>
          </w:p>
        </w:tc>
        <w:tc>
          <w:tcPr>
            <w:tcW w:w="2409" w:type="dxa"/>
            <w:vAlign w:val="center"/>
          </w:tcPr>
          <w:p w:rsidR="00C569B2" w:rsidRPr="00FB76DF" w:rsidRDefault="00C569B2" w:rsidP="00671E95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 w:rsidRPr="00FB76DF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lang w:eastAsia="ar-SA"/>
              </w:rPr>
              <w:t>4.81</w:t>
            </w:r>
            <w:r w:rsidRPr="00FB76DF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  <w:r w:rsidRPr="00FB76DF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lang w:eastAsia="ar-SA"/>
              </w:rPr>
              <w:t>+</w:t>
            </w:r>
          </w:p>
        </w:tc>
      </w:tr>
      <w:tr w:rsidR="00C569B2" w:rsidRPr="00FB76DF" w:rsidTr="00FB76DF">
        <w:trPr>
          <w:trHeight w:val="228"/>
          <w:jc w:val="center"/>
        </w:trPr>
        <w:tc>
          <w:tcPr>
            <w:tcW w:w="3282" w:type="dxa"/>
            <w:vAlign w:val="center"/>
          </w:tcPr>
          <w:p w:rsidR="00C569B2" w:rsidRPr="00FB76DF" w:rsidRDefault="00C569B2" w:rsidP="00671E95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FB76DF">
              <w:rPr>
                <w:rFonts w:asciiTheme="majorBidi" w:hAnsiTheme="majorBidi" w:cstheme="majorBidi"/>
                <w:snapToGrid w:val="0"/>
                <w:color w:val="000000"/>
              </w:rPr>
              <w:t>April</w:t>
            </w:r>
          </w:p>
        </w:tc>
        <w:tc>
          <w:tcPr>
            <w:tcW w:w="2409" w:type="dxa"/>
            <w:vAlign w:val="center"/>
          </w:tcPr>
          <w:p w:rsidR="00C569B2" w:rsidRPr="00FB76DF" w:rsidRDefault="00C569B2" w:rsidP="00671E95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 w:rsidRPr="00FB76DF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lang w:eastAsia="ar-SA"/>
              </w:rPr>
              <w:t>3.34</w:t>
            </w:r>
            <w:r w:rsidRPr="00FB76DF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-</w:t>
            </w:r>
          </w:p>
        </w:tc>
      </w:tr>
      <w:tr w:rsidR="00C569B2" w:rsidRPr="00FB76DF" w:rsidTr="00FB76DF">
        <w:trPr>
          <w:trHeight w:val="249"/>
          <w:jc w:val="center"/>
        </w:trPr>
        <w:tc>
          <w:tcPr>
            <w:tcW w:w="3282" w:type="dxa"/>
            <w:vAlign w:val="center"/>
          </w:tcPr>
          <w:p w:rsidR="00C569B2" w:rsidRPr="00FB76DF" w:rsidRDefault="00C569B2" w:rsidP="00671E95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FB76DF">
              <w:rPr>
                <w:rFonts w:asciiTheme="majorBidi" w:hAnsiTheme="majorBidi" w:cstheme="majorBidi"/>
                <w:snapToGrid w:val="0"/>
                <w:color w:val="000000"/>
              </w:rPr>
              <w:t>May</w:t>
            </w:r>
          </w:p>
        </w:tc>
        <w:tc>
          <w:tcPr>
            <w:tcW w:w="2409" w:type="dxa"/>
            <w:vAlign w:val="center"/>
          </w:tcPr>
          <w:p w:rsidR="00C569B2" w:rsidRPr="00FB76DF" w:rsidRDefault="00C569B2" w:rsidP="00671E95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 w:rsidRPr="00FB76DF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lang w:eastAsia="ar-SA"/>
              </w:rPr>
              <w:t>3.16</w:t>
            </w:r>
            <w:r w:rsidRPr="00FB76DF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-</w:t>
            </w:r>
          </w:p>
        </w:tc>
      </w:tr>
      <w:tr w:rsidR="00C569B2" w:rsidRPr="00FB76DF" w:rsidTr="00FB76DF">
        <w:trPr>
          <w:trHeight w:val="161"/>
          <w:jc w:val="center"/>
        </w:trPr>
        <w:tc>
          <w:tcPr>
            <w:tcW w:w="3282" w:type="dxa"/>
            <w:vAlign w:val="center"/>
          </w:tcPr>
          <w:p w:rsidR="00C569B2" w:rsidRPr="00FB76DF" w:rsidRDefault="00C569B2" w:rsidP="00671E95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FB76DF">
              <w:rPr>
                <w:rFonts w:asciiTheme="majorBidi" w:hAnsiTheme="majorBidi" w:cstheme="majorBidi"/>
                <w:snapToGrid w:val="0"/>
                <w:color w:val="000000"/>
              </w:rPr>
              <w:t>June</w:t>
            </w:r>
          </w:p>
        </w:tc>
        <w:tc>
          <w:tcPr>
            <w:tcW w:w="2409" w:type="dxa"/>
            <w:vAlign w:val="center"/>
          </w:tcPr>
          <w:p w:rsidR="00C569B2" w:rsidRPr="00FB76DF" w:rsidRDefault="00C569B2" w:rsidP="00671E95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 w:rsidRPr="00FB76DF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lang w:eastAsia="ar-SA"/>
              </w:rPr>
              <w:t>5.22</w:t>
            </w:r>
            <w:r w:rsidRPr="00FB76DF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-</w:t>
            </w:r>
          </w:p>
        </w:tc>
      </w:tr>
      <w:tr w:rsidR="00C569B2" w:rsidRPr="00FB76DF" w:rsidTr="00FB76DF">
        <w:trPr>
          <w:trHeight w:val="180"/>
          <w:jc w:val="center"/>
        </w:trPr>
        <w:tc>
          <w:tcPr>
            <w:tcW w:w="3282" w:type="dxa"/>
            <w:vAlign w:val="center"/>
          </w:tcPr>
          <w:p w:rsidR="00C569B2" w:rsidRPr="00FB76DF" w:rsidRDefault="00C569B2" w:rsidP="00671E95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FB76DF">
              <w:rPr>
                <w:rFonts w:asciiTheme="majorBidi" w:hAnsiTheme="majorBidi" w:cstheme="majorBidi"/>
                <w:snapToGrid w:val="0"/>
                <w:color w:val="000000"/>
              </w:rPr>
              <w:t>July</w:t>
            </w:r>
          </w:p>
        </w:tc>
        <w:tc>
          <w:tcPr>
            <w:tcW w:w="2409" w:type="dxa"/>
            <w:vAlign w:val="center"/>
          </w:tcPr>
          <w:p w:rsidR="00C569B2" w:rsidRPr="00FB76DF" w:rsidRDefault="00C569B2" w:rsidP="00671E95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 w:rsidRPr="00FB76DF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lang w:eastAsia="ar-SA"/>
              </w:rPr>
              <w:t>12.08</w:t>
            </w:r>
            <w:r w:rsidRPr="00FB76DF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  <w:r w:rsidRPr="00FB76DF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lang w:eastAsia="ar-SA"/>
              </w:rPr>
              <w:t>+</w:t>
            </w:r>
          </w:p>
        </w:tc>
      </w:tr>
      <w:tr w:rsidR="00D46390" w:rsidRPr="00FB76DF" w:rsidTr="00FB76DF">
        <w:trPr>
          <w:trHeight w:val="278"/>
          <w:jc w:val="center"/>
        </w:trPr>
        <w:tc>
          <w:tcPr>
            <w:tcW w:w="3282" w:type="dxa"/>
            <w:vAlign w:val="center"/>
          </w:tcPr>
          <w:p w:rsidR="00D46390" w:rsidRPr="00FB76DF" w:rsidRDefault="00D46390" w:rsidP="00671E95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FB76DF">
              <w:rPr>
                <w:rFonts w:asciiTheme="majorBidi" w:hAnsiTheme="majorBidi" w:cstheme="majorBidi"/>
                <w:snapToGrid w:val="0"/>
                <w:color w:val="000000"/>
              </w:rPr>
              <w:t>August</w:t>
            </w:r>
          </w:p>
        </w:tc>
        <w:tc>
          <w:tcPr>
            <w:tcW w:w="2409" w:type="dxa"/>
            <w:vAlign w:val="center"/>
          </w:tcPr>
          <w:p w:rsidR="00D46390" w:rsidRPr="00FB76DF" w:rsidRDefault="00D46390" w:rsidP="00671E95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 w:rsidRPr="00FB76DF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>2.</w:t>
            </w:r>
            <w:r w:rsidR="00C569B2" w:rsidRPr="00FB76DF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>35</w:t>
            </w:r>
            <w:r w:rsidRPr="00FB76DF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-</w:t>
            </w:r>
          </w:p>
        </w:tc>
      </w:tr>
      <w:tr w:rsidR="00D65204" w:rsidRPr="00FB76DF" w:rsidTr="00FB76DF">
        <w:trPr>
          <w:trHeight w:val="191"/>
          <w:jc w:val="center"/>
        </w:trPr>
        <w:tc>
          <w:tcPr>
            <w:tcW w:w="3282" w:type="dxa"/>
            <w:vAlign w:val="center"/>
          </w:tcPr>
          <w:p w:rsidR="00D65204" w:rsidRPr="00FB76DF" w:rsidRDefault="00D65204" w:rsidP="00671E95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FB76DF">
              <w:rPr>
                <w:rFonts w:asciiTheme="majorBidi" w:hAnsiTheme="majorBidi" w:cstheme="majorBidi"/>
                <w:snapToGrid w:val="0"/>
                <w:color w:val="000000"/>
              </w:rPr>
              <w:t>September</w:t>
            </w:r>
          </w:p>
        </w:tc>
        <w:tc>
          <w:tcPr>
            <w:tcW w:w="2409" w:type="dxa"/>
            <w:vAlign w:val="center"/>
          </w:tcPr>
          <w:p w:rsidR="00D65204" w:rsidRPr="00FB76DF" w:rsidRDefault="00D65204" w:rsidP="00671E95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 w:rsidRPr="00FB76DF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lang w:eastAsia="ar-SA"/>
              </w:rPr>
              <w:t>7.68</w:t>
            </w:r>
            <w:r w:rsidRPr="00FB76DF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  <w:r w:rsidRPr="00FB76DF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lang w:eastAsia="ar-SA"/>
              </w:rPr>
              <w:t>+</w:t>
            </w:r>
          </w:p>
        </w:tc>
      </w:tr>
      <w:tr w:rsidR="0042454B" w:rsidRPr="00FB76DF" w:rsidTr="00FB76DF">
        <w:trPr>
          <w:trHeight w:val="302"/>
          <w:jc w:val="center"/>
        </w:trPr>
        <w:tc>
          <w:tcPr>
            <w:tcW w:w="3282" w:type="dxa"/>
            <w:vAlign w:val="center"/>
          </w:tcPr>
          <w:p w:rsidR="0042454B" w:rsidRPr="00FB76DF" w:rsidRDefault="0042454B" w:rsidP="00671E95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FB76DF">
              <w:rPr>
                <w:rFonts w:asciiTheme="majorBidi" w:hAnsiTheme="majorBidi" w:cstheme="majorBidi"/>
                <w:snapToGrid w:val="0"/>
                <w:color w:val="000000"/>
              </w:rPr>
              <w:t>October</w:t>
            </w:r>
          </w:p>
        </w:tc>
        <w:tc>
          <w:tcPr>
            <w:tcW w:w="2409" w:type="dxa"/>
            <w:vAlign w:val="center"/>
          </w:tcPr>
          <w:p w:rsidR="0042454B" w:rsidRPr="00FB76DF" w:rsidRDefault="0042454B" w:rsidP="00671E95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 w:rsidRPr="00FB76DF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>3.06 -</w:t>
            </w:r>
          </w:p>
        </w:tc>
      </w:tr>
      <w:tr w:rsidR="00985194" w:rsidRPr="00FB76DF" w:rsidTr="00FB76DF">
        <w:trPr>
          <w:trHeight w:val="214"/>
          <w:jc w:val="center"/>
        </w:trPr>
        <w:tc>
          <w:tcPr>
            <w:tcW w:w="3282" w:type="dxa"/>
            <w:vAlign w:val="center"/>
          </w:tcPr>
          <w:p w:rsidR="00985194" w:rsidRPr="00FB76DF" w:rsidRDefault="00985194" w:rsidP="00671E95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FB76DF">
              <w:rPr>
                <w:rFonts w:asciiTheme="majorBidi" w:hAnsiTheme="majorBidi" w:cstheme="majorBidi"/>
                <w:snapToGrid w:val="0"/>
                <w:color w:val="000000"/>
              </w:rPr>
              <w:t>November</w:t>
            </w:r>
          </w:p>
        </w:tc>
        <w:tc>
          <w:tcPr>
            <w:tcW w:w="2409" w:type="dxa"/>
            <w:vAlign w:val="center"/>
          </w:tcPr>
          <w:p w:rsidR="00985194" w:rsidRPr="00FB76DF" w:rsidRDefault="00985194" w:rsidP="00671E95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 w:rsidRPr="00FB76DF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lang w:eastAsia="ar-SA"/>
              </w:rPr>
              <w:t>2.43</w:t>
            </w:r>
            <w:r w:rsidRPr="00FB76DF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  <w:r w:rsidRPr="00FB76DF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lang w:eastAsia="ar-SA"/>
              </w:rPr>
              <w:t>+</w:t>
            </w:r>
          </w:p>
        </w:tc>
      </w:tr>
      <w:tr w:rsidR="00114BC7" w:rsidRPr="00FB76DF" w:rsidTr="00FB76DF">
        <w:trPr>
          <w:trHeight w:val="204"/>
          <w:jc w:val="center"/>
        </w:trPr>
        <w:tc>
          <w:tcPr>
            <w:tcW w:w="3282" w:type="dxa"/>
            <w:vAlign w:val="center"/>
          </w:tcPr>
          <w:p w:rsidR="00114BC7" w:rsidRPr="00FB76DF" w:rsidRDefault="00114BC7" w:rsidP="00671E95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FB76DF">
              <w:rPr>
                <w:rFonts w:asciiTheme="majorBidi" w:hAnsiTheme="majorBidi" w:cstheme="majorBidi"/>
                <w:snapToGrid w:val="0"/>
                <w:color w:val="000000"/>
              </w:rPr>
              <w:t>December</w:t>
            </w:r>
          </w:p>
        </w:tc>
        <w:tc>
          <w:tcPr>
            <w:tcW w:w="2409" w:type="dxa"/>
            <w:vAlign w:val="center"/>
          </w:tcPr>
          <w:p w:rsidR="00114BC7" w:rsidRPr="00FB76DF" w:rsidRDefault="00114BC7" w:rsidP="00671E95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 w:rsidRPr="00FB76DF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lang w:eastAsia="ar-SA"/>
              </w:rPr>
              <w:t>1.13</w:t>
            </w:r>
            <w:r w:rsidRPr="00FB76DF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  <w:r w:rsidRPr="00FB76DF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lang w:eastAsia="ar-SA"/>
              </w:rPr>
              <w:t>+</w:t>
            </w:r>
          </w:p>
        </w:tc>
      </w:tr>
      <w:tr w:rsidR="00114BC7" w:rsidRPr="00FB76DF" w:rsidTr="00FB76DF">
        <w:trPr>
          <w:trHeight w:val="444"/>
          <w:jc w:val="center"/>
        </w:trPr>
        <w:tc>
          <w:tcPr>
            <w:tcW w:w="3282" w:type="dxa"/>
            <w:vAlign w:val="center"/>
          </w:tcPr>
          <w:p w:rsidR="00114BC7" w:rsidRPr="00FB76DF" w:rsidRDefault="00114BC7" w:rsidP="00FB76DF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b/>
                <w:bCs/>
                <w:snapToGrid w:val="0"/>
                <w:color w:val="000000"/>
              </w:rPr>
            </w:pPr>
            <w:r w:rsidRPr="00FB76DF">
              <w:rPr>
                <w:rFonts w:asciiTheme="majorBidi" w:hAnsiTheme="majorBidi" w:cstheme="majorBidi"/>
                <w:b/>
                <w:bCs/>
                <w:snapToGrid w:val="0"/>
                <w:color w:val="000000"/>
              </w:rPr>
              <w:t>2018</w:t>
            </w:r>
            <w:r w:rsidR="004F2879" w:rsidRPr="00FB76DF">
              <w:rPr>
                <w:rFonts w:asciiTheme="majorBidi" w:hAnsiTheme="majorBidi" w:cstheme="majorBidi"/>
                <w:b/>
                <w:bCs/>
                <w:snapToGrid w:val="0"/>
                <w:color w:val="000000"/>
              </w:rPr>
              <w:t xml:space="preserve"> </w:t>
            </w:r>
            <w:r w:rsidR="003365B3" w:rsidRPr="00FB76DF">
              <w:rPr>
                <w:rFonts w:asciiTheme="majorBidi" w:hAnsiTheme="majorBidi" w:cstheme="majorBidi"/>
                <w:b/>
                <w:bCs/>
                <w:snapToGrid w:val="0"/>
                <w:color w:val="000000"/>
              </w:rPr>
              <w:t>Comp. with</w:t>
            </w:r>
            <w:r w:rsidR="00AC75C6" w:rsidRPr="00FB76DF">
              <w:rPr>
                <w:rFonts w:asciiTheme="majorBidi" w:hAnsiTheme="majorBidi" w:cstheme="majorBidi"/>
                <w:b/>
                <w:bCs/>
                <w:snapToGrid w:val="0"/>
                <w:color w:val="000000"/>
              </w:rPr>
              <w:t xml:space="preserve">  </w:t>
            </w:r>
            <w:r w:rsidR="003365B3" w:rsidRPr="00FB76DF">
              <w:rPr>
                <w:rFonts w:asciiTheme="majorBidi" w:hAnsiTheme="majorBidi" w:cstheme="majorBidi"/>
                <w:b/>
                <w:bCs/>
                <w:snapToGrid w:val="0"/>
                <w:color w:val="000000"/>
              </w:rPr>
              <w:t>2017</w:t>
            </w:r>
          </w:p>
        </w:tc>
        <w:tc>
          <w:tcPr>
            <w:tcW w:w="2409" w:type="dxa"/>
            <w:vAlign w:val="center"/>
          </w:tcPr>
          <w:p w:rsidR="00114BC7" w:rsidRPr="00FB76DF" w:rsidRDefault="004F2879" w:rsidP="00671E95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b/>
                <w:bCs/>
                <w:snapToGrid/>
                <w:color w:val="000000"/>
                <w:sz w:val="24"/>
                <w:szCs w:val="24"/>
                <w:rtl/>
                <w:lang w:eastAsia="ar-SA"/>
              </w:rPr>
            </w:pPr>
            <w:r w:rsidRPr="00FB76DF">
              <w:rPr>
                <w:rFonts w:asciiTheme="majorBidi" w:hAnsiTheme="majorBidi" w:cstheme="majorBidi"/>
                <w:b/>
                <w:bCs/>
                <w:snapToGrid/>
                <w:color w:val="000000"/>
                <w:sz w:val="24"/>
                <w:szCs w:val="24"/>
                <w:lang w:eastAsia="ar-SA"/>
              </w:rPr>
              <w:t>3.94</w:t>
            </w:r>
            <w:r w:rsidR="00114BC7" w:rsidRPr="00FB76DF">
              <w:rPr>
                <w:rFonts w:asciiTheme="majorBidi" w:hAnsiTheme="majorBidi" w:cstheme="majorBidi"/>
                <w:b/>
                <w:bCs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  <w:r w:rsidR="00114BC7" w:rsidRPr="00FB76DF">
              <w:rPr>
                <w:rFonts w:asciiTheme="majorBidi" w:hAnsiTheme="majorBidi" w:cstheme="majorBidi"/>
                <w:b/>
                <w:bCs/>
                <w:snapToGrid/>
                <w:color w:val="000000"/>
                <w:sz w:val="24"/>
                <w:szCs w:val="24"/>
                <w:lang w:eastAsia="ar-SA"/>
              </w:rPr>
              <w:t>+</w:t>
            </w:r>
          </w:p>
        </w:tc>
      </w:tr>
    </w:tbl>
    <w:p w:rsidR="00FB76DF" w:rsidRDefault="00FB76DF" w:rsidP="00FB76DF">
      <w:pPr>
        <w:bidi w:val="0"/>
        <w:jc w:val="center"/>
        <w:rPr>
          <w:b/>
          <w:bCs/>
          <w:sz w:val="16"/>
          <w:szCs w:val="16"/>
        </w:rPr>
      </w:pPr>
    </w:p>
    <w:p w:rsidR="00FB76DF" w:rsidRDefault="00FB76DF" w:rsidP="00FB76DF">
      <w:pPr>
        <w:bidi w:val="0"/>
        <w:jc w:val="center"/>
        <w:rPr>
          <w:b/>
          <w:bCs/>
          <w:sz w:val="16"/>
          <w:szCs w:val="16"/>
        </w:rPr>
      </w:pPr>
    </w:p>
    <w:p w:rsidR="00FB76DF" w:rsidRDefault="002C20FD" w:rsidP="00FB76DF">
      <w:pPr>
        <w:bidi w:val="0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671E95">
        <w:rPr>
          <w:rFonts w:asciiTheme="majorBidi" w:hAnsiTheme="majorBidi" w:cstheme="majorBidi"/>
          <w:b/>
          <w:bCs/>
          <w:sz w:val="26"/>
          <w:szCs w:val="26"/>
        </w:rPr>
        <w:t>The trend line of the Industrial Production Index in Palestine, for the period:</w:t>
      </w:r>
    </w:p>
    <w:p w:rsidR="002C20FD" w:rsidRPr="00671E95" w:rsidRDefault="002A13A9" w:rsidP="00FB76DF">
      <w:pPr>
        <w:bidi w:val="0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671E95">
        <w:rPr>
          <w:rFonts w:asciiTheme="majorBidi" w:hAnsiTheme="majorBidi" w:cstheme="majorBidi"/>
          <w:b/>
          <w:bCs/>
          <w:sz w:val="26"/>
          <w:szCs w:val="26"/>
        </w:rPr>
        <w:t xml:space="preserve">  </w:t>
      </w:r>
      <w:r w:rsidR="001B2044" w:rsidRPr="00671E95">
        <w:rPr>
          <w:rFonts w:asciiTheme="majorBidi" w:hAnsiTheme="majorBidi" w:cstheme="majorBidi"/>
          <w:b/>
          <w:bCs/>
          <w:sz w:val="26"/>
          <w:szCs w:val="26"/>
        </w:rPr>
        <w:t>January</w:t>
      </w:r>
      <w:r w:rsidR="002C20FD" w:rsidRPr="00671E95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Pr="00671E95">
        <w:rPr>
          <w:rFonts w:asciiTheme="majorBidi" w:hAnsiTheme="majorBidi" w:cstheme="majorBidi"/>
          <w:b/>
          <w:bCs/>
          <w:sz w:val="26"/>
          <w:szCs w:val="26"/>
        </w:rPr>
        <w:t xml:space="preserve">- </w:t>
      </w:r>
      <w:r w:rsidR="001B2044" w:rsidRPr="00671E95">
        <w:rPr>
          <w:rFonts w:asciiTheme="majorBidi" w:hAnsiTheme="majorBidi" w:cstheme="majorBidi"/>
          <w:b/>
          <w:bCs/>
          <w:sz w:val="26"/>
          <w:szCs w:val="26"/>
        </w:rPr>
        <w:t>December</w:t>
      </w:r>
      <w:r w:rsidR="0042454B" w:rsidRPr="00671E95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="002C20FD" w:rsidRPr="00671E95">
        <w:rPr>
          <w:rFonts w:asciiTheme="majorBidi" w:hAnsiTheme="majorBidi" w:cstheme="majorBidi"/>
          <w:b/>
          <w:bCs/>
          <w:sz w:val="26"/>
          <w:szCs w:val="26"/>
        </w:rPr>
        <w:t>2018</w:t>
      </w:r>
    </w:p>
    <w:p w:rsidR="002C20FD" w:rsidRPr="00671E95" w:rsidRDefault="002C20FD" w:rsidP="00671E95">
      <w:pPr>
        <w:bidi w:val="0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671E95">
        <w:rPr>
          <w:rFonts w:asciiTheme="majorBidi" w:hAnsiTheme="majorBidi" w:cstheme="majorBidi"/>
          <w:b/>
          <w:bCs/>
          <w:sz w:val="26"/>
          <w:szCs w:val="26"/>
        </w:rPr>
        <w:t>(Base Month December 2015</w:t>
      </w:r>
      <w:r w:rsidR="008753B9" w:rsidRPr="00671E95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Pr="00671E95">
        <w:rPr>
          <w:rFonts w:asciiTheme="majorBidi" w:hAnsiTheme="majorBidi" w:cstheme="majorBidi"/>
          <w:b/>
          <w:bCs/>
          <w:sz w:val="26"/>
          <w:szCs w:val="26"/>
        </w:rPr>
        <w:t>=</w:t>
      </w:r>
      <w:r w:rsidR="008753B9" w:rsidRPr="00671E95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Pr="00671E95">
        <w:rPr>
          <w:rFonts w:asciiTheme="majorBidi" w:hAnsiTheme="majorBidi" w:cstheme="majorBidi"/>
          <w:b/>
          <w:bCs/>
          <w:sz w:val="26"/>
          <w:szCs w:val="26"/>
        </w:rPr>
        <w:t>100)</w:t>
      </w:r>
    </w:p>
    <w:p w:rsidR="002C20FD" w:rsidRPr="00254168" w:rsidRDefault="002C20FD" w:rsidP="002C20FD">
      <w:pPr>
        <w:jc w:val="both"/>
        <w:rPr>
          <w:b/>
          <w:bCs/>
          <w:sz w:val="8"/>
          <w:szCs w:val="8"/>
          <w:rtl/>
        </w:rPr>
      </w:pPr>
    </w:p>
    <w:tbl>
      <w:tblPr>
        <w:tblStyle w:val="TableGrid"/>
        <w:tblW w:w="0" w:type="auto"/>
        <w:jc w:val="center"/>
        <w:tblInd w:w="375" w:type="dxa"/>
        <w:tblLook w:val="04A0"/>
      </w:tblPr>
      <w:tblGrid>
        <w:gridCol w:w="4626"/>
      </w:tblGrid>
      <w:tr w:rsidR="002C20FD" w:rsidTr="000B62F9">
        <w:trPr>
          <w:jc w:val="center"/>
        </w:trPr>
        <w:tc>
          <w:tcPr>
            <w:tcW w:w="4260" w:type="dxa"/>
          </w:tcPr>
          <w:p w:rsidR="002C20FD" w:rsidRDefault="002C20FD" w:rsidP="000B62F9">
            <w:pPr>
              <w:jc w:val="center"/>
              <w:rPr>
                <w:b/>
                <w:bCs/>
              </w:rPr>
            </w:pPr>
            <w:r w:rsidRPr="00254168">
              <w:rPr>
                <w:b/>
                <w:bCs/>
                <w:noProof/>
                <w:lang w:eastAsia="en-US"/>
              </w:rPr>
              <w:drawing>
                <wp:inline distT="0" distB="0" distL="0" distR="0">
                  <wp:extent cx="2800350" cy="2543175"/>
                  <wp:effectExtent l="0" t="0" r="0" b="0"/>
                  <wp:docPr id="2" name="Objec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2C20FD" w:rsidRDefault="002C20FD" w:rsidP="00671E95">
      <w:pPr>
        <w:bidi w:val="0"/>
        <w:rPr>
          <w:b/>
          <w:bCs/>
          <w:sz w:val="20"/>
          <w:szCs w:val="20"/>
        </w:rPr>
      </w:pPr>
    </w:p>
    <w:p w:rsidR="008969AA" w:rsidRDefault="008969AA" w:rsidP="00FB76DF">
      <w:pPr>
        <w:bidi w:val="0"/>
        <w:spacing w:line="360" w:lineRule="auto"/>
        <w:jc w:val="both"/>
        <w:outlineLvl w:val="0"/>
        <w:rPr>
          <w:b/>
          <w:bCs/>
        </w:rPr>
      </w:pPr>
    </w:p>
    <w:p w:rsidR="002360DE" w:rsidRPr="00413C6A" w:rsidRDefault="002360DE" w:rsidP="008969AA">
      <w:pPr>
        <w:bidi w:val="0"/>
        <w:spacing w:line="360" w:lineRule="auto"/>
        <w:jc w:val="both"/>
        <w:outlineLvl w:val="0"/>
        <w:rPr>
          <w:b/>
          <w:bCs/>
          <w:sz w:val="4"/>
          <w:szCs w:val="4"/>
        </w:rPr>
      </w:pPr>
      <w:r w:rsidRPr="00B27CFC">
        <w:rPr>
          <w:b/>
          <w:bCs/>
        </w:rPr>
        <w:t xml:space="preserve"> </w:t>
      </w:r>
    </w:p>
    <w:p w:rsidR="007072BF" w:rsidRPr="00671E95" w:rsidRDefault="009817B2" w:rsidP="00671E95">
      <w:pPr>
        <w:bidi w:val="0"/>
        <w:jc w:val="both"/>
        <w:rPr>
          <w:color w:val="000000"/>
          <w:sz w:val="22"/>
          <w:szCs w:val="22"/>
        </w:rPr>
      </w:pPr>
      <w:r w:rsidRPr="00671E95">
        <w:rPr>
          <w:b/>
          <w:bCs/>
          <w:color w:val="000000"/>
          <w:sz w:val="22"/>
          <w:szCs w:val="22"/>
        </w:rPr>
        <w:t>Note</w:t>
      </w:r>
      <w:r w:rsidRPr="00671E95">
        <w:rPr>
          <w:color w:val="000000"/>
          <w:sz w:val="22"/>
          <w:szCs w:val="22"/>
        </w:rPr>
        <w:t>:</w:t>
      </w:r>
    </w:p>
    <w:p w:rsidR="009817B2" w:rsidRPr="009150BB" w:rsidRDefault="009817B2" w:rsidP="00671E95">
      <w:pPr>
        <w:pStyle w:val="ListParagraph"/>
        <w:numPr>
          <w:ilvl w:val="0"/>
          <w:numId w:val="8"/>
        </w:numPr>
        <w:bidi w:val="0"/>
        <w:ind w:left="714" w:hanging="357"/>
        <w:jc w:val="both"/>
        <w:rPr>
          <w:color w:val="000000"/>
          <w:sz w:val="20"/>
          <w:szCs w:val="20"/>
        </w:rPr>
      </w:pPr>
      <w:r w:rsidRPr="00671E95">
        <w:rPr>
          <w:color w:val="000000"/>
          <w:sz w:val="22"/>
          <w:szCs w:val="22"/>
        </w:rPr>
        <w:t xml:space="preserve">Relative </w:t>
      </w:r>
      <w:r w:rsidR="00E51EE1" w:rsidRPr="00671E95">
        <w:rPr>
          <w:color w:val="000000"/>
          <w:sz w:val="22"/>
          <w:szCs w:val="22"/>
        </w:rPr>
        <w:t xml:space="preserve">weight </w:t>
      </w:r>
      <w:r w:rsidRPr="00671E95">
        <w:rPr>
          <w:color w:val="000000"/>
          <w:sz w:val="22"/>
          <w:szCs w:val="22"/>
        </w:rPr>
        <w:t xml:space="preserve">for the main industrial activities represents the percentage </w:t>
      </w:r>
      <w:r w:rsidR="00494CBC" w:rsidRPr="00671E95">
        <w:rPr>
          <w:color w:val="000000"/>
          <w:sz w:val="22"/>
          <w:szCs w:val="22"/>
        </w:rPr>
        <w:t>distribution of value added</w:t>
      </w:r>
      <w:r w:rsidRPr="00671E95">
        <w:rPr>
          <w:color w:val="000000"/>
          <w:sz w:val="22"/>
          <w:szCs w:val="22"/>
        </w:rPr>
        <w:t xml:space="preserve"> for the industrial </w:t>
      </w:r>
      <w:r w:rsidR="0079134F" w:rsidRPr="00671E95">
        <w:rPr>
          <w:color w:val="000000"/>
          <w:sz w:val="22"/>
          <w:szCs w:val="22"/>
        </w:rPr>
        <w:t>activities</w:t>
      </w:r>
      <w:r w:rsidRPr="00671E95">
        <w:rPr>
          <w:color w:val="000000"/>
          <w:sz w:val="22"/>
          <w:szCs w:val="22"/>
        </w:rPr>
        <w:t xml:space="preserve"> in </w:t>
      </w:r>
      <w:r w:rsidR="0067720B" w:rsidRPr="00671E95">
        <w:rPr>
          <w:color w:val="000000"/>
          <w:sz w:val="22"/>
          <w:szCs w:val="22"/>
        </w:rPr>
        <w:t>2013</w:t>
      </w:r>
      <w:r w:rsidRPr="009150BB">
        <w:rPr>
          <w:color w:val="000000"/>
          <w:sz w:val="20"/>
          <w:szCs w:val="20"/>
        </w:rPr>
        <w:t>.</w:t>
      </w:r>
    </w:p>
    <w:p w:rsidR="0087380E" w:rsidRDefault="0087380E" w:rsidP="00413C6A">
      <w:pPr>
        <w:bidi w:val="0"/>
        <w:jc w:val="both"/>
        <w:rPr>
          <w:b/>
          <w:bCs/>
          <w:sz w:val="20"/>
          <w:szCs w:val="20"/>
        </w:rPr>
      </w:pPr>
    </w:p>
    <w:p w:rsidR="00671E95" w:rsidRDefault="00671E95" w:rsidP="00671E95">
      <w:pPr>
        <w:bidi w:val="0"/>
        <w:jc w:val="both"/>
        <w:rPr>
          <w:b/>
          <w:bCs/>
          <w:sz w:val="20"/>
          <w:szCs w:val="20"/>
        </w:rPr>
      </w:pPr>
    </w:p>
    <w:p w:rsidR="009817B2" w:rsidRPr="00E23512" w:rsidRDefault="009817B2" w:rsidP="00764246">
      <w:pPr>
        <w:bidi w:val="0"/>
        <w:jc w:val="both"/>
        <w:rPr>
          <w:sz w:val="20"/>
          <w:szCs w:val="20"/>
        </w:rPr>
      </w:pPr>
    </w:p>
    <w:sectPr w:rsidR="009817B2" w:rsidRPr="00E23512" w:rsidSect="008969AA">
      <w:footerReference w:type="even" r:id="rId9"/>
      <w:footerReference w:type="default" r:id="rId10"/>
      <w:pgSz w:w="11907" w:h="16840" w:code="9"/>
      <w:pgMar w:top="720" w:right="720" w:bottom="720" w:left="720" w:header="426" w:footer="720" w:gutter="0"/>
      <w:pgNumType w:start="1"/>
      <w:cols w:space="851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12BA" w:rsidRDefault="007212BA">
      <w:r>
        <w:separator/>
      </w:r>
    </w:p>
  </w:endnote>
  <w:endnote w:type="continuationSeparator" w:id="0">
    <w:p w:rsidR="007212BA" w:rsidRDefault="007212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129" w:rsidRDefault="003852B2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A61129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A61129" w:rsidRDefault="00A61129">
    <w:pPr>
      <w:pStyle w:val="Footer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930254755"/>
      <w:docPartObj>
        <w:docPartGallery w:val="Page Numbers (Bottom of Page)"/>
        <w:docPartUnique/>
      </w:docPartObj>
    </w:sdtPr>
    <w:sdtContent>
      <w:p w:rsidR="008969AA" w:rsidRDefault="008969AA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1</w:t>
          </w:r>
        </w:fldSimple>
      </w:p>
    </w:sdtContent>
  </w:sdt>
  <w:p w:rsidR="008969AA" w:rsidRDefault="008969A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12BA" w:rsidRDefault="007212BA">
      <w:r>
        <w:separator/>
      </w:r>
    </w:p>
  </w:footnote>
  <w:footnote w:type="continuationSeparator" w:id="0">
    <w:p w:rsidR="007212BA" w:rsidRDefault="007212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>
    <w:nsid w:val="1D9B6B6E"/>
    <w:multiLevelType w:val="hybridMultilevel"/>
    <w:tmpl w:val="EB24849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5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6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7">
    <w:nsid w:val="6D714988"/>
    <w:multiLevelType w:val="hybridMultilevel"/>
    <w:tmpl w:val="6D64F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75106"/>
  </w:hdrShapeDefaults>
  <w:footnotePr>
    <w:footnote w:id="-1"/>
    <w:footnote w:id="0"/>
  </w:footnotePr>
  <w:endnotePr>
    <w:endnote w:id="-1"/>
    <w:endnote w:id="0"/>
  </w:endnotePr>
  <w:compat/>
  <w:rsids>
    <w:rsidRoot w:val="000B0107"/>
    <w:rsid w:val="000033E0"/>
    <w:rsid w:val="00007A9A"/>
    <w:rsid w:val="00007C98"/>
    <w:rsid w:val="00014525"/>
    <w:rsid w:val="000147B8"/>
    <w:rsid w:val="00014BB6"/>
    <w:rsid w:val="00022A3A"/>
    <w:rsid w:val="000244CE"/>
    <w:rsid w:val="00027DAE"/>
    <w:rsid w:val="000308C9"/>
    <w:rsid w:val="000311C6"/>
    <w:rsid w:val="000329F6"/>
    <w:rsid w:val="00033823"/>
    <w:rsid w:val="00041D81"/>
    <w:rsid w:val="00044246"/>
    <w:rsid w:val="00044FA9"/>
    <w:rsid w:val="0005099F"/>
    <w:rsid w:val="00050F54"/>
    <w:rsid w:val="000539D3"/>
    <w:rsid w:val="00055337"/>
    <w:rsid w:val="00056E55"/>
    <w:rsid w:val="00061D6C"/>
    <w:rsid w:val="000639B5"/>
    <w:rsid w:val="00065156"/>
    <w:rsid w:val="00066E2C"/>
    <w:rsid w:val="00070C75"/>
    <w:rsid w:val="0007263E"/>
    <w:rsid w:val="00081A30"/>
    <w:rsid w:val="00081FAB"/>
    <w:rsid w:val="000820C0"/>
    <w:rsid w:val="000912B6"/>
    <w:rsid w:val="0009489E"/>
    <w:rsid w:val="000A0ED5"/>
    <w:rsid w:val="000A5A17"/>
    <w:rsid w:val="000B0107"/>
    <w:rsid w:val="000B4A05"/>
    <w:rsid w:val="000B62F9"/>
    <w:rsid w:val="000B6A44"/>
    <w:rsid w:val="000C03F2"/>
    <w:rsid w:val="000C42CA"/>
    <w:rsid w:val="000C53C8"/>
    <w:rsid w:val="000D0334"/>
    <w:rsid w:val="000D1C28"/>
    <w:rsid w:val="000E5C13"/>
    <w:rsid w:val="000E665C"/>
    <w:rsid w:val="000E74ED"/>
    <w:rsid w:val="000F2822"/>
    <w:rsid w:val="000F34C9"/>
    <w:rsid w:val="000F50B4"/>
    <w:rsid w:val="00100347"/>
    <w:rsid w:val="001006A9"/>
    <w:rsid w:val="00100F0C"/>
    <w:rsid w:val="00107EE7"/>
    <w:rsid w:val="001140E0"/>
    <w:rsid w:val="00114BC7"/>
    <w:rsid w:val="001227BE"/>
    <w:rsid w:val="00125271"/>
    <w:rsid w:val="00126FEB"/>
    <w:rsid w:val="001316AE"/>
    <w:rsid w:val="00135006"/>
    <w:rsid w:val="001414FE"/>
    <w:rsid w:val="00143492"/>
    <w:rsid w:val="001434EE"/>
    <w:rsid w:val="00145540"/>
    <w:rsid w:val="00151981"/>
    <w:rsid w:val="001558E1"/>
    <w:rsid w:val="00160329"/>
    <w:rsid w:val="001619B7"/>
    <w:rsid w:val="0016244D"/>
    <w:rsid w:val="0016488A"/>
    <w:rsid w:val="00165AD0"/>
    <w:rsid w:val="001665D0"/>
    <w:rsid w:val="00171712"/>
    <w:rsid w:val="001727F4"/>
    <w:rsid w:val="00173F6C"/>
    <w:rsid w:val="00174D90"/>
    <w:rsid w:val="0017671C"/>
    <w:rsid w:val="001771C6"/>
    <w:rsid w:val="001773E1"/>
    <w:rsid w:val="001779F8"/>
    <w:rsid w:val="00181E69"/>
    <w:rsid w:val="001844B1"/>
    <w:rsid w:val="001850ED"/>
    <w:rsid w:val="001867AB"/>
    <w:rsid w:val="00190373"/>
    <w:rsid w:val="001922DC"/>
    <w:rsid w:val="001927DA"/>
    <w:rsid w:val="00194A6D"/>
    <w:rsid w:val="00197FC2"/>
    <w:rsid w:val="001A3914"/>
    <w:rsid w:val="001A3C03"/>
    <w:rsid w:val="001A47F5"/>
    <w:rsid w:val="001A4EE0"/>
    <w:rsid w:val="001B1787"/>
    <w:rsid w:val="001B2044"/>
    <w:rsid w:val="001B2D0C"/>
    <w:rsid w:val="001B601A"/>
    <w:rsid w:val="001B79AF"/>
    <w:rsid w:val="001C0549"/>
    <w:rsid w:val="001D2F7D"/>
    <w:rsid w:val="001D6231"/>
    <w:rsid w:val="001D7B33"/>
    <w:rsid w:val="001E520E"/>
    <w:rsid w:val="001F0F28"/>
    <w:rsid w:val="001F2364"/>
    <w:rsid w:val="001F29AA"/>
    <w:rsid w:val="001F423A"/>
    <w:rsid w:val="001F5617"/>
    <w:rsid w:val="001F79D5"/>
    <w:rsid w:val="00203E71"/>
    <w:rsid w:val="00205810"/>
    <w:rsid w:val="00207A9A"/>
    <w:rsid w:val="00211F89"/>
    <w:rsid w:val="0021212F"/>
    <w:rsid w:val="002121CC"/>
    <w:rsid w:val="00212580"/>
    <w:rsid w:val="00212C54"/>
    <w:rsid w:val="00216B60"/>
    <w:rsid w:val="00217F80"/>
    <w:rsid w:val="00220DF8"/>
    <w:rsid w:val="0022447C"/>
    <w:rsid w:val="00224A00"/>
    <w:rsid w:val="0023363F"/>
    <w:rsid w:val="002338E3"/>
    <w:rsid w:val="00233C87"/>
    <w:rsid w:val="0023578C"/>
    <w:rsid w:val="002360DE"/>
    <w:rsid w:val="00240310"/>
    <w:rsid w:val="00243169"/>
    <w:rsid w:val="00253BD9"/>
    <w:rsid w:val="00254B24"/>
    <w:rsid w:val="002551B0"/>
    <w:rsid w:val="0025694A"/>
    <w:rsid w:val="00264413"/>
    <w:rsid w:val="002669FE"/>
    <w:rsid w:val="00270E7D"/>
    <w:rsid w:val="00272715"/>
    <w:rsid w:val="002778E2"/>
    <w:rsid w:val="002812B5"/>
    <w:rsid w:val="00282ABB"/>
    <w:rsid w:val="00283C5D"/>
    <w:rsid w:val="0028405E"/>
    <w:rsid w:val="00290516"/>
    <w:rsid w:val="002911B6"/>
    <w:rsid w:val="00291847"/>
    <w:rsid w:val="0029286F"/>
    <w:rsid w:val="00296690"/>
    <w:rsid w:val="00296FA5"/>
    <w:rsid w:val="002A13A9"/>
    <w:rsid w:val="002A7BF4"/>
    <w:rsid w:val="002B2375"/>
    <w:rsid w:val="002B6F18"/>
    <w:rsid w:val="002C20FD"/>
    <w:rsid w:val="002C2258"/>
    <w:rsid w:val="002C3925"/>
    <w:rsid w:val="002C5B4E"/>
    <w:rsid w:val="002C6D95"/>
    <w:rsid w:val="002D3287"/>
    <w:rsid w:val="002D45BE"/>
    <w:rsid w:val="002D600D"/>
    <w:rsid w:val="002D703E"/>
    <w:rsid w:val="002E0227"/>
    <w:rsid w:val="002E2919"/>
    <w:rsid w:val="002E5902"/>
    <w:rsid w:val="002F0360"/>
    <w:rsid w:val="002F059A"/>
    <w:rsid w:val="002F47F1"/>
    <w:rsid w:val="002F5534"/>
    <w:rsid w:val="002F70A9"/>
    <w:rsid w:val="002F7675"/>
    <w:rsid w:val="003007ED"/>
    <w:rsid w:val="00300F40"/>
    <w:rsid w:val="00301695"/>
    <w:rsid w:val="00301BF1"/>
    <w:rsid w:val="00306BA4"/>
    <w:rsid w:val="00313860"/>
    <w:rsid w:val="0031441A"/>
    <w:rsid w:val="00314A7B"/>
    <w:rsid w:val="00321019"/>
    <w:rsid w:val="00321F88"/>
    <w:rsid w:val="00322131"/>
    <w:rsid w:val="00322C88"/>
    <w:rsid w:val="00323561"/>
    <w:rsid w:val="00323AD2"/>
    <w:rsid w:val="0032602C"/>
    <w:rsid w:val="00334102"/>
    <w:rsid w:val="003365B3"/>
    <w:rsid w:val="00347269"/>
    <w:rsid w:val="00352BF0"/>
    <w:rsid w:val="0035376C"/>
    <w:rsid w:val="0035384D"/>
    <w:rsid w:val="003555B8"/>
    <w:rsid w:val="00357BC1"/>
    <w:rsid w:val="00364896"/>
    <w:rsid w:val="00367DA1"/>
    <w:rsid w:val="003717EF"/>
    <w:rsid w:val="00376CE4"/>
    <w:rsid w:val="0038463E"/>
    <w:rsid w:val="00385102"/>
    <w:rsid w:val="003852B2"/>
    <w:rsid w:val="0039133D"/>
    <w:rsid w:val="00391E45"/>
    <w:rsid w:val="00396AD9"/>
    <w:rsid w:val="00397C90"/>
    <w:rsid w:val="003A1A78"/>
    <w:rsid w:val="003A1E53"/>
    <w:rsid w:val="003B31A6"/>
    <w:rsid w:val="003B468A"/>
    <w:rsid w:val="003B61EB"/>
    <w:rsid w:val="003D1A10"/>
    <w:rsid w:val="003D1B5B"/>
    <w:rsid w:val="003D3115"/>
    <w:rsid w:val="003D35F6"/>
    <w:rsid w:val="003D7079"/>
    <w:rsid w:val="003E389E"/>
    <w:rsid w:val="003E44A5"/>
    <w:rsid w:val="003E4B99"/>
    <w:rsid w:val="003F1AEC"/>
    <w:rsid w:val="003F482B"/>
    <w:rsid w:val="003F4E95"/>
    <w:rsid w:val="003F61D1"/>
    <w:rsid w:val="0040079B"/>
    <w:rsid w:val="00400AE8"/>
    <w:rsid w:val="00401965"/>
    <w:rsid w:val="00401BE6"/>
    <w:rsid w:val="00413C6A"/>
    <w:rsid w:val="0041404C"/>
    <w:rsid w:val="0042217F"/>
    <w:rsid w:val="00422901"/>
    <w:rsid w:val="0042454B"/>
    <w:rsid w:val="00424CEE"/>
    <w:rsid w:val="00424DD0"/>
    <w:rsid w:val="00430DCA"/>
    <w:rsid w:val="00431530"/>
    <w:rsid w:val="00436F39"/>
    <w:rsid w:val="0044059E"/>
    <w:rsid w:val="004421FC"/>
    <w:rsid w:val="00443544"/>
    <w:rsid w:val="004449E9"/>
    <w:rsid w:val="00445766"/>
    <w:rsid w:val="00451FDC"/>
    <w:rsid w:val="00465BA4"/>
    <w:rsid w:val="0046746D"/>
    <w:rsid w:val="00471A72"/>
    <w:rsid w:val="00475EC8"/>
    <w:rsid w:val="00481E8E"/>
    <w:rsid w:val="004843BF"/>
    <w:rsid w:val="00486E25"/>
    <w:rsid w:val="004929AE"/>
    <w:rsid w:val="00494CBC"/>
    <w:rsid w:val="00497C93"/>
    <w:rsid w:val="00497DCE"/>
    <w:rsid w:val="004A73AA"/>
    <w:rsid w:val="004B0507"/>
    <w:rsid w:val="004B1C40"/>
    <w:rsid w:val="004B22B6"/>
    <w:rsid w:val="004B2595"/>
    <w:rsid w:val="004B5CD6"/>
    <w:rsid w:val="004C0930"/>
    <w:rsid w:val="004C1B25"/>
    <w:rsid w:val="004C3658"/>
    <w:rsid w:val="004C4AD1"/>
    <w:rsid w:val="004D0429"/>
    <w:rsid w:val="004D2055"/>
    <w:rsid w:val="004D2449"/>
    <w:rsid w:val="004D6392"/>
    <w:rsid w:val="004D7D2B"/>
    <w:rsid w:val="004E17F1"/>
    <w:rsid w:val="004E4E67"/>
    <w:rsid w:val="004E5C54"/>
    <w:rsid w:val="004F0CE5"/>
    <w:rsid w:val="004F175B"/>
    <w:rsid w:val="004F2879"/>
    <w:rsid w:val="004F4D05"/>
    <w:rsid w:val="00502A0D"/>
    <w:rsid w:val="005046D0"/>
    <w:rsid w:val="00505301"/>
    <w:rsid w:val="005061AB"/>
    <w:rsid w:val="0051198E"/>
    <w:rsid w:val="00511F46"/>
    <w:rsid w:val="00512C8F"/>
    <w:rsid w:val="00513574"/>
    <w:rsid w:val="005158D4"/>
    <w:rsid w:val="0051652D"/>
    <w:rsid w:val="00516B8F"/>
    <w:rsid w:val="00520313"/>
    <w:rsid w:val="00523E35"/>
    <w:rsid w:val="005265C3"/>
    <w:rsid w:val="0053256D"/>
    <w:rsid w:val="00533039"/>
    <w:rsid w:val="00536487"/>
    <w:rsid w:val="005376F9"/>
    <w:rsid w:val="00546AA4"/>
    <w:rsid w:val="00546FEE"/>
    <w:rsid w:val="00550112"/>
    <w:rsid w:val="0055082C"/>
    <w:rsid w:val="00555EAA"/>
    <w:rsid w:val="0056086D"/>
    <w:rsid w:val="0056773D"/>
    <w:rsid w:val="00571811"/>
    <w:rsid w:val="00576676"/>
    <w:rsid w:val="00577491"/>
    <w:rsid w:val="00581716"/>
    <w:rsid w:val="00583589"/>
    <w:rsid w:val="005906ED"/>
    <w:rsid w:val="00593EDB"/>
    <w:rsid w:val="00596974"/>
    <w:rsid w:val="005A15E9"/>
    <w:rsid w:val="005A1D2C"/>
    <w:rsid w:val="005A2811"/>
    <w:rsid w:val="005A43A1"/>
    <w:rsid w:val="005A620E"/>
    <w:rsid w:val="005B041E"/>
    <w:rsid w:val="005B1A81"/>
    <w:rsid w:val="005B1B15"/>
    <w:rsid w:val="005B2C7A"/>
    <w:rsid w:val="005B39C3"/>
    <w:rsid w:val="005B4ABC"/>
    <w:rsid w:val="005B4D6E"/>
    <w:rsid w:val="005B6846"/>
    <w:rsid w:val="005C5B34"/>
    <w:rsid w:val="005D2C9D"/>
    <w:rsid w:val="005D3A43"/>
    <w:rsid w:val="005D3C46"/>
    <w:rsid w:val="005D650F"/>
    <w:rsid w:val="005D6AD5"/>
    <w:rsid w:val="005D6CA2"/>
    <w:rsid w:val="005E1E36"/>
    <w:rsid w:val="005E59F9"/>
    <w:rsid w:val="005F0C59"/>
    <w:rsid w:val="005F1B37"/>
    <w:rsid w:val="005F4497"/>
    <w:rsid w:val="005F449A"/>
    <w:rsid w:val="005F567A"/>
    <w:rsid w:val="00603D13"/>
    <w:rsid w:val="00610BA5"/>
    <w:rsid w:val="00611F38"/>
    <w:rsid w:val="00620DD3"/>
    <w:rsid w:val="0062402E"/>
    <w:rsid w:val="00626991"/>
    <w:rsid w:val="00640591"/>
    <w:rsid w:val="006405D4"/>
    <w:rsid w:val="00642E0B"/>
    <w:rsid w:val="0064358A"/>
    <w:rsid w:val="00647794"/>
    <w:rsid w:val="00654837"/>
    <w:rsid w:val="00656A6A"/>
    <w:rsid w:val="00661610"/>
    <w:rsid w:val="0066195E"/>
    <w:rsid w:val="00661AF3"/>
    <w:rsid w:val="006620C7"/>
    <w:rsid w:val="00662B1F"/>
    <w:rsid w:val="006649F0"/>
    <w:rsid w:val="00665925"/>
    <w:rsid w:val="00666D87"/>
    <w:rsid w:val="00667423"/>
    <w:rsid w:val="00671E95"/>
    <w:rsid w:val="00673336"/>
    <w:rsid w:val="00673B80"/>
    <w:rsid w:val="0067534A"/>
    <w:rsid w:val="0067720B"/>
    <w:rsid w:val="00677A85"/>
    <w:rsid w:val="0068140F"/>
    <w:rsid w:val="006821B1"/>
    <w:rsid w:val="0068231B"/>
    <w:rsid w:val="006830B7"/>
    <w:rsid w:val="0068527E"/>
    <w:rsid w:val="00685CA0"/>
    <w:rsid w:val="006872A6"/>
    <w:rsid w:val="00687555"/>
    <w:rsid w:val="00690031"/>
    <w:rsid w:val="006905AC"/>
    <w:rsid w:val="006910A8"/>
    <w:rsid w:val="00696D0D"/>
    <w:rsid w:val="006B18B1"/>
    <w:rsid w:val="006B4CDC"/>
    <w:rsid w:val="006B603F"/>
    <w:rsid w:val="006B73DF"/>
    <w:rsid w:val="006C2BB5"/>
    <w:rsid w:val="006C76AC"/>
    <w:rsid w:val="006C7E2E"/>
    <w:rsid w:val="006D26FC"/>
    <w:rsid w:val="006D27D8"/>
    <w:rsid w:val="006D38AC"/>
    <w:rsid w:val="006D4274"/>
    <w:rsid w:val="006D6D53"/>
    <w:rsid w:val="006D6E7D"/>
    <w:rsid w:val="006E0AE0"/>
    <w:rsid w:val="006E24D3"/>
    <w:rsid w:val="006E33A2"/>
    <w:rsid w:val="006E3CB4"/>
    <w:rsid w:val="006E45C8"/>
    <w:rsid w:val="006E5260"/>
    <w:rsid w:val="006E71D7"/>
    <w:rsid w:val="006E7425"/>
    <w:rsid w:val="006F29F2"/>
    <w:rsid w:val="006F413D"/>
    <w:rsid w:val="006F575A"/>
    <w:rsid w:val="006F64E7"/>
    <w:rsid w:val="007025DA"/>
    <w:rsid w:val="00704A32"/>
    <w:rsid w:val="007054B0"/>
    <w:rsid w:val="0070595F"/>
    <w:rsid w:val="007072BF"/>
    <w:rsid w:val="007212BA"/>
    <w:rsid w:val="007303DE"/>
    <w:rsid w:val="00731E03"/>
    <w:rsid w:val="007370CD"/>
    <w:rsid w:val="00740551"/>
    <w:rsid w:val="00740A94"/>
    <w:rsid w:val="00747FD0"/>
    <w:rsid w:val="00750BC1"/>
    <w:rsid w:val="0075239A"/>
    <w:rsid w:val="00764246"/>
    <w:rsid w:val="0077217D"/>
    <w:rsid w:val="00772F89"/>
    <w:rsid w:val="00773410"/>
    <w:rsid w:val="00773D3D"/>
    <w:rsid w:val="007742FF"/>
    <w:rsid w:val="00781A90"/>
    <w:rsid w:val="007828F1"/>
    <w:rsid w:val="00783A68"/>
    <w:rsid w:val="0079134F"/>
    <w:rsid w:val="0079181B"/>
    <w:rsid w:val="00792D6D"/>
    <w:rsid w:val="007A1F93"/>
    <w:rsid w:val="007A5D07"/>
    <w:rsid w:val="007B7981"/>
    <w:rsid w:val="007C0410"/>
    <w:rsid w:val="007C2CD1"/>
    <w:rsid w:val="007C3125"/>
    <w:rsid w:val="007C3F82"/>
    <w:rsid w:val="007C4527"/>
    <w:rsid w:val="007C7548"/>
    <w:rsid w:val="007D2A58"/>
    <w:rsid w:val="007D4DCB"/>
    <w:rsid w:val="007D52AC"/>
    <w:rsid w:val="007D5CBF"/>
    <w:rsid w:val="007D7D94"/>
    <w:rsid w:val="007E07BF"/>
    <w:rsid w:val="007E355C"/>
    <w:rsid w:val="007F2DF7"/>
    <w:rsid w:val="007F3181"/>
    <w:rsid w:val="007F5A75"/>
    <w:rsid w:val="007F6A27"/>
    <w:rsid w:val="008021F0"/>
    <w:rsid w:val="00804643"/>
    <w:rsid w:val="00805824"/>
    <w:rsid w:val="008073AC"/>
    <w:rsid w:val="00810935"/>
    <w:rsid w:val="00825360"/>
    <w:rsid w:val="00825402"/>
    <w:rsid w:val="0082662A"/>
    <w:rsid w:val="0082662B"/>
    <w:rsid w:val="008312EE"/>
    <w:rsid w:val="00842AB4"/>
    <w:rsid w:val="00844D10"/>
    <w:rsid w:val="008463AE"/>
    <w:rsid w:val="00847DEA"/>
    <w:rsid w:val="008516AC"/>
    <w:rsid w:val="00856346"/>
    <w:rsid w:val="0085729D"/>
    <w:rsid w:val="008579EE"/>
    <w:rsid w:val="00867FD0"/>
    <w:rsid w:val="00872AE4"/>
    <w:rsid w:val="0087380E"/>
    <w:rsid w:val="00874292"/>
    <w:rsid w:val="008753B9"/>
    <w:rsid w:val="008763CE"/>
    <w:rsid w:val="008803C9"/>
    <w:rsid w:val="0088211A"/>
    <w:rsid w:val="00883C5C"/>
    <w:rsid w:val="00885824"/>
    <w:rsid w:val="00887D11"/>
    <w:rsid w:val="00890639"/>
    <w:rsid w:val="008969AA"/>
    <w:rsid w:val="008A413F"/>
    <w:rsid w:val="008A7504"/>
    <w:rsid w:val="008B5A0F"/>
    <w:rsid w:val="008B63B8"/>
    <w:rsid w:val="008B7815"/>
    <w:rsid w:val="008C3122"/>
    <w:rsid w:val="008D0698"/>
    <w:rsid w:val="008D77B1"/>
    <w:rsid w:val="008E4BBA"/>
    <w:rsid w:val="008E4E84"/>
    <w:rsid w:val="008E6D13"/>
    <w:rsid w:val="008F3798"/>
    <w:rsid w:val="008F47F7"/>
    <w:rsid w:val="008F5750"/>
    <w:rsid w:val="008F57F4"/>
    <w:rsid w:val="009017B8"/>
    <w:rsid w:val="00902B3A"/>
    <w:rsid w:val="00904483"/>
    <w:rsid w:val="00905751"/>
    <w:rsid w:val="00906094"/>
    <w:rsid w:val="0091477F"/>
    <w:rsid w:val="009150BB"/>
    <w:rsid w:val="00920146"/>
    <w:rsid w:val="0092225D"/>
    <w:rsid w:val="00925097"/>
    <w:rsid w:val="0092553B"/>
    <w:rsid w:val="00926376"/>
    <w:rsid w:val="00926D47"/>
    <w:rsid w:val="00927173"/>
    <w:rsid w:val="0092769A"/>
    <w:rsid w:val="00932644"/>
    <w:rsid w:val="00944C65"/>
    <w:rsid w:val="0095197D"/>
    <w:rsid w:val="009534D0"/>
    <w:rsid w:val="0096074B"/>
    <w:rsid w:val="00960ACB"/>
    <w:rsid w:val="00960C62"/>
    <w:rsid w:val="009621E0"/>
    <w:rsid w:val="00963339"/>
    <w:rsid w:val="00971306"/>
    <w:rsid w:val="00974B57"/>
    <w:rsid w:val="00975001"/>
    <w:rsid w:val="009817B2"/>
    <w:rsid w:val="00984E63"/>
    <w:rsid w:val="00985194"/>
    <w:rsid w:val="0099168B"/>
    <w:rsid w:val="00991F41"/>
    <w:rsid w:val="009943CB"/>
    <w:rsid w:val="00997DEC"/>
    <w:rsid w:val="009A49C7"/>
    <w:rsid w:val="009A6470"/>
    <w:rsid w:val="009B03BD"/>
    <w:rsid w:val="009B1BB1"/>
    <w:rsid w:val="009B2FA2"/>
    <w:rsid w:val="009B3A99"/>
    <w:rsid w:val="009B3BE2"/>
    <w:rsid w:val="009B4D97"/>
    <w:rsid w:val="009C2103"/>
    <w:rsid w:val="009C594A"/>
    <w:rsid w:val="009C7284"/>
    <w:rsid w:val="009D5AAA"/>
    <w:rsid w:val="009E38D8"/>
    <w:rsid w:val="009E5A59"/>
    <w:rsid w:val="009E7231"/>
    <w:rsid w:val="009F0DA5"/>
    <w:rsid w:val="009F0E85"/>
    <w:rsid w:val="009F3E89"/>
    <w:rsid w:val="009F498A"/>
    <w:rsid w:val="00A02C03"/>
    <w:rsid w:val="00A02C6A"/>
    <w:rsid w:val="00A032F1"/>
    <w:rsid w:val="00A06979"/>
    <w:rsid w:val="00A114AB"/>
    <w:rsid w:val="00A12EDF"/>
    <w:rsid w:val="00A149AD"/>
    <w:rsid w:val="00A14C7C"/>
    <w:rsid w:val="00A216B2"/>
    <w:rsid w:val="00A2266E"/>
    <w:rsid w:val="00A23424"/>
    <w:rsid w:val="00A27ABC"/>
    <w:rsid w:val="00A33A83"/>
    <w:rsid w:val="00A35DCF"/>
    <w:rsid w:val="00A378EF"/>
    <w:rsid w:val="00A42FE6"/>
    <w:rsid w:val="00A454F1"/>
    <w:rsid w:val="00A46DDE"/>
    <w:rsid w:val="00A5591D"/>
    <w:rsid w:val="00A56034"/>
    <w:rsid w:val="00A57297"/>
    <w:rsid w:val="00A61129"/>
    <w:rsid w:val="00A620D5"/>
    <w:rsid w:val="00A737EF"/>
    <w:rsid w:val="00A748E7"/>
    <w:rsid w:val="00A809A1"/>
    <w:rsid w:val="00A8187D"/>
    <w:rsid w:val="00A8660D"/>
    <w:rsid w:val="00A9669C"/>
    <w:rsid w:val="00AA1B14"/>
    <w:rsid w:val="00AA1F6C"/>
    <w:rsid w:val="00AA5DCA"/>
    <w:rsid w:val="00AA6AED"/>
    <w:rsid w:val="00AB03B2"/>
    <w:rsid w:val="00AB0686"/>
    <w:rsid w:val="00AB1517"/>
    <w:rsid w:val="00AC0441"/>
    <w:rsid w:val="00AC75C6"/>
    <w:rsid w:val="00AD2D52"/>
    <w:rsid w:val="00AD50C2"/>
    <w:rsid w:val="00AE2ADB"/>
    <w:rsid w:val="00AE5E44"/>
    <w:rsid w:val="00AE77B4"/>
    <w:rsid w:val="00AF01AA"/>
    <w:rsid w:val="00AF03BE"/>
    <w:rsid w:val="00AF195D"/>
    <w:rsid w:val="00AF1C3D"/>
    <w:rsid w:val="00B01052"/>
    <w:rsid w:val="00B02764"/>
    <w:rsid w:val="00B056F6"/>
    <w:rsid w:val="00B05C3F"/>
    <w:rsid w:val="00B067DE"/>
    <w:rsid w:val="00B077F1"/>
    <w:rsid w:val="00B101A8"/>
    <w:rsid w:val="00B10707"/>
    <w:rsid w:val="00B11C7B"/>
    <w:rsid w:val="00B141E5"/>
    <w:rsid w:val="00B143DD"/>
    <w:rsid w:val="00B1477A"/>
    <w:rsid w:val="00B22B2C"/>
    <w:rsid w:val="00B2310F"/>
    <w:rsid w:val="00B24039"/>
    <w:rsid w:val="00B264AF"/>
    <w:rsid w:val="00B26600"/>
    <w:rsid w:val="00B26693"/>
    <w:rsid w:val="00B40285"/>
    <w:rsid w:val="00B41F8E"/>
    <w:rsid w:val="00B42C5D"/>
    <w:rsid w:val="00B42FD7"/>
    <w:rsid w:val="00B431B9"/>
    <w:rsid w:val="00B4579A"/>
    <w:rsid w:val="00B508FB"/>
    <w:rsid w:val="00B5321C"/>
    <w:rsid w:val="00B647DA"/>
    <w:rsid w:val="00B72769"/>
    <w:rsid w:val="00B73E3F"/>
    <w:rsid w:val="00B80452"/>
    <w:rsid w:val="00B8382A"/>
    <w:rsid w:val="00B84625"/>
    <w:rsid w:val="00B84A7F"/>
    <w:rsid w:val="00B85541"/>
    <w:rsid w:val="00B90811"/>
    <w:rsid w:val="00B90DB4"/>
    <w:rsid w:val="00B97250"/>
    <w:rsid w:val="00BA1EED"/>
    <w:rsid w:val="00BA2922"/>
    <w:rsid w:val="00BA2ED9"/>
    <w:rsid w:val="00BB0E94"/>
    <w:rsid w:val="00BC03A1"/>
    <w:rsid w:val="00BC653B"/>
    <w:rsid w:val="00BD1B6A"/>
    <w:rsid w:val="00BD381B"/>
    <w:rsid w:val="00BD41EE"/>
    <w:rsid w:val="00BD4C29"/>
    <w:rsid w:val="00BD69A9"/>
    <w:rsid w:val="00BE7B6E"/>
    <w:rsid w:val="00BF0695"/>
    <w:rsid w:val="00BF1A8A"/>
    <w:rsid w:val="00C003E4"/>
    <w:rsid w:val="00C00821"/>
    <w:rsid w:val="00C020DE"/>
    <w:rsid w:val="00C04AE9"/>
    <w:rsid w:val="00C10018"/>
    <w:rsid w:val="00C10A46"/>
    <w:rsid w:val="00C12DA5"/>
    <w:rsid w:val="00C1561A"/>
    <w:rsid w:val="00C1583F"/>
    <w:rsid w:val="00C1649F"/>
    <w:rsid w:val="00C22586"/>
    <w:rsid w:val="00C23A13"/>
    <w:rsid w:val="00C24A3D"/>
    <w:rsid w:val="00C26040"/>
    <w:rsid w:val="00C27962"/>
    <w:rsid w:val="00C32797"/>
    <w:rsid w:val="00C35EB6"/>
    <w:rsid w:val="00C372F7"/>
    <w:rsid w:val="00C40110"/>
    <w:rsid w:val="00C4255F"/>
    <w:rsid w:val="00C51D23"/>
    <w:rsid w:val="00C54769"/>
    <w:rsid w:val="00C569B2"/>
    <w:rsid w:val="00C60395"/>
    <w:rsid w:val="00C60970"/>
    <w:rsid w:val="00C6145B"/>
    <w:rsid w:val="00C63DCE"/>
    <w:rsid w:val="00C72A39"/>
    <w:rsid w:val="00C756AE"/>
    <w:rsid w:val="00C80152"/>
    <w:rsid w:val="00C821D8"/>
    <w:rsid w:val="00C82529"/>
    <w:rsid w:val="00C91D87"/>
    <w:rsid w:val="00CA1288"/>
    <w:rsid w:val="00CA3BE9"/>
    <w:rsid w:val="00CA429B"/>
    <w:rsid w:val="00CB12C2"/>
    <w:rsid w:val="00CB2062"/>
    <w:rsid w:val="00CB46E7"/>
    <w:rsid w:val="00CC1709"/>
    <w:rsid w:val="00CC4669"/>
    <w:rsid w:val="00CC5BF1"/>
    <w:rsid w:val="00CD1059"/>
    <w:rsid w:val="00CD42C0"/>
    <w:rsid w:val="00CD4AF7"/>
    <w:rsid w:val="00CD4F0A"/>
    <w:rsid w:val="00CD6BC1"/>
    <w:rsid w:val="00CD7774"/>
    <w:rsid w:val="00CE026C"/>
    <w:rsid w:val="00CE1E64"/>
    <w:rsid w:val="00CE2914"/>
    <w:rsid w:val="00CE2B7A"/>
    <w:rsid w:val="00CE5065"/>
    <w:rsid w:val="00CF1090"/>
    <w:rsid w:val="00CF6876"/>
    <w:rsid w:val="00D00486"/>
    <w:rsid w:val="00D056EF"/>
    <w:rsid w:val="00D1224F"/>
    <w:rsid w:val="00D16931"/>
    <w:rsid w:val="00D17CCC"/>
    <w:rsid w:val="00D20111"/>
    <w:rsid w:val="00D25E04"/>
    <w:rsid w:val="00D31167"/>
    <w:rsid w:val="00D315CA"/>
    <w:rsid w:val="00D3520C"/>
    <w:rsid w:val="00D40AA5"/>
    <w:rsid w:val="00D41842"/>
    <w:rsid w:val="00D456EE"/>
    <w:rsid w:val="00D461B4"/>
    <w:rsid w:val="00D46390"/>
    <w:rsid w:val="00D468C7"/>
    <w:rsid w:val="00D4707A"/>
    <w:rsid w:val="00D522E6"/>
    <w:rsid w:val="00D571D0"/>
    <w:rsid w:val="00D6067D"/>
    <w:rsid w:val="00D644F8"/>
    <w:rsid w:val="00D65204"/>
    <w:rsid w:val="00D66B4C"/>
    <w:rsid w:val="00D734A1"/>
    <w:rsid w:val="00D74FDB"/>
    <w:rsid w:val="00D80ED1"/>
    <w:rsid w:val="00D84B42"/>
    <w:rsid w:val="00D854D8"/>
    <w:rsid w:val="00D873B5"/>
    <w:rsid w:val="00D87BA4"/>
    <w:rsid w:val="00D95C97"/>
    <w:rsid w:val="00D9614C"/>
    <w:rsid w:val="00D96605"/>
    <w:rsid w:val="00D96C00"/>
    <w:rsid w:val="00D976FE"/>
    <w:rsid w:val="00DA569D"/>
    <w:rsid w:val="00DD00DD"/>
    <w:rsid w:val="00DD09BF"/>
    <w:rsid w:val="00DD2DC9"/>
    <w:rsid w:val="00DD342C"/>
    <w:rsid w:val="00DE642B"/>
    <w:rsid w:val="00DE6A9F"/>
    <w:rsid w:val="00DF1A45"/>
    <w:rsid w:val="00DF2D14"/>
    <w:rsid w:val="00DF3752"/>
    <w:rsid w:val="00DF3E21"/>
    <w:rsid w:val="00DF7563"/>
    <w:rsid w:val="00DF75D9"/>
    <w:rsid w:val="00DF776A"/>
    <w:rsid w:val="00E068C7"/>
    <w:rsid w:val="00E06EEE"/>
    <w:rsid w:val="00E07E9A"/>
    <w:rsid w:val="00E12FAD"/>
    <w:rsid w:val="00E17BB4"/>
    <w:rsid w:val="00E213AE"/>
    <w:rsid w:val="00E2172E"/>
    <w:rsid w:val="00E23512"/>
    <w:rsid w:val="00E23D48"/>
    <w:rsid w:val="00E242A3"/>
    <w:rsid w:val="00E26E1C"/>
    <w:rsid w:val="00E272FA"/>
    <w:rsid w:val="00E32B0F"/>
    <w:rsid w:val="00E345AE"/>
    <w:rsid w:val="00E36B90"/>
    <w:rsid w:val="00E4144E"/>
    <w:rsid w:val="00E42705"/>
    <w:rsid w:val="00E47503"/>
    <w:rsid w:val="00E50B6C"/>
    <w:rsid w:val="00E51D6E"/>
    <w:rsid w:val="00E51EE1"/>
    <w:rsid w:val="00E52237"/>
    <w:rsid w:val="00E7340D"/>
    <w:rsid w:val="00E759B9"/>
    <w:rsid w:val="00E8121A"/>
    <w:rsid w:val="00E91BB0"/>
    <w:rsid w:val="00EA0A8C"/>
    <w:rsid w:val="00EA10F1"/>
    <w:rsid w:val="00EA41F2"/>
    <w:rsid w:val="00EA4F14"/>
    <w:rsid w:val="00EA50CB"/>
    <w:rsid w:val="00EA7205"/>
    <w:rsid w:val="00EB030E"/>
    <w:rsid w:val="00EB2587"/>
    <w:rsid w:val="00EC357B"/>
    <w:rsid w:val="00EC3F14"/>
    <w:rsid w:val="00EC407D"/>
    <w:rsid w:val="00ED0078"/>
    <w:rsid w:val="00ED15ED"/>
    <w:rsid w:val="00EE0BA7"/>
    <w:rsid w:val="00EE2B43"/>
    <w:rsid w:val="00EE4E26"/>
    <w:rsid w:val="00EE5702"/>
    <w:rsid w:val="00EF14F2"/>
    <w:rsid w:val="00EF74AB"/>
    <w:rsid w:val="00F0420F"/>
    <w:rsid w:val="00F07659"/>
    <w:rsid w:val="00F1345B"/>
    <w:rsid w:val="00F14393"/>
    <w:rsid w:val="00F15344"/>
    <w:rsid w:val="00F15E48"/>
    <w:rsid w:val="00F206EB"/>
    <w:rsid w:val="00F22A95"/>
    <w:rsid w:val="00F25B43"/>
    <w:rsid w:val="00F261FD"/>
    <w:rsid w:val="00F272B4"/>
    <w:rsid w:val="00F3233B"/>
    <w:rsid w:val="00F3698A"/>
    <w:rsid w:val="00F42495"/>
    <w:rsid w:val="00F47AA3"/>
    <w:rsid w:val="00F50811"/>
    <w:rsid w:val="00F50D92"/>
    <w:rsid w:val="00F515C5"/>
    <w:rsid w:val="00F54CD5"/>
    <w:rsid w:val="00F54E9A"/>
    <w:rsid w:val="00F55940"/>
    <w:rsid w:val="00F55BF9"/>
    <w:rsid w:val="00F55CE7"/>
    <w:rsid w:val="00F60E5D"/>
    <w:rsid w:val="00F65E36"/>
    <w:rsid w:val="00F67F03"/>
    <w:rsid w:val="00F7319B"/>
    <w:rsid w:val="00F76BBB"/>
    <w:rsid w:val="00F80B75"/>
    <w:rsid w:val="00F8132A"/>
    <w:rsid w:val="00F82CF6"/>
    <w:rsid w:val="00F90156"/>
    <w:rsid w:val="00F90C7C"/>
    <w:rsid w:val="00F92C8F"/>
    <w:rsid w:val="00F952E0"/>
    <w:rsid w:val="00FA0997"/>
    <w:rsid w:val="00FA0C57"/>
    <w:rsid w:val="00FA3DE5"/>
    <w:rsid w:val="00FA4BE8"/>
    <w:rsid w:val="00FB76DF"/>
    <w:rsid w:val="00FC21BA"/>
    <w:rsid w:val="00FC72C8"/>
    <w:rsid w:val="00FD334D"/>
    <w:rsid w:val="00FD3411"/>
    <w:rsid w:val="00FD4CB5"/>
    <w:rsid w:val="00FD61F6"/>
    <w:rsid w:val="00FD657B"/>
    <w:rsid w:val="00FE0829"/>
    <w:rsid w:val="00FE5909"/>
    <w:rsid w:val="00FF056D"/>
    <w:rsid w:val="00FF7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51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uiPriority w:val="99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basedOn w:val="DefaultParagraphFont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basedOn w:val="DefaultParagraphFont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basedOn w:val="DefaultParagraphFont"/>
    <w:uiPriority w:val="99"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basedOn w:val="DefaultParagraphFont"/>
    <w:semiHidden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39"/>
    <w:rsid w:val="00CE1E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semiHidden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basedOn w:val="DefaultParagraphFont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basedOn w:val="DefaultParagraphFont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basedOn w:val="DefaultParagraphFont"/>
    <w:semiHidden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basedOn w:val="DefaultParagraphFont"/>
    <w:semiHidden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59"/>
    <w:rsid w:val="00CE1E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6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plotArea>
      <c:layout>
        <c:manualLayout>
          <c:layoutTarget val="inner"/>
          <c:xMode val="edge"/>
          <c:yMode val="edge"/>
          <c:x val="0.14902216170347141"/>
          <c:y val="5.6031947533168106E-2"/>
          <c:w val="0.85097783829653784"/>
          <c:h val="0.65717025856199995"/>
        </c:manualLayout>
      </c:layout>
      <c:lineChart>
        <c:grouping val="standard"/>
        <c:ser>
          <c:idx val="0"/>
          <c:order val="0"/>
          <c:marker>
            <c:symbol val="none"/>
          </c:marker>
          <c:dLbls>
            <c:dLbl>
              <c:idx val="0"/>
              <c:layout>
                <c:manualLayout>
                  <c:x val="-8.2395753162433708E-2"/>
                  <c:y val="-4.4201834321271713E-2"/>
                </c:manualLayout>
              </c:layout>
              <c:dLblPos val="r"/>
              <c:showVal val="1"/>
            </c:dLbl>
            <c:dLbl>
              <c:idx val="11"/>
              <c:layout>
                <c:manualLayout>
                  <c:x val="0"/>
                  <c:y val="-3.995006242197259E-2"/>
                </c:manualLayout>
              </c:layout>
              <c:showVal val="1"/>
            </c:dLbl>
            <c:dLbl>
              <c:idx val="12"/>
              <c:layout>
                <c:manualLayout>
                  <c:x val="-3.5093244923331997E-2"/>
                  <c:y val="-3.6408033265504784E-2"/>
                </c:manualLayout>
              </c:layout>
              <c:dLblPos val="r"/>
              <c:showVal val="1"/>
            </c:dLbl>
            <c:delete val="1"/>
            <c:txPr>
              <a:bodyPr/>
              <a:lstStyle/>
              <a:p>
                <a:pPr>
                  <a:defRPr b="1"/>
                </a:pPr>
                <a:endParaRPr lang="ar-SA"/>
              </a:p>
            </c:txPr>
          </c:dLbls>
          <c:cat>
            <c:strRef>
              <c:f>Sheet1!$A$2:$L$2</c:f>
              <c:strCache>
                <c:ptCount val="12"/>
                <c:pt idx="0">
                  <c:v>Jan.2018</c:v>
                </c:pt>
                <c:pt idx="1">
                  <c:v>Feb.2018</c:v>
                </c:pt>
                <c:pt idx="2">
                  <c:v>Mar.2018</c:v>
                </c:pt>
                <c:pt idx="3">
                  <c:v>Apr.2018</c:v>
                </c:pt>
                <c:pt idx="4">
                  <c:v>May.2018</c:v>
                </c:pt>
                <c:pt idx="5">
                  <c:v>Jun.2018</c:v>
                </c:pt>
                <c:pt idx="6">
                  <c:v>Jul.2018</c:v>
                </c:pt>
                <c:pt idx="7">
                  <c:v>Aug.2018</c:v>
                </c:pt>
                <c:pt idx="8">
                  <c:v>Sep.2018</c:v>
                </c:pt>
                <c:pt idx="9">
                  <c:v>Oct.2018</c:v>
                </c:pt>
                <c:pt idx="10">
                  <c:v>Nov.2018</c:v>
                </c:pt>
                <c:pt idx="11">
                  <c:v>Dec.2018</c:v>
                </c:pt>
              </c:strCache>
            </c:strRef>
          </c:cat>
          <c:val>
            <c:numRef>
              <c:f>Sheet1!$A$3:$L$3</c:f>
              <c:numCache>
                <c:formatCode>0.00</c:formatCode>
                <c:ptCount val="12"/>
                <c:pt idx="0">
                  <c:v>101.38</c:v>
                </c:pt>
                <c:pt idx="1">
                  <c:v>100.34</c:v>
                </c:pt>
                <c:pt idx="2">
                  <c:v>105.16999999999999</c:v>
                </c:pt>
                <c:pt idx="3">
                  <c:v>101.64999999999999</c:v>
                </c:pt>
                <c:pt idx="4">
                  <c:v>98.440000000000026</c:v>
                </c:pt>
                <c:pt idx="5">
                  <c:v>93.3</c:v>
                </c:pt>
                <c:pt idx="6">
                  <c:v>104.58</c:v>
                </c:pt>
                <c:pt idx="7">
                  <c:v>102.11999999999999</c:v>
                </c:pt>
                <c:pt idx="8">
                  <c:v>109.96000000000002</c:v>
                </c:pt>
                <c:pt idx="9">
                  <c:v>106.6</c:v>
                </c:pt>
                <c:pt idx="10">
                  <c:v>109.17999999999998</c:v>
                </c:pt>
                <c:pt idx="11">
                  <c:v>110.41000000000008</c:v>
                </c:pt>
              </c:numCache>
            </c:numRef>
          </c:val>
        </c:ser>
        <c:marker val="1"/>
        <c:axId val="114537600"/>
        <c:axId val="114539136"/>
      </c:lineChart>
      <c:catAx>
        <c:axId val="114537600"/>
        <c:scaling>
          <c:orientation val="minMax"/>
        </c:scaling>
        <c:axPos val="b"/>
        <c:numFmt formatCode="0.00" sourceLinked="1"/>
        <c:tickLblPos val="nextTo"/>
        <c:txPr>
          <a:bodyPr rot="3900000"/>
          <a:lstStyle/>
          <a:p>
            <a:pPr>
              <a:defRPr/>
            </a:pPr>
            <a:endParaRPr lang="ar-SA"/>
          </a:p>
        </c:txPr>
        <c:crossAx val="114539136"/>
        <c:crossesAt val="85"/>
        <c:auto val="1"/>
        <c:lblAlgn val="ctr"/>
        <c:lblOffset val="100"/>
      </c:catAx>
      <c:valAx>
        <c:axId val="114539136"/>
        <c:scaling>
          <c:orientation val="minMax"/>
          <c:max val="130"/>
          <c:min val="85"/>
        </c:scaling>
        <c:axPos val="l"/>
        <c:numFmt formatCode="0" sourceLinked="0"/>
        <c:tickLblPos val="nextTo"/>
        <c:crossAx val="114537600"/>
        <c:crosses val="autoZero"/>
        <c:crossBetween val="between"/>
        <c:majorUnit val="5"/>
        <c:minorUnit val="1"/>
      </c:valAx>
    </c:plotArea>
    <c:plotVisOnly val="1"/>
    <c:dispBlanksAs val="gap"/>
  </c:chart>
  <c:spPr>
    <a:noFill/>
    <a:ln cmpd="sng">
      <a:noFill/>
    </a:ln>
  </c:spPr>
  <c:txPr>
    <a:bodyPr/>
    <a:lstStyle/>
    <a:p>
      <a:pPr>
        <a:defRPr sz="900">
          <a:latin typeface="Arial" pitchFamily="34" charset="0"/>
          <a:cs typeface="Arial" pitchFamily="34" charset="0"/>
        </a:defRPr>
      </a:pPr>
      <a:endParaRPr lang="ar-SA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046C1-FF75-45F5-BC7C-67C7307DC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2324</CharactersWithSpaces>
  <SharedDoc>false</SharedDoc>
  <HLinks>
    <vt:vector size="6" baseType="variant"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hbadran</cp:lastModifiedBy>
  <cp:revision>4</cp:revision>
  <cp:lastPrinted>2019-02-04T08:19:00Z</cp:lastPrinted>
  <dcterms:created xsi:type="dcterms:W3CDTF">2019-02-04T08:23:00Z</dcterms:created>
  <dcterms:modified xsi:type="dcterms:W3CDTF">2019-02-04T08:24:00Z</dcterms:modified>
</cp:coreProperties>
</file>