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8B" w:rsidRDefault="00D30B8B" w:rsidP="00D30B8B">
      <w:pPr>
        <w:pStyle w:val="Heading5"/>
        <w:ind w:left="-71"/>
        <w:jc w:val="right"/>
        <w:rPr>
          <w:sz w:val="26"/>
          <w:szCs w:val="26"/>
          <w:u w:val="none"/>
        </w:rPr>
      </w:pPr>
    </w:p>
    <w:p w:rsidR="00526658" w:rsidRPr="00D30B8B" w:rsidRDefault="00760FF9" w:rsidP="00D30B8B">
      <w:pPr>
        <w:pStyle w:val="Heading5"/>
        <w:bidi w:val="0"/>
        <w:ind w:left="-71"/>
        <w:jc w:val="both"/>
        <w:rPr>
          <w:sz w:val="30"/>
          <w:szCs w:val="30"/>
          <w:u w:val="none"/>
        </w:rPr>
      </w:pPr>
      <w:r w:rsidRPr="00D30B8B">
        <w:rPr>
          <w:sz w:val="30"/>
          <w:szCs w:val="30"/>
          <w:u w:val="none"/>
        </w:rPr>
        <w:t>H.E. Dr. Awad, Highlights the Situation of the Palestinian Women on the Eve of the International Women's Day, 08/03/2020</w:t>
      </w:r>
    </w:p>
    <w:p w:rsidR="00760FF9" w:rsidRPr="00D30B8B" w:rsidRDefault="00D30B8B" w:rsidP="00D30B8B">
      <w:pPr>
        <w:tabs>
          <w:tab w:val="left" w:pos="3930"/>
        </w:tabs>
        <w:bidi w:val="0"/>
        <w:jc w:val="both"/>
        <w:rPr>
          <w:sz w:val="28"/>
          <w:szCs w:val="28"/>
          <w:rtl/>
          <w:lang w:eastAsia="ar-SA"/>
        </w:rPr>
      </w:pPr>
      <w:r w:rsidRPr="00D30B8B">
        <w:rPr>
          <w:sz w:val="28"/>
          <w:szCs w:val="28"/>
          <w:lang w:eastAsia="ar-SA"/>
        </w:rPr>
        <w:tab/>
      </w:r>
    </w:p>
    <w:p w:rsidR="00E054F9" w:rsidRPr="00D30B8B" w:rsidRDefault="00760FF9" w:rsidP="00D30B8B">
      <w:pPr>
        <w:tabs>
          <w:tab w:val="left" w:pos="9071"/>
        </w:tabs>
        <w:bidi w:val="0"/>
        <w:ind w:right="-71"/>
        <w:jc w:val="both"/>
        <w:rPr>
          <w:rFonts w:ascii="Times New Roman" w:hAnsi="Times New Roman"/>
          <w:b/>
          <w:bCs/>
          <w:sz w:val="28"/>
          <w:szCs w:val="28"/>
        </w:rPr>
      </w:pPr>
      <w:r w:rsidRPr="00D30B8B">
        <w:rPr>
          <w:rFonts w:ascii="Times New Roman" w:hAnsi="Times New Roman"/>
          <w:b/>
          <w:bCs/>
          <w:sz w:val="28"/>
          <w:szCs w:val="28"/>
        </w:rPr>
        <w:t>H.E. Dr. Ola Awad, President of the Palestinian Central Bureau of Statistics (PCBS), on Thursday 05/03/2020, highlighted the situation of the Palestinian women on the eve of the International Women's Day, 08/03/2020</w:t>
      </w:r>
    </w:p>
    <w:p w:rsidR="00760FF9" w:rsidRPr="00760FF9" w:rsidRDefault="00760FF9" w:rsidP="00760FF9">
      <w:pPr>
        <w:tabs>
          <w:tab w:val="left" w:pos="9071"/>
        </w:tabs>
        <w:bidi w:val="0"/>
        <w:ind w:right="-71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036DB" w:rsidRPr="00D30B8B" w:rsidRDefault="00D036DB" w:rsidP="00A14E51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OLE_LINK2"/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Women </w:t>
      </w:r>
      <w:r w:rsidR="00A5319D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r</w:t>
      </w: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epresent half of the</w:t>
      </w:r>
      <w:r w:rsidR="002D4725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Palestinian </w:t>
      </w:r>
      <w:r w:rsidR="00C16E9B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s</w:t>
      </w:r>
      <w:r w:rsidR="002D4725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ociety</w:t>
      </w:r>
    </w:p>
    <w:p w:rsidR="00C373A4" w:rsidRPr="00D30B8B" w:rsidRDefault="00C373A4" w:rsidP="00543273">
      <w:pPr>
        <w:bidi w:val="0"/>
        <w:jc w:val="lowKashida"/>
        <w:rPr>
          <w:rFonts w:ascii="Times New Roman" w:hAnsi="Times New Roman" w:cs="Times New Roman"/>
          <w:color w:val="000000"/>
          <w:sz w:val="24"/>
          <w:szCs w:val="24"/>
        </w:rPr>
      </w:pPr>
      <w:r w:rsidRPr="00D30B8B">
        <w:rPr>
          <w:rFonts w:ascii="Times New Roman" w:hAnsi="Times New Roman" w:cs="Times New Roman"/>
          <w:color w:val="000000"/>
          <w:sz w:val="24"/>
          <w:szCs w:val="24"/>
        </w:rPr>
        <w:t>The population</w:t>
      </w:r>
      <w:r w:rsidR="00543273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>in Palestine estimated 5.10 million in mid 2020, including 2.59 million males (</w:t>
      </w:r>
      <w:r w:rsidR="00CE74E7" w:rsidRPr="00D30B8B">
        <w:rPr>
          <w:rFonts w:ascii="Times New Roman" w:hAnsi="Times New Roman" w:cs="Times New Roman"/>
          <w:color w:val="000000"/>
          <w:sz w:val="24"/>
          <w:szCs w:val="24"/>
        </w:rPr>
        <w:t>51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>%) and 2.51 million females (49%), whereas the sex ratio stood at 103.4</w:t>
      </w:r>
      <w:r w:rsidR="00A5319D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>mean</w:t>
      </w:r>
      <w:r w:rsidR="00A5319D" w:rsidRPr="00D30B8B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that there are 103 males for every 100 females.</w:t>
      </w:r>
    </w:p>
    <w:p w:rsidR="00D177D7" w:rsidRPr="000C2F59" w:rsidRDefault="00D177D7" w:rsidP="00D177D7">
      <w:pPr>
        <w:bidi w:val="0"/>
        <w:jc w:val="lowKashida"/>
        <w:rPr>
          <w:rFonts w:ascii="Times New Roman" w:hAnsi="Times New Roman" w:cs="Times New Roman"/>
          <w:color w:val="000000"/>
          <w:sz w:val="8"/>
          <w:szCs w:val="8"/>
          <w:highlight w:val="yellow"/>
        </w:rPr>
      </w:pPr>
    </w:p>
    <w:tbl>
      <w:tblPr>
        <w:bidiVisual/>
        <w:tblW w:w="5000" w:type="pct"/>
        <w:jc w:val="right"/>
        <w:tblLook w:val="04A0"/>
      </w:tblPr>
      <w:tblGrid>
        <w:gridCol w:w="2744"/>
        <w:gridCol w:w="2534"/>
        <w:gridCol w:w="2059"/>
        <w:gridCol w:w="2517"/>
      </w:tblGrid>
      <w:tr w:rsidR="007D6480" w:rsidRPr="00D30B8B" w:rsidTr="00D30B8B">
        <w:trPr>
          <w:trHeight w:val="331"/>
          <w:jc w:val="right"/>
        </w:trPr>
        <w:tc>
          <w:tcPr>
            <w:tcW w:w="13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480" w:rsidRPr="00D30B8B" w:rsidRDefault="007D6480" w:rsidP="00D30B8B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30B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Both </w:t>
            </w:r>
            <w:r w:rsidR="00FE69DA" w:rsidRPr="00D30B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Sexes</w:t>
            </w:r>
          </w:p>
        </w:tc>
        <w:tc>
          <w:tcPr>
            <w:tcW w:w="1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480" w:rsidRPr="00D30B8B" w:rsidRDefault="007D6480" w:rsidP="00D30B8B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0B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Female</w:t>
            </w:r>
            <w:r w:rsidR="005C14C3" w:rsidRPr="00D30B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480" w:rsidRPr="00D30B8B" w:rsidRDefault="007D6480" w:rsidP="00D30B8B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0B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Male</w:t>
            </w:r>
            <w:r w:rsidR="005C14C3" w:rsidRPr="00D30B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480" w:rsidRPr="00D30B8B" w:rsidRDefault="007D6480" w:rsidP="00E7282A">
            <w:pPr>
              <w:bidi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0B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Region</w:t>
            </w:r>
          </w:p>
        </w:tc>
      </w:tr>
      <w:tr w:rsidR="00C373A4" w:rsidRPr="00D30B8B" w:rsidTr="00D30B8B">
        <w:trPr>
          <w:trHeight w:val="80"/>
          <w:jc w:val="right"/>
        </w:trPr>
        <w:tc>
          <w:tcPr>
            <w:tcW w:w="1392" w:type="pct"/>
            <w:tcBorders>
              <w:top w:val="single" w:sz="4" w:space="0" w:color="auto"/>
            </w:tcBorders>
            <w:vAlign w:val="center"/>
          </w:tcPr>
          <w:p w:rsidR="00C373A4" w:rsidRPr="00D30B8B" w:rsidRDefault="00C373A4" w:rsidP="00D30B8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D30B8B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5,101,152</w:t>
            </w:r>
          </w:p>
        </w:tc>
        <w:tc>
          <w:tcPr>
            <w:tcW w:w="1286" w:type="pct"/>
            <w:tcBorders>
              <w:top w:val="single" w:sz="4" w:space="0" w:color="auto"/>
            </w:tcBorders>
            <w:vAlign w:val="center"/>
          </w:tcPr>
          <w:p w:rsidR="00C373A4" w:rsidRPr="00D30B8B" w:rsidRDefault="00C373A4" w:rsidP="00D30B8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D30B8B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2,507,511</w:t>
            </w:r>
          </w:p>
        </w:tc>
        <w:tc>
          <w:tcPr>
            <w:tcW w:w="1045" w:type="pct"/>
            <w:tcBorders>
              <w:top w:val="single" w:sz="4" w:space="0" w:color="auto"/>
            </w:tcBorders>
            <w:vAlign w:val="center"/>
          </w:tcPr>
          <w:p w:rsidR="00C373A4" w:rsidRPr="00D30B8B" w:rsidRDefault="00C373A4" w:rsidP="00D30B8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D30B8B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2,593,641</w:t>
            </w:r>
          </w:p>
        </w:tc>
        <w:tc>
          <w:tcPr>
            <w:tcW w:w="1277" w:type="pct"/>
            <w:tcBorders>
              <w:top w:val="single" w:sz="4" w:space="0" w:color="auto"/>
            </w:tcBorders>
            <w:vAlign w:val="center"/>
          </w:tcPr>
          <w:p w:rsidR="00C373A4" w:rsidRPr="00D30B8B" w:rsidRDefault="00C373A4" w:rsidP="0067066A">
            <w:pPr>
              <w:bidi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E"/>
              </w:rPr>
            </w:pPr>
            <w:r w:rsidRPr="00D30B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E"/>
              </w:rPr>
              <w:t>Palestine</w:t>
            </w:r>
          </w:p>
        </w:tc>
      </w:tr>
      <w:tr w:rsidR="00C373A4" w:rsidRPr="00D30B8B" w:rsidTr="00D30B8B">
        <w:trPr>
          <w:trHeight w:val="80"/>
          <w:jc w:val="right"/>
        </w:trPr>
        <w:tc>
          <w:tcPr>
            <w:tcW w:w="1392" w:type="pct"/>
            <w:vAlign w:val="center"/>
          </w:tcPr>
          <w:p w:rsidR="00C373A4" w:rsidRPr="00D30B8B" w:rsidRDefault="00C373A4" w:rsidP="00D30B8B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D30B8B">
              <w:rPr>
                <w:rFonts w:ascii="Arial" w:eastAsia="Times New Roman" w:hAnsi="Arial"/>
                <w:color w:val="000000"/>
                <w:sz w:val="24"/>
                <w:szCs w:val="24"/>
              </w:rPr>
              <w:t>3,053,183</w:t>
            </w:r>
          </w:p>
        </w:tc>
        <w:tc>
          <w:tcPr>
            <w:tcW w:w="1286" w:type="pct"/>
            <w:vAlign w:val="center"/>
          </w:tcPr>
          <w:p w:rsidR="00C373A4" w:rsidRPr="00D30B8B" w:rsidRDefault="00C373A4" w:rsidP="00D30B8B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D30B8B">
              <w:rPr>
                <w:rFonts w:ascii="Arial" w:eastAsia="Times New Roman" w:hAnsi="Arial"/>
                <w:color w:val="000000"/>
                <w:sz w:val="24"/>
                <w:szCs w:val="24"/>
              </w:rPr>
              <w:t>1,497,442</w:t>
            </w:r>
          </w:p>
        </w:tc>
        <w:tc>
          <w:tcPr>
            <w:tcW w:w="1045" w:type="pct"/>
            <w:vAlign w:val="center"/>
          </w:tcPr>
          <w:p w:rsidR="00C373A4" w:rsidRPr="00D30B8B" w:rsidRDefault="00C373A4" w:rsidP="00D30B8B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D30B8B">
              <w:rPr>
                <w:rFonts w:ascii="Arial" w:eastAsia="Times New Roman" w:hAnsi="Arial"/>
                <w:color w:val="000000"/>
                <w:sz w:val="24"/>
                <w:szCs w:val="24"/>
              </w:rPr>
              <w:t>1,555,741</w:t>
            </w:r>
          </w:p>
        </w:tc>
        <w:tc>
          <w:tcPr>
            <w:tcW w:w="1277" w:type="pct"/>
            <w:vAlign w:val="center"/>
          </w:tcPr>
          <w:p w:rsidR="00C373A4" w:rsidRPr="00D30B8B" w:rsidRDefault="00C373A4" w:rsidP="0067066A">
            <w:pPr>
              <w:bidi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IE"/>
              </w:rPr>
            </w:pPr>
            <w:r w:rsidRPr="00D30B8B">
              <w:rPr>
                <w:rFonts w:ascii="Times New Roman" w:hAnsi="Times New Roman" w:cs="Times New Roman"/>
                <w:color w:val="000000"/>
                <w:sz w:val="24"/>
                <w:szCs w:val="24"/>
                <w:lang w:val="en-IE"/>
              </w:rPr>
              <w:t>West Bank</w:t>
            </w:r>
          </w:p>
        </w:tc>
      </w:tr>
      <w:tr w:rsidR="00C373A4" w:rsidRPr="00D30B8B" w:rsidTr="00D30B8B">
        <w:trPr>
          <w:trHeight w:val="80"/>
          <w:jc w:val="right"/>
        </w:trPr>
        <w:tc>
          <w:tcPr>
            <w:tcW w:w="1392" w:type="pct"/>
            <w:tcBorders>
              <w:bottom w:val="single" w:sz="4" w:space="0" w:color="auto"/>
            </w:tcBorders>
            <w:vAlign w:val="center"/>
          </w:tcPr>
          <w:p w:rsidR="00C373A4" w:rsidRPr="00D30B8B" w:rsidRDefault="00C373A4" w:rsidP="00D30B8B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D30B8B">
              <w:rPr>
                <w:rFonts w:ascii="Arial" w:eastAsia="Times New Roman" w:hAnsi="Arial"/>
                <w:color w:val="000000"/>
                <w:sz w:val="24"/>
                <w:szCs w:val="24"/>
              </w:rPr>
              <w:t>2,047,969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C373A4" w:rsidRPr="00D30B8B" w:rsidRDefault="00C373A4" w:rsidP="00D30B8B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D30B8B">
              <w:rPr>
                <w:rFonts w:ascii="Arial" w:eastAsia="Times New Roman" w:hAnsi="Arial"/>
                <w:color w:val="000000"/>
                <w:sz w:val="24"/>
                <w:szCs w:val="24"/>
              </w:rPr>
              <w:t>1,010,069</w:t>
            </w:r>
          </w:p>
        </w:tc>
        <w:tc>
          <w:tcPr>
            <w:tcW w:w="1045" w:type="pct"/>
            <w:tcBorders>
              <w:bottom w:val="single" w:sz="4" w:space="0" w:color="auto"/>
            </w:tcBorders>
            <w:vAlign w:val="center"/>
          </w:tcPr>
          <w:p w:rsidR="00C373A4" w:rsidRPr="00D30B8B" w:rsidRDefault="00C373A4" w:rsidP="00D30B8B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D30B8B">
              <w:rPr>
                <w:rFonts w:ascii="Arial" w:eastAsia="Times New Roman" w:hAnsi="Arial"/>
                <w:color w:val="000000"/>
                <w:sz w:val="24"/>
                <w:szCs w:val="24"/>
              </w:rPr>
              <w:t>1,037,900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vAlign w:val="center"/>
          </w:tcPr>
          <w:p w:rsidR="00C373A4" w:rsidRPr="00D30B8B" w:rsidRDefault="00C373A4" w:rsidP="0067066A">
            <w:pPr>
              <w:bidi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IE"/>
              </w:rPr>
            </w:pPr>
            <w:r w:rsidRPr="00D30B8B">
              <w:rPr>
                <w:rFonts w:ascii="Times New Roman" w:hAnsi="Times New Roman" w:cs="Times New Roman"/>
                <w:color w:val="000000"/>
                <w:sz w:val="24"/>
                <w:szCs w:val="24"/>
                <w:lang w:val="en-IE"/>
              </w:rPr>
              <w:t>Gaza Strip</w:t>
            </w:r>
          </w:p>
        </w:tc>
      </w:tr>
    </w:tbl>
    <w:p w:rsidR="0087566D" w:rsidRPr="00BA7F1E" w:rsidRDefault="0087566D" w:rsidP="00772D89">
      <w:pPr>
        <w:bidi w:val="0"/>
        <w:jc w:val="both"/>
        <w:rPr>
          <w:rFonts w:ascii="Times New Roman" w:hAnsi="Times New Roman" w:cs="Times New Roman"/>
          <w:color w:val="000000"/>
          <w:sz w:val="12"/>
          <w:szCs w:val="12"/>
          <w:highlight w:val="yellow"/>
        </w:rPr>
      </w:pPr>
    </w:p>
    <w:p w:rsidR="0087566D" w:rsidRPr="00D30B8B" w:rsidRDefault="003B0733" w:rsidP="008C41D9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More</w:t>
      </w:r>
      <w:r w:rsidR="0087566D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4C5D34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than one-</w:t>
      </w:r>
      <w:r w:rsidR="0087566D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t</w:t>
      </w:r>
      <w:r w:rsidR="004C5D34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en</w:t>
      </w:r>
      <w:r w:rsidR="0087566D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</w:t>
      </w:r>
      <w:r w:rsidR="004C5D34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of the</w:t>
      </w:r>
      <w:r w:rsidR="0087566D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Palesti</w:t>
      </w:r>
      <w:r w:rsidR="0000379A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nian households </w:t>
      </w:r>
      <w:r w:rsidR="008C41D9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are</w:t>
      </w:r>
      <w:r w:rsidR="0000379A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headed by women</w:t>
      </w:r>
    </w:p>
    <w:p w:rsidR="0087566D" w:rsidRPr="00D30B8B" w:rsidRDefault="00F54C41" w:rsidP="00E13FA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Data of </w:t>
      </w:r>
      <w:r w:rsidR="0081294C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Labour 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Force Survey </w:t>
      </w:r>
      <w:r w:rsidR="00661669" w:rsidRPr="00D30B8B">
        <w:rPr>
          <w:rFonts w:ascii="Times New Roman" w:hAnsi="Times New Roman" w:cs="Times New Roman"/>
          <w:color w:val="000000"/>
          <w:sz w:val="24"/>
          <w:szCs w:val="24"/>
        </w:rPr>
        <w:t>2019</w:t>
      </w:r>
      <w:r w:rsidR="00E11985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showed</w:t>
      </w:r>
      <w:r w:rsidR="002D4725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that</w:t>
      </w:r>
      <w:r w:rsidR="00E11985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87566D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he percentage of </w:t>
      </w:r>
      <w:r w:rsidR="001A4865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households headed by </w:t>
      </w:r>
      <w:r w:rsidR="0000379A" w:rsidRPr="00D30B8B">
        <w:rPr>
          <w:rFonts w:ascii="Times New Roman" w:hAnsi="Times New Roman" w:cs="Times New Roman"/>
          <w:color w:val="000000"/>
          <w:sz w:val="24"/>
          <w:szCs w:val="24"/>
        </w:rPr>
        <w:t>women</w:t>
      </w:r>
      <w:r w:rsidR="001A4865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566D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in Palestine was 11% </w:t>
      </w:r>
      <w:r w:rsidR="00DB5B57" w:rsidRPr="00D30B8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7566D" w:rsidRPr="00D30B8B">
        <w:rPr>
          <w:rFonts w:ascii="Times New Roman" w:hAnsi="Times New Roman" w:cs="Times New Roman"/>
          <w:color w:val="000000"/>
          <w:sz w:val="24"/>
          <w:szCs w:val="24"/>
        </w:rPr>
        <w:t>12% in the West Bank and 9% in Gaza Strip</w:t>
      </w:r>
      <w:r w:rsidR="00DB5B57" w:rsidRPr="00D30B8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B5B57" w:rsidRPr="00D30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7566D" w:rsidRPr="00D30B8B" w:rsidRDefault="0087566D" w:rsidP="0087566D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0371" w:rsidRPr="00D30B8B" w:rsidRDefault="001F0371" w:rsidP="00E143BB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Significant decrease in the </w:t>
      </w:r>
      <w:r w:rsidR="0000379A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percentage</w:t>
      </w: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of early marriage in Palestine</w:t>
      </w:r>
    </w:p>
    <w:p w:rsidR="0081294C" w:rsidRPr="00D30B8B" w:rsidRDefault="0081294C" w:rsidP="0081294C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There is a decline in the percentage of early marriage (for those under the age of 18) for both sexes, where it reached 20% of the females’ registered marriages in 2018 (19% in the West Bank and 21% in Gaza Strip) out of total number of females registered marriages in the same year compared with 24% in 2010, while the percentage was 1% of males’ registered marriages of out of total number of males registered marriages in the same year, compared to 2% in 2010. </w:t>
      </w:r>
    </w:p>
    <w:p w:rsidR="00C373A4" w:rsidRPr="00D30B8B" w:rsidRDefault="00C373A4" w:rsidP="00C373A4">
      <w:pPr>
        <w:bidi w:val="0"/>
        <w:jc w:val="lowKashida"/>
        <w:rPr>
          <w:rFonts w:ascii="Times New Roman" w:hAnsi="Times New Roman" w:cs="Times New Roman"/>
          <w:color w:val="000000"/>
          <w:sz w:val="24"/>
          <w:szCs w:val="24"/>
        </w:rPr>
      </w:pPr>
    </w:p>
    <w:p w:rsidR="00B85ADB" w:rsidRPr="00D30B8B" w:rsidRDefault="001A4DDF" w:rsidP="00704A22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About two third</w:t>
      </w:r>
      <w:r w:rsidR="00E2773F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s</w:t>
      </w:r>
      <w:r w:rsidR="00772D89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of </w:t>
      </w:r>
      <w:r w:rsidR="00704A22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w</w:t>
      </w:r>
      <w:r w:rsidR="00BF7BC7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omen</w:t>
      </w:r>
      <w:r w:rsidR="00772D89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F37A6F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(</w:t>
      </w:r>
      <w:r w:rsidR="00772D89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18 </w:t>
      </w:r>
      <w:r w:rsidR="00B85ADB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years and above</w:t>
      </w:r>
      <w:r w:rsidR="00F37A6F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)</w:t>
      </w:r>
      <w:r w:rsidR="00B85ADB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are married</w:t>
      </w:r>
      <w:r w:rsidR="00421AA3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1B0F78" w:rsidRPr="00D30B8B" w:rsidRDefault="001B0F78" w:rsidP="00E2773F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According to the </w:t>
      </w:r>
      <w:r w:rsidR="00E13FAE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Labour 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Force Survey </w:t>
      </w:r>
      <w:r w:rsidR="00261AC5" w:rsidRPr="00D30B8B">
        <w:rPr>
          <w:rFonts w:ascii="Times New Roman" w:hAnsi="Times New Roman" w:cs="Times New Roman"/>
          <w:color w:val="000000"/>
          <w:sz w:val="24"/>
          <w:szCs w:val="24"/>
        </w:rPr>
        <w:t>2019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, the percentage of </w:t>
      </w:r>
      <w:r w:rsidR="00801110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married 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>women</w:t>
      </w:r>
      <w:r w:rsidR="00E13FAE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out </w:t>
      </w:r>
      <w:r w:rsidR="00EB7F36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E2773F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EB7F36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total number of women aged 18 years and above </w:t>
      </w:r>
      <w:r w:rsidR="006B3F2C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was </w:t>
      </w:r>
      <w:r w:rsidR="00261AC5" w:rsidRPr="00D30B8B"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="006B3F2C" w:rsidRPr="00D30B8B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>, 2</w:t>
      </w:r>
      <w:r w:rsidR="00261AC5" w:rsidRPr="00D30B8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>% never married, 6% widows and 2% divorce</w:t>
      </w:r>
      <w:r w:rsidR="000E6573" w:rsidRPr="00D30B8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2A5E" w:rsidRPr="00D30B8B" w:rsidRDefault="00832A5E" w:rsidP="00832A5E">
      <w:pPr>
        <w:pStyle w:val="BodyText"/>
        <w:widowControl w:val="0"/>
        <w:bidi w:val="0"/>
        <w:jc w:val="both"/>
        <w:rPr>
          <w:rFonts w:cs="Times New Roman"/>
          <w:b/>
          <w:bCs/>
          <w:color w:val="000000"/>
        </w:rPr>
      </w:pPr>
    </w:p>
    <w:p w:rsidR="00C373A4" w:rsidRPr="00D30B8B" w:rsidRDefault="00C373A4" w:rsidP="00E13FAE">
      <w:pPr>
        <w:tabs>
          <w:tab w:val="left" w:pos="9071"/>
        </w:tabs>
        <w:bidi w:val="0"/>
        <w:ind w:right="-7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Significant decrease in the</w:t>
      </w:r>
      <w:r w:rsidR="00E13FAE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illiteracy</w:t>
      </w: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rates among women</w:t>
      </w:r>
    </w:p>
    <w:p w:rsidR="00951572" w:rsidRPr="00D30B8B" w:rsidRDefault="00C373A4" w:rsidP="00C42710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Despite the decline in illiteracy rate </w:t>
      </w:r>
      <w:r w:rsidR="00E13FAE" w:rsidRPr="00D30B8B">
        <w:rPr>
          <w:rFonts w:ascii="Times New Roman" w:hAnsi="Times New Roman" w:cs="Times New Roman"/>
          <w:color w:val="000000"/>
          <w:sz w:val="24"/>
          <w:szCs w:val="24"/>
        </w:rPr>
        <w:t>among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women over the past decade,</w:t>
      </w:r>
      <w:r w:rsidR="00D53DC9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the gap still for men, 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>where the illiteracy rate among women was</w:t>
      </w:r>
      <w:r w:rsidRPr="00D30B8B">
        <w:rPr>
          <w:rFonts w:ascii="Times New Roman" w:hAnsi="Times New Roman" w:cs="Times New Roman" w:hint="cs"/>
          <w:color w:val="000000"/>
          <w:sz w:val="24"/>
          <w:szCs w:val="24"/>
          <w:rtl/>
        </w:rPr>
        <w:t xml:space="preserve"> 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4% compared to 1% </w:t>
      </w:r>
      <w:r w:rsidR="00E13FAE" w:rsidRPr="00D30B8B">
        <w:rPr>
          <w:rFonts w:ascii="Times New Roman" w:hAnsi="Times New Roman" w:cs="Times New Roman"/>
          <w:color w:val="000000"/>
          <w:sz w:val="24"/>
          <w:szCs w:val="24"/>
        </w:rPr>
        <w:t>among</w:t>
      </w:r>
      <w:r w:rsidR="00D53DC9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3FAE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men according to the </w:t>
      </w:r>
      <w:r w:rsidR="00C42710" w:rsidRPr="00D30B8B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E13FAE" w:rsidRPr="00D30B8B">
        <w:rPr>
          <w:rFonts w:ascii="Times New Roman" w:hAnsi="Times New Roman" w:cs="Times New Roman"/>
          <w:color w:val="000000"/>
          <w:sz w:val="24"/>
          <w:szCs w:val="24"/>
        </w:rPr>
        <w:t>abour</w:t>
      </w:r>
      <w:r w:rsidR="00C42710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f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>orce Survey 2019.</w:t>
      </w:r>
    </w:p>
    <w:bookmarkEnd w:id="0"/>
    <w:p w:rsidR="00543273" w:rsidRDefault="00543273" w:rsidP="00C66F89">
      <w:pPr>
        <w:bidi w:val="0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</w:p>
    <w:p w:rsidR="00543273" w:rsidRPr="00D30B8B" w:rsidRDefault="00543273" w:rsidP="00543273">
      <w:pPr>
        <w:bidi w:val="0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85ADB" w:rsidRPr="00D30B8B" w:rsidRDefault="00C16E9B" w:rsidP="00C42710">
      <w:pPr>
        <w:bidi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Ill</w:t>
      </w:r>
      <w:r w:rsidR="00B85ADB"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iteracy rates </w:t>
      </w:r>
      <w:r w:rsidR="00C42710" w:rsidRPr="00D30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</w:t>
      </w:r>
      <w:r w:rsidR="005B1C2C"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men and women </w:t>
      </w:r>
      <w:r w:rsidR="00B85ADB"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population aged 15 </w:t>
      </w:r>
      <w:r w:rsidR="00AE58CF"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years </w:t>
      </w:r>
      <w:r w:rsidR="00B85ADB"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and above, </w:t>
      </w:r>
      <w:r w:rsidR="00AB47D2"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2015</w:t>
      </w:r>
      <w:r w:rsidR="00B85ADB"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-201</w:t>
      </w:r>
      <w:r w:rsidR="00C373A4"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9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6"/>
      </w:tblGrid>
      <w:tr w:rsidR="006F74CE" w:rsidRPr="000C2F59" w:rsidTr="00BA45F7">
        <w:trPr>
          <w:jc w:val="center"/>
        </w:trPr>
        <w:tc>
          <w:tcPr>
            <w:tcW w:w="4889" w:type="dxa"/>
          </w:tcPr>
          <w:p w:rsidR="006F74CE" w:rsidRPr="00BA45F7" w:rsidRDefault="00C104AE" w:rsidP="00BA45F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971800" cy="1543050"/>
                  <wp:effectExtent l="0" t="0" r="0" b="0"/>
                  <wp:docPr id="1" name="Char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C66F89" w:rsidRPr="00C66F89" w:rsidRDefault="00C66F89" w:rsidP="00C373A4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D30B8B" w:rsidRDefault="00D30B8B" w:rsidP="00C56D65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6D65" w:rsidRPr="00D30B8B" w:rsidRDefault="0081294C" w:rsidP="00D30B8B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High</w:t>
      </w:r>
      <w:r w:rsidR="00C56D65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enrollment rates of females in secondary stage and higher education </w:t>
      </w:r>
    </w:p>
    <w:p w:rsidR="00C56D65" w:rsidRPr="00D30B8B" w:rsidRDefault="00C56D65" w:rsidP="00E13FAE">
      <w:pPr>
        <w:bidi w:val="0"/>
        <w:jc w:val="lowKashida"/>
        <w:rPr>
          <w:rFonts w:ascii="Times New Roman" w:hAnsi="Times New Roman" w:cs="Times New Roman"/>
          <w:color w:val="000000"/>
          <w:sz w:val="24"/>
          <w:szCs w:val="24"/>
        </w:rPr>
      </w:pPr>
      <w:r w:rsidRPr="00D30B8B">
        <w:rPr>
          <w:rFonts w:ascii="Times New Roman" w:hAnsi="Times New Roman" w:cs="Times New Roman"/>
          <w:color w:val="000000"/>
          <w:sz w:val="24"/>
          <w:szCs w:val="24"/>
        </w:rPr>
        <w:t>Data of the Ministry of Education and Ministry of Higher Education and Scientific Research, for the scholastic year 2018/2019, showed that male enrollment in secondary stage</w:t>
      </w:r>
      <w:r w:rsidRPr="00D30B8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was </w:t>
      </w:r>
      <w:r w:rsidRPr="00D30B8B">
        <w:rPr>
          <w:rFonts w:ascii="Times New Roman" w:hAnsi="Times New Roman" w:cs="Times New Roman"/>
          <w:color w:val="000000"/>
          <w:sz w:val="24"/>
          <w:szCs w:val="24"/>
          <w:rtl/>
        </w:rPr>
        <w:t>71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%, compared to female enrollment, which was </w:t>
      </w:r>
      <w:r w:rsidRPr="00D30B8B">
        <w:rPr>
          <w:rFonts w:ascii="Times New Roman" w:hAnsi="Times New Roman" w:cs="Times New Roman"/>
          <w:color w:val="000000"/>
          <w:sz w:val="24"/>
          <w:szCs w:val="24"/>
          <w:rtl/>
        </w:rPr>
        <w:t>91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%. As for the percentage of female students enrolled in the Palestinian higher education institutions reached 60% </w:t>
      </w:r>
      <w:r w:rsidR="00E13FAE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out 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>of the total number of students enrolled in institutions of higher education.</w:t>
      </w:r>
    </w:p>
    <w:p w:rsidR="00334F0F" w:rsidRPr="00D30B8B" w:rsidRDefault="00334F0F" w:rsidP="00334F0F">
      <w:pPr>
        <w:bidi w:val="0"/>
        <w:jc w:val="lowKashida"/>
        <w:rPr>
          <w:rFonts w:ascii="Times New Roman" w:hAnsi="Times New Roman" w:cs="Times New Roman"/>
          <w:color w:val="000000"/>
          <w:sz w:val="24"/>
          <w:szCs w:val="24"/>
        </w:rPr>
      </w:pPr>
    </w:p>
    <w:p w:rsidR="005636E5" w:rsidRPr="00D30B8B" w:rsidRDefault="005636E5" w:rsidP="00C42710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Percentage of females </w:t>
      </w:r>
      <w:r w:rsidR="00C42710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who </w:t>
      </w: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use </w:t>
      </w:r>
      <w:r w:rsidR="00C42710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Internet</w:t>
      </w: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is lower </w:t>
      </w:r>
      <w:r w:rsidR="00C42710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than </w:t>
      </w: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males </w:t>
      </w:r>
    </w:p>
    <w:p w:rsidR="008728F5" w:rsidRPr="00D30B8B" w:rsidRDefault="0048288D" w:rsidP="00D522F2">
      <w:pPr>
        <w:bidi w:val="0"/>
        <w:jc w:val="lowKashida"/>
        <w:rPr>
          <w:rFonts w:ascii="Times New Roman" w:hAnsi="Times New Roman" w:cs="Times New Roman"/>
          <w:color w:val="000000"/>
          <w:sz w:val="24"/>
          <w:szCs w:val="24"/>
        </w:rPr>
      </w:pP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r w:rsidR="00187110" w:rsidRPr="00D30B8B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B43E68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Household Survey on Information and Communications Technology 2019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3E68" w:rsidRPr="00D30B8B">
        <w:rPr>
          <w:rFonts w:ascii="Times New Roman" w:hAnsi="Times New Roman" w:cs="Times New Roman"/>
          <w:color w:val="000000"/>
          <w:sz w:val="24"/>
          <w:szCs w:val="24"/>
        </w:rPr>
        <w:t>indicated that the percentage of i</w:t>
      </w:r>
      <w:r w:rsidR="00D67EE7" w:rsidRPr="00D30B8B">
        <w:rPr>
          <w:rFonts w:ascii="Times New Roman" w:hAnsi="Times New Roman" w:cs="Times New Roman"/>
          <w:color w:val="000000"/>
          <w:sz w:val="24"/>
          <w:szCs w:val="24"/>
        </w:rPr>
        <w:t>ndividuals (10 years and above</w:t>
      </w:r>
      <w:r w:rsidR="00B43E68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) who use </w:t>
      </w:r>
      <w:r w:rsidR="00E62AD2" w:rsidRPr="00D30B8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B43E68" w:rsidRPr="00D30B8B">
        <w:rPr>
          <w:rFonts w:ascii="Times New Roman" w:hAnsi="Times New Roman" w:cs="Times New Roman"/>
          <w:color w:val="000000"/>
          <w:sz w:val="24"/>
          <w:szCs w:val="24"/>
        </w:rPr>
        <w:t>nternet reached 72</w:t>
      </w:r>
      <w:r w:rsidR="00EE2870" w:rsidRPr="00D30B8B">
        <w:rPr>
          <w:rFonts w:ascii="Times New Roman" w:hAnsi="Times New Roman" w:cs="Times New Roman"/>
          <w:color w:val="000000"/>
          <w:sz w:val="24"/>
          <w:szCs w:val="24"/>
        </w:rPr>
        <w:t>% of males compared to</w:t>
      </w:r>
      <w:r w:rsidR="00D522F2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870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22F2" w:rsidRPr="00D30B8B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EE2870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="00E62AD2" w:rsidRPr="00D30B8B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EE2870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females. Moreover, the percentage of males who use social or vocational networks reached 88% compared </w:t>
      </w:r>
      <w:r w:rsidR="00E62AD2" w:rsidRPr="00D30B8B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EE2870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22F2" w:rsidRPr="00D30B8B">
        <w:rPr>
          <w:rFonts w:ascii="Times New Roman" w:hAnsi="Times New Roman" w:cs="Times New Roman"/>
          <w:color w:val="000000"/>
          <w:sz w:val="24"/>
          <w:szCs w:val="24"/>
        </w:rPr>
        <w:t>84</w:t>
      </w:r>
      <w:r w:rsidR="00EE2870" w:rsidRPr="00D30B8B">
        <w:rPr>
          <w:rFonts w:ascii="Times New Roman" w:hAnsi="Times New Roman" w:cs="Times New Roman"/>
          <w:color w:val="000000"/>
          <w:sz w:val="24"/>
          <w:szCs w:val="24"/>
        </w:rPr>
        <w:t>% for females.</w:t>
      </w:r>
    </w:p>
    <w:p w:rsidR="00C66F89" w:rsidRPr="00D30B8B" w:rsidRDefault="00C66F89" w:rsidP="00C66F89">
      <w:pPr>
        <w:bidi w:val="0"/>
        <w:jc w:val="lowKashida"/>
        <w:rPr>
          <w:rFonts w:ascii="Times New Roman" w:hAnsi="Times New Roman" w:cs="Times New Roman"/>
          <w:color w:val="000000"/>
          <w:sz w:val="24"/>
          <w:szCs w:val="24"/>
        </w:rPr>
      </w:pPr>
    </w:p>
    <w:p w:rsidR="008728F5" w:rsidRPr="00D30B8B" w:rsidRDefault="000A2510" w:rsidP="00D30B8B">
      <w:pPr>
        <w:bidi w:val="0"/>
        <w:jc w:val="lowKashida"/>
        <w:rPr>
          <w:rFonts w:ascii="Times New Roman" w:hAnsi="Times New Roman" w:cs="Times New Roman"/>
          <w:color w:val="000000"/>
          <w:sz w:val="24"/>
          <w:szCs w:val="24"/>
        </w:rPr>
      </w:pP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Furthermore, the percentage of households </w:t>
      </w:r>
      <w:r w:rsidR="001830FA" w:rsidRPr="00D30B8B">
        <w:rPr>
          <w:rFonts w:ascii="Times New Roman" w:hAnsi="Times New Roman" w:cs="Times New Roman"/>
          <w:color w:val="000000"/>
          <w:sz w:val="24"/>
          <w:szCs w:val="24"/>
        </w:rPr>
        <w:t>headed by</w:t>
      </w:r>
      <w:r w:rsidR="00C66F89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4865" w:rsidRPr="00D30B8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2AD2" w:rsidRPr="00D30B8B">
        <w:rPr>
          <w:rFonts w:ascii="Times New Roman" w:hAnsi="Times New Roman" w:cs="Times New Roman"/>
          <w:color w:val="000000"/>
          <w:sz w:val="24"/>
          <w:szCs w:val="24"/>
        </w:rPr>
        <w:t>man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30FA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and own a mobile phone reached </w:t>
      </w:r>
      <w:r w:rsidR="00D522F2" w:rsidRPr="00D30B8B">
        <w:rPr>
          <w:rFonts w:ascii="Times New Roman" w:hAnsi="Times New Roman" w:cs="Times New Roman"/>
          <w:color w:val="000000"/>
          <w:sz w:val="24"/>
          <w:szCs w:val="24"/>
        </w:rPr>
        <w:t>99</w:t>
      </w:r>
      <w:r w:rsidR="001830FA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% compared to </w:t>
      </w:r>
      <w:r w:rsidR="00D522F2" w:rsidRPr="00D30B8B">
        <w:rPr>
          <w:rFonts w:ascii="Times New Roman" w:hAnsi="Times New Roman" w:cs="Times New Roman"/>
          <w:color w:val="000000"/>
          <w:sz w:val="24"/>
          <w:szCs w:val="24"/>
        </w:rPr>
        <w:t>88</w:t>
      </w:r>
      <w:r w:rsidR="001830FA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% of the households headed by a </w:t>
      </w:r>
      <w:r w:rsidR="00E62AD2" w:rsidRPr="00D30B8B">
        <w:rPr>
          <w:rFonts w:ascii="Times New Roman" w:hAnsi="Times New Roman" w:cs="Times New Roman"/>
          <w:color w:val="000000"/>
          <w:sz w:val="24"/>
          <w:szCs w:val="24"/>
        </w:rPr>
        <w:t>woman</w:t>
      </w:r>
      <w:r w:rsidR="001830FA" w:rsidRPr="00D30B8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E2870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7173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Also, the percentage of households that one of its members owns </w:t>
      </w:r>
      <w:r w:rsidR="00FF5B09" w:rsidRPr="00D30B8B">
        <w:rPr>
          <w:rFonts w:ascii="Times New Roman" w:hAnsi="Times New Roman" w:cs="Times New Roman"/>
          <w:color w:val="000000"/>
          <w:sz w:val="24"/>
          <w:szCs w:val="24"/>
        </w:rPr>
        <w:t>a s</w:t>
      </w:r>
      <w:r w:rsidR="00036A35" w:rsidRPr="00D30B8B">
        <w:rPr>
          <w:rFonts w:ascii="Times New Roman" w:hAnsi="Times New Roman" w:cs="Times New Roman"/>
          <w:color w:val="000000"/>
          <w:sz w:val="24"/>
          <w:szCs w:val="24"/>
        </w:rPr>
        <w:t>mart phone reached 89% of households headed by a</w:t>
      </w:r>
      <w:r w:rsidR="003F1C10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6A35" w:rsidRPr="00D30B8B">
        <w:rPr>
          <w:rFonts w:ascii="Times New Roman" w:hAnsi="Times New Roman" w:cs="Times New Roman"/>
          <w:color w:val="000000"/>
          <w:sz w:val="24"/>
          <w:szCs w:val="24"/>
        </w:rPr>
        <w:t>man</w:t>
      </w:r>
      <w:r w:rsidR="00FF5B09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compared </w:t>
      </w:r>
      <w:r w:rsidR="00E2773F" w:rsidRPr="00D30B8B">
        <w:rPr>
          <w:rFonts w:ascii="Times New Roman" w:hAnsi="Times New Roman" w:cs="Times New Roman"/>
          <w:color w:val="000000"/>
          <w:sz w:val="24"/>
          <w:szCs w:val="24"/>
        </w:rPr>
        <w:t>with</w:t>
      </w:r>
      <w:r w:rsidR="00C16FB1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22F2" w:rsidRPr="00D30B8B">
        <w:rPr>
          <w:rFonts w:ascii="Times New Roman" w:hAnsi="Times New Roman" w:cs="Times New Roman" w:hint="cs"/>
          <w:color w:val="000000"/>
          <w:sz w:val="24"/>
          <w:szCs w:val="24"/>
          <w:rtl/>
        </w:rPr>
        <w:t>62</w:t>
      </w:r>
      <w:r w:rsidR="00C16FB1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="00036A35" w:rsidRPr="00D30B8B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C16FB1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6A35" w:rsidRPr="00D30B8B">
        <w:rPr>
          <w:rFonts w:ascii="Times New Roman" w:hAnsi="Times New Roman" w:cs="Times New Roman"/>
          <w:color w:val="000000"/>
          <w:sz w:val="24"/>
          <w:szCs w:val="24"/>
        </w:rPr>
        <w:t>households headed by a</w:t>
      </w:r>
      <w:r w:rsidR="003F1C10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6A35" w:rsidRPr="00D30B8B">
        <w:rPr>
          <w:rFonts w:ascii="Times New Roman" w:hAnsi="Times New Roman" w:cs="Times New Roman"/>
          <w:color w:val="000000"/>
          <w:sz w:val="24"/>
          <w:szCs w:val="24"/>
        </w:rPr>
        <w:t>woman</w:t>
      </w:r>
      <w:r w:rsidR="00C16FB1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17096" w:rsidRPr="00D30B8B">
        <w:rPr>
          <w:rFonts w:ascii="Times New Roman" w:hAnsi="Times New Roman" w:cs="Times New Roman"/>
          <w:color w:val="000000"/>
          <w:sz w:val="24"/>
          <w:szCs w:val="24"/>
        </w:rPr>
        <w:t>In addition</w:t>
      </w:r>
      <w:r w:rsidR="00C16FB1" w:rsidRPr="00D30B8B">
        <w:rPr>
          <w:rFonts w:ascii="Times New Roman" w:hAnsi="Times New Roman" w:cs="Times New Roman"/>
          <w:color w:val="000000"/>
          <w:sz w:val="24"/>
          <w:szCs w:val="24"/>
        </w:rPr>
        <w:t>, the percentage of households headed b</w:t>
      </w:r>
      <w:r w:rsidR="007A3C0A" w:rsidRPr="00D30B8B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C16FB1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a ma</w:t>
      </w:r>
      <w:r w:rsidR="00E62AD2" w:rsidRPr="00D30B8B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16FB1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and own </w:t>
      </w:r>
      <w:r w:rsidR="00E33893" w:rsidRPr="00D30B8B">
        <w:rPr>
          <w:rFonts w:ascii="Times New Roman" w:hAnsi="Times New Roman" w:cs="Times New Roman"/>
          <w:color w:val="000000"/>
          <w:sz w:val="24"/>
          <w:szCs w:val="24"/>
        </w:rPr>
        <w:t>a computer (Desk</w:t>
      </w:r>
      <w:r w:rsidR="007A3C0A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top, laptop or tablet) reached </w:t>
      </w:r>
      <w:r w:rsidR="00D522F2" w:rsidRPr="00D30B8B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="007A3C0A" w:rsidRPr="00D30B8B">
        <w:rPr>
          <w:rFonts w:ascii="Times New Roman" w:hAnsi="Times New Roman" w:cs="Times New Roman"/>
          <w:color w:val="000000"/>
          <w:sz w:val="24"/>
          <w:szCs w:val="24"/>
        </w:rPr>
        <w:t>% compared to 19</w:t>
      </w:r>
      <w:r w:rsidR="00A07CE5" w:rsidRPr="00D30B8B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036A35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 w:rsidR="007A3C0A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households headed by a </w:t>
      </w:r>
      <w:r w:rsidR="00A07CE5" w:rsidRPr="00D30B8B">
        <w:rPr>
          <w:rFonts w:ascii="Times New Roman" w:hAnsi="Times New Roman" w:cs="Times New Roman"/>
          <w:color w:val="000000"/>
          <w:sz w:val="24"/>
          <w:szCs w:val="24"/>
        </w:rPr>
        <w:t>woman</w:t>
      </w:r>
      <w:r w:rsidR="007A3C0A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67E35" w:rsidRPr="00D30B8B" w:rsidRDefault="00C67E35" w:rsidP="006F74CE">
      <w:pPr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</w:p>
    <w:p w:rsidR="009C2252" w:rsidRPr="00D30B8B" w:rsidRDefault="009C2252" w:rsidP="00C66F89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A gap in the participation rate</w:t>
      </w:r>
      <w:r w:rsidR="00DB740F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in the </w:t>
      </w:r>
      <w:r w:rsidR="00E13FAE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labour </w:t>
      </w:r>
      <w:r w:rsidR="00DB740F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force</w:t>
      </w: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and average daily wage between </w:t>
      </w:r>
      <w:r w:rsidR="00C56B4B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women </w:t>
      </w: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and men</w:t>
      </w:r>
    </w:p>
    <w:p w:rsidR="008728F5" w:rsidRPr="00D30B8B" w:rsidRDefault="002B7627" w:rsidP="003F1C10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B8B">
        <w:rPr>
          <w:rFonts w:ascii="Times New Roman" w:hAnsi="Times New Roman" w:cs="Times New Roman"/>
          <w:color w:val="000000"/>
          <w:sz w:val="24"/>
          <w:szCs w:val="24"/>
        </w:rPr>
        <w:t>Big</w:t>
      </w:r>
      <w:r w:rsidR="001F71F1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gap of participation between women and men in the labour </w:t>
      </w:r>
      <w:r w:rsidR="001F71F1" w:rsidRPr="00D30B8B">
        <w:rPr>
          <w:rFonts w:ascii="Times New Roman" w:hAnsi="Times New Roman" w:cs="Times New Roman"/>
          <w:color w:val="000000"/>
          <w:sz w:val="24"/>
          <w:szCs w:val="24"/>
        </w:rPr>
        <w:t>force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71F1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during 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2015 and </w:t>
      </w:r>
      <w:r w:rsidR="001F71F1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2019; 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where is the womn’s participation </w:t>
      </w:r>
      <w:r w:rsidR="001F71F1" w:rsidRPr="00D30B8B">
        <w:rPr>
          <w:rFonts w:ascii="Times New Roman" w:hAnsi="Times New Roman" w:cs="Times New Roman"/>
          <w:color w:val="000000"/>
          <w:sz w:val="24"/>
          <w:szCs w:val="24"/>
        </w:rPr>
        <w:t>still relatively low compared to men's</w:t>
      </w:r>
      <w:r w:rsidR="0059107D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participation</w:t>
      </w:r>
      <w:r w:rsidR="001F71F1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. The </w:t>
      </w:r>
      <w:r w:rsidR="00F507B8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women’s participation rate  in the labour force </w:t>
      </w:r>
      <w:r w:rsidR="001F71F1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reached 18% </w:t>
      </w:r>
      <w:r w:rsidR="00F507B8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out </w:t>
      </w:r>
      <w:r w:rsidR="001F71F1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of total women </w:t>
      </w:r>
      <w:r w:rsidR="00706741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at work age during 2019. This percentage was the same for the year 2015; knowing that the percentage of men's participation in </w:t>
      </w:r>
      <w:r w:rsidR="00E13FAE" w:rsidRPr="00D30B8B">
        <w:rPr>
          <w:rFonts w:ascii="Times New Roman" w:hAnsi="Times New Roman" w:cs="Times New Roman"/>
          <w:color w:val="000000"/>
          <w:sz w:val="24"/>
          <w:szCs w:val="24"/>
        </w:rPr>
        <w:t>labour</w:t>
      </w:r>
      <w:r w:rsidR="007D51AE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6741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force reached </w:t>
      </w:r>
      <w:r w:rsidR="00F507B8" w:rsidRPr="00D30B8B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="00706741" w:rsidRPr="00D30B8B">
        <w:rPr>
          <w:rFonts w:ascii="Times New Roman" w:hAnsi="Times New Roman" w:cs="Times New Roman"/>
          <w:color w:val="000000"/>
          <w:sz w:val="24"/>
          <w:szCs w:val="24"/>
        </w:rPr>
        <w:t>% in 2019.</w:t>
      </w:r>
      <w:r w:rsidR="003F1C10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C2252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There was </w:t>
      </w:r>
      <w:r w:rsidR="00C56B4B" w:rsidRPr="00D30B8B">
        <w:rPr>
          <w:rFonts w:ascii="Times New Roman" w:hAnsi="Times New Roman" w:cs="Times New Roman"/>
          <w:color w:val="000000"/>
          <w:sz w:val="24"/>
          <w:szCs w:val="24"/>
        </w:rPr>
        <w:t>also a</w:t>
      </w:r>
      <w:r w:rsidR="009C2252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4C8E" w:rsidRPr="00D30B8B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9C2252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ap in the average daily wages between </w:t>
      </w:r>
      <w:r w:rsidR="007D51AE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women </w:t>
      </w:r>
      <w:r w:rsidR="009C2252" w:rsidRPr="00D30B8B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7D51AE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men</w:t>
      </w:r>
      <w:r w:rsidR="009C2252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0149" w:rsidRPr="00D30B8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C2252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the average daily wage for </w:t>
      </w:r>
      <w:r w:rsidR="00BF7BC7" w:rsidRPr="00D30B8B">
        <w:rPr>
          <w:rFonts w:ascii="Times New Roman" w:hAnsi="Times New Roman" w:cs="Times New Roman"/>
          <w:color w:val="000000"/>
          <w:sz w:val="24"/>
          <w:szCs w:val="24"/>
        </w:rPr>
        <w:t>women</w:t>
      </w:r>
      <w:r w:rsidR="009C2252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was 9</w:t>
      </w:r>
      <w:r w:rsidR="003B7CA6" w:rsidRPr="00D30B8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C2252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NIS compared to 1</w:t>
      </w:r>
      <w:r w:rsidR="003B7CA6" w:rsidRPr="00D30B8B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9C2252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NIS for </w:t>
      </w:r>
      <w:r w:rsidR="00BF7BC7" w:rsidRPr="00D30B8B">
        <w:rPr>
          <w:rFonts w:ascii="Times New Roman" w:hAnsi="Times New Roman" w:cs="Times New Roman"/>
          <w:color w:val="000000"/>
          <w:sz w:val="24"/>
          <w:szCs w:val="24"/>
        </w:rPr>
        <w:t>men</w:t>
      </w:r>
      <w:r w:rsidR="00FE0149" w:rsidRPr="00D30B8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C2252" w:rsidRPr="00D30B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59FF" w:rsidRPr="00D30B8B" w:rsidRDefault="007059FF" w:rsidP="00A15122">
      <w:pPr>
        <w:bidi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eastAsia="ar-SA"/>
        </w:rPr>
      </w:pPr>
    </w:p>
    <w:p w:rsidR="009C2252" w:rsidRPr="00D30B8B" w:rsidRDefault="00E13FAE" w:rsidP="00D30B8B">
      <w:pPr>
        <w:bidi w:val="0"/>
        <w:jc w:val="center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D30B8B">
        <w:rPr>
          <w:rFonts w:ascii="Times New Roman" w:hAnsi="Times New Roman" w:cs="Times New Roman"/>
          <w:b/>
          <w:bCs/>
          <w:color w:val="000000"/>
          <w:lang w:eastAsia="ar-SA"/>
        </w:rPr>
        <w:t>Labour</w:t>
      </w:r>
      <w:r w:rsidR="00E56E18" w:rsidRPr="00D30B8B">
        <w:rPr>
          <w:rFonts w:ascii="Times New Roman" w:hAnsi="Times New Roman" w:cs="Times New Roman"/>
          <w:b/>
          <w:bCs/>
          <w:color w:val="000000"/>
          <w:lang w:eastAsia="ar-SA"/>
        </w:rPr>
        <w:t xml:space="preserve"> </w:t>
      </w:r>
      <w:r w:rsidR="00C56B4B" w:rsidRPr="00D30B8B">
        <w:rPr>
          <w:rFonts w:ascii="Times New Roman" w:hAnsi="Times New Roman" w:cs="Times New Roman"/>
          <w:b/>
          <w:bCs/>
          <w:color w:val="000000"/>
          <w:lang w:eastAsia="ar-SA"/>
        </w:rPr>
        <w:t xml:space="preserve">force </w:t>
      </w:r>
      <w:r w:rsidR="00A14E51" w:rsidRPr="00D30B8B">
        <w:rPr>
          <w:rFonts w:ascii="Times New Roman" w:hAnsi="Times New Roman" w:cs="Times New Roman"/>
          <w:b/>
          <w:bCs/>
          <w:color w:val="000000"/>
          <w:lang w:eastAsia="ar-SA"/>
        </w:rPr>
        <w:t>p</w:t>
      </w:r>
      <w:r w:rsidR="002B1F47" w:rsidRPr="00D30B8B">
        <w:rPr>
          <w:rFonts w:ascii="Times New Roman" w:hAnsi="Times New Roman" w:cs="Times New Roman"/>
          <w:b/>
          <w:bCs/>
          <w:color w:val="000000"/>
          <w:lang w:eastAsia="ar-SA"/>
        </w:rPr>
        <w:t xml:space="preserve">articipation </w:t>
      </w:r>
      <w:r w:rsidR="00A14E51" w:rsidRPr="00D30B8B">
        <w:rPr>
          <w:rFonts w:ascii="Times New Roman" w:hAnsi="Times New Roman" w:cs="Times New Roman"/>
          <w:b/>
          <w:bCs/>
          <w:color w:val="000000"/>
          <w:lang w:eastAsia="ar-SA"/>
        </w:rPr>
        <w:t>r</w:t>
      </w:r>
      <w:r w:rsidR="002B1F47" w:rsidRPr="00D30B8B">
        <w:rPr>
          <w:rFonts w:ascii="Times New Roman" w:hAnsi="Times New Roman" w:cs="Times New Roman"/>
          <w:b/>
          <w:bCs/>
          <w:color w:val="000000"/>
          <w:lang w:eastAsia="ar-SA"/>
        </w:rPr>
        <w:t xml:space="preserve">ate of </w:t>
      </w:r>
      <w:r w:rsidR="00A14E51" w:rsidRPr="00D30B8B">
        <w:rPr>
          <w:rFonts w:ascii="Times New Roman" w:hAnsi="Times New Roman" w:cs="Times New Roman"/>
          <w:b/>
          <w:bCs/>
          <w:color w:val="000000"/>
          <w:lang w:eastAsia="ar-SA"/>
        </w:rPr>
        <w:t>w</w:t>
      </w:r>
      <w:r w:rsidR="00C56B4B" w:rsidRPr="00D30B8B">
        <w:rPr>
          <w:rFonts w:ascii="Times New Roman" w:hAnsi="Times New Roman" w:cs="Times New Roman"/>
          <w:b/>
          <w:bCs/>
          <w:color w:val="000000"/>
          <w:lang w:eastAsia="ar-SA"/>
        </w:rPr>
        <w:t xml:space="preserve">omen </w:t>
      </w:r>
      <w:r w:rsidR="002B1F47" w:rsidRPr="00D30B8B">
        <w:rPr>
          <w:rFonts w:ascii="Times New Roman" w:hAnsi="Times New Roman" w:cs="Times New Roman"/>
          <w:b/>
          <w:bCs/>
          <w:color w:val="000000"/>
          <w:lang w:eastAsia="ar-SA"/>
        </w:rPr>
        <w:t xml:space="preserve">and </w:t>
      </w:r>
      <w:r w:rsidR="00A14E51" w:rsidRPr="00D30B8B">
        <w:rPr>
          <w:rFonts w:ascii="Times New Roman" w:hAnsi="Times New Roman" w:cs="Times New Roman"/>
          <w:b/>
          <w:bCs/>
          <w:color w:val="000000"/>
          <w:lang w:eastAsia="ar-SA"/>
        </w:rPr>
        <w:t>m</w:t>
      </w:r>
      <w:r w:rsidR="002B1F47" w:rsidRPr="00D30B8B">
        <w:rPr>
          <w:rFonts w:ascii="Times New Roman" w:hAnsi="Times New Roman" w:cs="Times New Roman"/>
          <w:b/>
          <w:bCs/>
          <w:color w:val="000000"/>
          <w:lang w:eastAsia="ar-SA"/>
        </w:rPr>
        <w:t>en (</w:t>
      </w:r>
      <w:r w:rsidR="009C2252" w:rsidRPr="00D30B8B">
        <w:rPr>
          <w:rFonts w:ascii="Times New Roman" w:hAnsi="Times New Roman" w:cs="Times New Roman"/>
          <w:b/>
          <w:bCs/>
          <w:color w:val="000000"/>
          <w:lang w:eastAsia="ar-SA"/>
        </w:rPr>
        <w:t>15 years and above</w:t>
      </w:r>
      <w:r w:rsidR="00E36996" w:rsidRPr="00D30B8B">
        <w:rPr>
          <w:rFonts w:ascii="Times New Roman" w:hAnsi="Times New Roman" w:cs="Times New Roman"/>
          <w:b/>
          <w:bCs/>
          <w:color w:val="000000"/>
          <w:lang w:eastAsia="ar-SA"/>
        </w:rPr>
        <w:t>)</w:t>
      </w:r>
      <w:r w:rsidR="009C2252" w:rsidRPr="00D30B8B">
        <w:rPr>
          <w:rFonts w:ascii="Times New Roman" w:hAnsi="Times New Roman" w:cs="Times New Roman"/>
          <w:b/>
          <w:bCs/>
          <w:color w:val="000000"/>
          <w:lang w:eastAsia="ar-SA"/>
        </w:rPr>
        <w:t xml:space="preserve"> in </w:t>
      </w:r>
      <w:r w:rsidR="00C56B4B" w:rsidRPr="00D30B8B">
        <w:rPr>
          <w:rFonts w:ascii="Times New Roman" w:hAnsi="Times New Roman" w:cs="Times New Roman"/>
          <w:b/>
          <w:bCs/>
          <w:color w:val="000000"/>
          <w:lang w:eastAsia="ar-SA"/>
        </w:rPr>
        <w:t>Palestine</w:t>
      </w:r>
      <w:r w:rsidR="009C2252" w:rsidRPr="00D30B8B">
        <w:rPr>
          <w:rFonts w:ascii="Times New Roman" w:hAnsi="Times New Roman" w:cs="Times New Roman"/>
          <w:b/>
          <w:bCs/>
          <w:color w:val="000000"/>
          <w:lang w:eastAsia="ar-SA"/>
        </w:rPr>
        <w:t xml:space="preserve">, </w:t>
      </w:r>
      <w:r w:rsidR="00DF494F" w:rsidRPr="00D30B8B">
        <w:rPr>
          <w:rFonts w:ascii="Times New Roman" w:hAnsi="Times New Roman" w:cs="Times New Roman"/>
          <w:b/>
          <w:bCs/>
          <w:color w:val="000000"/>
          <w:lang w:eastAsia="ar-SA"/>
        </w:rPr>
        <w:t>2015</w:t>
      </w:r>
      <w:r w:rsidR="009C2252" w:rsidRPr="00D30B8B">
        <w:rPr>
          <w:rFonts w:ascii="Times New Roman" w:hAnsi="Times New Roman" w:cs="Times New Roman"/>
          <w:b/>
          <w:bCs/>
          <w:color w:val="000000"/>
          <w:lang w:eastAsia="ar-SA"/>
        </w:rPr>
        <w:t xml:space="preserve">- </w:t>
      </w:r>
      <w:r w:rsidR="00661669" w:rsidRPr="00D30B8B">
        <w:rPr>
          <w:rFonts w:ascii="Times New Roman" w:hAnsi="Times New Roman" w:cs="Times New Roman"/>
          <w:b/>
          <w:bCs/>
          <w:color w:val="000000"/>
          <w:lang w:eastAsia="ar-SA"/>
        </w:rPr>
        <w:t>2019</w:t>
      </w:r>
      <w:r w:rsidR="003474AA" w:rsidRPr="00D30B8B">
        <w:rPr>
          <w:rFonts w:ascii="Times New Roman" w:hAnsi="Times New Roman" w:cs="Times New Roman"/>
          <w:b/>
          <w:bCs/>
          <w:color w:val="000000"/>
          <w:lang w:eastAsia="ar-SA"/>
        </w:rPr>
        <w:t xml:space="preserve">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1"/>
      </w:tblGrid>
      <w:tr w:rsidR="005A6805" w:rsidRPr="000C2F59" w:rsidTr="00BA45F7">
        <w:trPr>
          <w:trHeight w:val="3284"/>
          <w:jc w:val="center"/>
        </w:trPr>
        <w:tc>
          <w:tcPr>
            <w:tcW w:w="4857" w:type="dxa"/>
          </w:tcPr>
          <w:p w:rsidR="005A6805" w:rsidRPr="00BA45F7" w:rsidRDefault="00C104AE" w:rsidP="00BA45F7">
            <w:pPr>
              <w:pStyle w:val="BodyText"/>
              <w:widowControl w:val="0"/>
              <w:bidi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noProof/>
                <w:color w:val="000000"/>
                <w:sz w:val="22"/>
                <w:szCs w:val="22"/>
                <w:lang w:eastAsia="en-US"/>
              </w:rPr>
              <w:drawing>
                <wp:inline distT="0" distB="0" distL="0" distR="0">
                  <wp:extent cx="2962275" cy="2095500"/>
                  <wp:effectExtent l="0" t="0" r="0" b="0"/>
                  <wp:docPr id="2" name="Chart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D522F2" w:rsidRDefault="00D522F2" w:rsidP="00C66F89">
      <w:pPr>
        <w:bidi w:val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F0BA1" w:rsidRPr="007F0BA1" w:rsidRDefault="007F0BA1" w:rsidP="007F0BA1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10"/>
          <w:szCs w:val="10"/>
          <w:rtl/>
        </w:rPr>
      </w:pPr>
    </w:p>
    <w:p w:rsidR="00BE7F0C" w:rsidRPr="00D30B8B" w:rsidRDefault="00BE7F0C" w:rsidP="007D51AE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The </w:t>
      </w:r>
      <w:r w:rsidR="00F43F16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gap in </w:t>
      </w:r>
      <w:r w:rsidR="00E13FAE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labour</w:t>
      </w:r>
      <w:r w:rsidR="00C42710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F43F16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force</w:t>
      </w:r>
      <w:r w:rsidR="00E56E18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F43F16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participation </w:t>
      </w:r>
      <w:r w:rsidR="00160526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between</w:t>
      </w:r>
      <w:r w:rsidR="008356C9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F43F16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women and men</w:t>
      </w:r>
      <w:r w:rsidR="00E56E18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(15 years and above)</w:t>
      </w:r>
      <w:r w:rsidR="008356C9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587EF9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with </w:t>
      </w:r>
      <w:r w:rsidR="00F43F16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d</w:t>
      </w:r>
      <w:r w:rsidR="00587EF9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isabilities </w:t>
      </w:r>
      <w:r w:rsidR="008356C9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is </w:t>
      </w: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deepening</w:t>
      </w:r>
    </w:p>
    <w:p w:rsidR="00BE7F0C" w:rsidRPr="00D30B8B" w:rsidRDefault="00BE7F0C" w:rsidP="00F507B8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According to the </w:t>
      </w:r>
      <w:r w:rsidR="00E13FAE" w:rsidRPr="00D30B8B">
        <w:rPr>
          <w:rFonts w:ascii="Times New Roman" w:hAnsi="Times New Roman" w:cs="Times New Roman"/>
          <w:color w:val="000000"/>
          <w:sz w:val="24"/>
          <w:szCs w:val="24"/>
        </w:rPr>
        <w:t>Labour</w:t>
      </w:r>
      <w:r w:rsidR="007D51AE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Force Survey </w:t>
      </w:r>
      <w:r w:rsidR="007D368D" w:rsidRPr="00D30B8B">
        <w:rPr>
          <w:rFonts w:ascii="Times New Roman" w:hAnsi="Times New Roman" w:cs="Times New Roman"/>
          <w:color w:val="000000"/>
          <w:sz w:val="24"/>
          <w:szCs w:val="24"/>
        </w:rPr>
        <w:t>2019</w:t>
      </w:r>
      <w:r w:rsidR="00AD213B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data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73BC9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participation rate </w:t>
      </w:r>
      <w:r w:rsidR="00D67EE7" w:rsidRPr="00D30B8B">
        <w:rPr>
          <w:rFonts w:ascii="Times New Roman" w:hAnsi="Times New Roman" w:cs="Times New Roman"/>
          <w:color w:val="000000"/>
          <w:sz w:val="24"/>
          <w:szCs w:val="24"/>
        </w:rPr>
        <w:t>of women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with disabilities in </w:t>
      </w:r>
      <w:r w:rsidR="00E13FAE" w:rsidRPr="00D30B8B">
        <w:rPr>
          <w:rFonts w:ascii="Times New Roman" w:hAnsi="Times New Roman" w:cs="Times New Roman"/>
          <w:color w:val="000000"/>
          <w:sz w:val="24"/>
          <w:szCs w:val="24"/>
        </w:rPr>
        <w:t>labour</w:t>
      </w:r>
      <w:r w:rsidR="007D51AE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force in Palestine was only 4% of the total women with disabilities compared </w:t>
      </w:r>
      <w:r w:rsidR="0093018B" w:rsidRPr="00D30B8B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368D" w:rsidRPr="00D30B8B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>% of the total men with disabilities.</w:t>
      </w:r>
    </w:p>
    <w:p w:rsidR="00704A22" w:rsidRPr="00D30B8B" w:rsidRDefault="00704A22" w:rsidP="00704A22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0B8B" w:rsidRDefault="00D30B8B" w:rsidP="00984888">
      <w:pPr>
        <w:bidi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351C2E" w:rsidRPr="00D30B8B" w:rsidRDefault="0081294C" w:rsidP="00D30B8B">
      <w:pPr>
        <w:bidi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>Labour force parti</w:t>
      </w:r>
      <w:r w:rsid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cipation rate of women and men</w:t>
      </w:r>
      <w:r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1F3C73"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with disabilities</w:t>
      </w:r>
      <w:r w:rsidR="000C65F4"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(15 </w:t>
      </w:r>
      <w:r w:rsidR="00984888"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years </w:t>
      </w:r>
      <w:r w:rsidR="000C65F4"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and </w:t>
      </w:r>
      <w:r w:rsidR="00D67EE7"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above</w:t>
      </w:r>
      <w:r w:rsidR="000C65F4"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) </w:t>
      </w:r>
      <w:r w:rsidR="00351C2E"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by </w:t>
      </w:r>
      <w:r w:rsidR="00A14E51"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r</w:t>
      </w:r>
      <w:r w:rsidR="00351C2E"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egion, </w:t>
      </w:r>
      <w:r w:rsidR="007D368D"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2019</w:t>
      </w:r>
    </w:p>
    <w:tbl>
      <w:tblPr>
        <w:tblW w:w="4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7"/>
      </w:tblGrid>
      <w:tr w:rsidR="00704A22" w:rsidRPr="000C2F59" w:rsidTr="00D30B8B">
        <w:trPr>
          <w:trHeight w:val="289"/>
          <w:jc w:val="center"/>
        </w:trPr>
        <w:tc>
          <w:tcPr>
            <w:tcW w:w="4687" w:type="dxa"/>
          </w:tcPr>
          <w:p w:rsidR="00704A22" w:rsidRPr="00BA45F7" w:rsidRDefault="00C104AE" w:rsidP="00BA45F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6"/>
                <w:szCs w:val="6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6"/>
                <w:szCs w:val="6"/>
              </w:rPr>
              <w:drawing>
                <wp:inline distT="0" distB="0" distL="0" distR="0">
                  <wp:extent cx="2838450" cy="1809750"/>
                  <wp:effectExtent l="0" t="0" r="0" b="0"/>
                  <wp:docPr id="3" name="Char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975A92" w:rsidRDefault="00975A92" w:rsidP="00C07A18">
      <w:pPr>
        <w:bidi w:val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728F5" w:rsidRPr="00D30B8B" w:rsidRDefault="00FD59EE" w:rsidP="003F2BDE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Youth in the age group </w:t>
      </w:r>
      <w:r w:rsidR="00C07A18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(</w:t>
      </w: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19–29 years</w:t>
      </w:r>
      <w:r w:rsidR="00D53DC9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)</w:t>
      </w: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who hold</w:t>
      </w:r>
      <w:r w:rsidR="00FA6129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D53DC9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Intermediate </w:t>
      </w: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diploma </w:t>
      </w:r>
      <w:r w:rsidR="007059FF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and Above</w:t>
      </w: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, suffer the most from unemployment</w:t>
      </w:r>
    </w:p>
    <w:p w:rsidR="00D522F2" w:rsidRPr="00D30B8B" w:rsidRDefault="003F2BDE" w:rsidP="007059FF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B8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952F9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nemployment 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rate </w:t>
      </w:r>
      <w:r w:rsidR="008952F9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among youth </w:t>
      </w:r>
      <w:r w:rsidR="00D67EE7" w:rsidRPr="00D30B8B">
        <w:rPr>
          <w:rFonts w:ascii="Times New Roman" w:hAnsi="Times New Roman" w:cs="Times New Roman"/>
          <w:color w:val="000000"/>
          <w:sz w:val="24"/>
          <w:szCs w:val="24"/>
        </w:rPr>
        <w:t>graduates</w:t>
      </w:r>
      <w:r w:rsidR="008952F9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of those who hold </w:t>
      </w:r>
      <w:r w:rsidR="00D53DC9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Intermediate </w:t>
      </w:r>
      <w:r w:rsidR="008952F9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diploma </w:t>
      </w:r>
      <w:r w:rsidR="007059FF" w:rsidRPr="00D30B8B">
        <w:rPr>
          <w:rFonts w:ascii="Times New Roman" w:hAnsi="Times New Roman" w:cs="Times New Roman"/>
          <w:color w:val="000000"/>
          <w:sz w:val="24"/>
          <w:szCs w:val="24"/>
        </w:rPr>
        <w:t>and above</w:t>
      </w:r>
      <w:r w:rsidR="008952F9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reached 52% </w:t>
      </w:r>
      <w:r w:rsidR="001A4FE2" w:rsidRPr="00D30B8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952F9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68% </w:t>
      </w:r>
      <w:r w:rsidR="00A07CE5" w:rsidRPr="00D30B8B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8952F9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females compared </w:t>
      </w:r>
      <w:r w:rsidR="006155B6" w:rsidRPr="00D30B8B">
        <w:rPr>
          <w:rFonts w:ascii="Times New Roman" w:hAnsi="Times New Roman" w:cs="Times New Roman"/>
          <w:color w:val="000000"/>
          <w:sz w:val="24"/>
          <w:szCs w:val="24"/>
        </w:rPr>
        <w:t>with</w:t>
      </w:r>
      <w:r w:rsidR="008952F9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35% </w:t>
      </w:r>
      <w:r w:rsidR="00A07CE5" w:rsidRPr="00D30B8B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8952F9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males</w:t>
      </w:r>
      <w:r w:rsidR="00144ACC" w:rsidRPr="00D30B8B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7F0BA1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44ACC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The unemployment rate among participated women in the labour force was 41% compared to 21% </w:t>
      </w:r>
      <w:r w:rsidR="00EC435E" w:rsidRPr="00D30B8B">
        <w:rPr>
          <w:rFonts w:ascii="Times New Roman" w:hAnsi="Times New Roman" w:cs="Times New Roman"/>
          <w:color w:val="000000"/>
          <w:sz w:val="24"/>
          <w:szCs w:val="24"/>
        </w:rPr>
        <w:t>among</w:t>
      </w:r>
      <w:r w:rsidR="00144ACC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men in 2019.</w:t>
      </w:r>
    </w:p>
    <w:p w:rsidR="00144ACC" w:rsidRPr="00D30B8B" w:rsidRDefault="00144ACC" w:rsidP="00144ACC">
      <w:pPr>
        <w:bidi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728F5" w:rsidRPr="00D30B8B" w:rsidRDefault="00FD59EE" w:rsidP="00C66F89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About </w:t>
      </w:r>
      <w:r w:rsidR="00FC331D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one </w:t>
      </w: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third of employees in the private sector get paid less than the minimum average wages (1</w:t>
      </w:r>
      <w:r w:rsidR="00C07A18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,</w:t>
      </w: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450 </w:t>
      </w:r>
      <w:r w:rsidR="00A15122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NIS</w:t>
      </w: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) </w:t>
      </w:r>
      <w:r w:rsidR="00A07CE5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per month </w:t>
      </w: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in Palestine.</w:t>
      </w:r>
    </w:p>
    <w:p w:rsidR="008728F5" w:rsidRPr="00D30B8B" w:rsidRDefault="00441A70" w:rsidP="00C66F89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Data of the </w:t>
      </w:r>
      <w:r w:rsidR="00E13FAE" w:rsidRPr="00D30B8B">
        <w:rPr>
          <w:rFonts w:ascii="Times New Roman" w:hAnsi="Times New Roman" w:cs="Times New Roman"/>
          <w:color w:val="000000"/>
          <w:sz w:val="24"/>
          <w:szCs w:val="24"/>
        </w:rPr>
        <w:t>Labour</w:t>
      </w:r>
      <w:r w:rsidR="007F0BA1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Force Survey 2019 indicated that about 29% of </w:t>
      </w:r>
      <w:r w:rsidR="00F370E7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male 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>employees in the private sector get paid less than the minimum average wages</w:t>
      </w:r>
      <w:r w:rsidR="00F370E7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(1</w:t>
      </w:r>
      <w:r w:rsidR="00C07A18" w:rsidRPr="00D30B8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370E7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450 </w:t>
      </w:r>
      <w:r w:rsidR="00A15122" w:rsidRPr="00D30B8B">
        <w:rPr>
          <w:rFonts w:ascii="Times New Roman" w:hAnsi="Times New Roman" w:cs="Times New Roman"/>
          <w:color w:val="000000"/>
          <w:sz w:val="24"/>
          <w:szCs w:val="24"/>
        </w:rPr>
        <w:t>NIS</w:t>
      </w:r>
      <w:r w:rsidR="00F370E7" w:rsidRPr="00D30B8B">
        <w:rPr>
          <w:rFonts w:ascii="Times New Roman" w:hAnsi="Times New Roman" w:cs="Times New Roman"/>
          <w:color w:val="000000"/>
          <w:sz w:val="24"/>
          <w:szCs w:val="24"/>
        </w:rPr>
        <w:t>) per month compared to 35% of female employees.</w:t>
      </w:r>
    </w:p>
    <w:p w:rsidR="00A75393" w:rsidRPr="00D30B8B" w:rsidRDefault="00A75393" w:rsidP="00671463">
      <w:pPr>
        <w:jc w:val="lowKashida"/>
        <w:rPr>
          <w:rFonts w:cs="Simplified Arabic"/>
          <w:color w:val="000000"/>
          <w:sz w:val="24"/>
          <w:szCs w:val="24"/>
          <w:rtl/>
        </w:rPr>
      </w:pPr>
    </w:p>
    <w:p w:rsidR="008728F5" w:rsidRPr="00D30B8B" w:rsidRDefault="00FC331D" w:rsidP="00C66F89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One fourth </w:t>
      </w:r>
      <w:r w:rsidR="00FD59EE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of female employees in the private sector work without an employment contract</w:t>
      </w:r>
    </w:p>
    <w:p w:rsidR="008728F5" w:rsidRPr="00D30B8B" w:rsidRDefault="00F370E7" w:rsidP="00C66F89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B8B">
        <w:rPr>
          <w:rFonts w:ascii="Times New Roman" w:hAnsi="Times New Roman" w:cs="Times New Roman"/>
          <w:color w:val="000000"/>
          <w:sz w:val="24"/>
          <w:szCs w:val="24"/>
        </w:rPr>
        <w:t>25% of the female employees hired in the private sector work without an employment contract</w:t>
      </w:r>
      <w:r w:rsidR="00725D46" w:rsidRPr="00D30B8B">
        <w:rPr>
          <w:rFonts w:ascii="Times New Roman" w:hAnsi="Times New Roman" w:cs="Times New Roman"/>
          <w:color w:val="000000"/>
          <w:sz w:val="24"/>
          <w:szCs w:val="24"/>
        </w:rPr>
        <w:t>, and 49% of them get</w:t>
      </w:r>
      <w:r w:rsidR="00F23522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a contribution</w:t>
      </w:r>
      <w:r w:rsidR="00986691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in financing retirement/</w:t>
      </w:r>
      <w:r w:rsidR="00A75393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end of service package. However, less than half of female employees in the private sector (48%) get </w:t>
      </w:r>
      <w:r w:rsidR="00D27488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A75393" w:rsidRPr="00D30B8B">
        <w:rPr>
          <w:rFonts w:ascii="Times New Roman" w:hAnsi="Times New Roman" w:cs="Times New Roman"/>
          <w:color w:val="000000"/>
          <w:sz w:val="24"/>
          <w:szCs w:val="24"/>
        </w:rPr>
        <w:t>paid maternity leave</w:t>
      </w:r>
      <w:r w:rsidR="00552812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for year 2019</w:t>
      </w:r>
      <w:r w:rsidR="00A75393" w:rsidRPr="00D30B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1294C" w:rsidRPr="00D30B8B" w:rsidRDefault="0081294C" w:rsidP="00F507B8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728F5" w:rsidRPr="00D30B8B" w:rsidRDefault="004543CB" w:rsidP="0081294C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Gaza</w:t>
      </w:r>
      <w:r w:rsidR="00E56E18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D53DC9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g</w:t>
      </w:r>
      <w:r w:rsidR="00E56E18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overnorate</w:t>
      </w: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F507B8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witnessed the highest level of violence </w:t>
      </w: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against currently or ever married women </w:t>
      </w:r>
    </w:p>
    <w:p w:rsidR="00C66F89" w:rsidRPr="00D30B8B" w:rsidRDefault="00623618" w:rsidP="0081294C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Data of </w:t>
      </w:r>
      <w:r w:rsidR="00FD59EE" w:rsidRPr="00D30B8B">
        <w:rPr>
          <w:rFonts w:ascii="Times New Roman" w:hAnsi="Times New Roman" w:cs="Times New Roman"/>
          <w:color w:val="000000"/>
          <w:sz w:val="24"/>
          <w:szCs w:val="24"/>
        </w:rPr>
        <w:t>Violence Survey 2019</w:t>
      </w:r>
      <w:r w:rsidR="00714805" w:rsidRPr="00D30B8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59EE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showed that Hebron governorate is one of </w:t>
      </w:r>
      <w:r w:rsidR="002B1FC3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FD59EE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highest governorates with </w:t>
      </w:r>
      <w:r w:rsidR="002B1FC3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FD59EE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prevalence of </w:t>
      </w:r>
      <w:r w:rsidR="002B1FC3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violence </w:t>
      </w:r>
      <w:r w:rsidR="009241D7" w:rsidRPr="00D30B8B">
        <w:rPr>
          <w:rFonts w:ascii="Times New Roman" w:hAnsi="Times New Roman" w:cs="Times New Roman"/>
          <w:color w:val="000000"/>
          <w:sz w:val="24"/>
          <w:szCs w:val="24"/>
        </w:rPr>
        <w:t>by the husbands against currently or ever married women (18-64 years</w:t>
      </w:r>
      <w:r w:rsidR="00773279" w:rsidRPr="00D30B8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241D7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. Thus, </w:t>
      </w:r>
      <w:r w:rsidR="0081294C" w:rsidRPr="00D30B8B">
        <w:rPr>
          <w:rFonts w:ascii="Times New Roman" w:hAnsi="Times New Roman" w:cs="Times New Roman"/>
          <w:color w:val="000000"/>
          <w:sz w:val="24"/>
          <w:szCs w:val="24"/>
        </w:rPr>
        <w:t>this</w:t>
      </w:r>
      <w:r w:rsidR="009241D7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percentage reached 37</w:t>
      </w:r>
      <w:r w:rsidR="00284209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%, followed by Jenin </w:t>
      </w:r>
      <w:r w:rsidR="00773279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governorate </w:t>
      </w:r>
      <w:r w:rsidR="00284209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with a percentage of 27% and the least governorate </w:t>
      </w:r>
      <w:r w:rsidR="003D3285" w:rsidRPr="00D30B8B">
        <w:rPr>
          <w:rFonts w:ascii="Times New Roman" w:hAnsi="Times New Roman" w:cs="Times New Roman"/>
          <w:color w:val="000000"/>
          <w:sz w:val="24"/>
          <w:szCs w:val="24"/>
        </w:rPr>
        <w:t>with the prevalence of violence is Jerusalem</w:t>
      </w:r>
      <w:r w:rsidR="00773279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governorate</w:t>
      </w:r>
      <w:r w:rsidR="003D3285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with</w:t>
      </w:r>
      <w:r w:rsidR="00070BA0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3285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a percentage of 11%. On the level of Gaza Strip governorates, Khan Y</w:t>
      </w:r>
      <w:r w:rsidR="00E56E18" w:rsidRPr="00D30B8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3D3285" w:rsidRPr="00D30B8B">
        <w:rPr>
          <w:rFonts w:ascii="Times New Roman" w:hAnsi="Times New Roman" w:cs="Times New Roman"/>
          <w:color w:val="000000"/>
          <w:sz w:val="24"/>
          <w:szCs w:val="24"/>
        </w:rPr>
        <w:t>nis and Gaza</w:t>
      </w:r>
      <w:r w:rsidR="00E56E18" w:rsidRPr="00D30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56E18" w:rsidRPr="00D30B8B">
        <w:rPr>
          <w:rFonts w:ascii="Times New Roman" w:hAnsi="Times New Roman" w:cs="Times New Roman"/>
          <w:color w:val="000000"/>
          <w:sz w:val="24"/>
          <w:szCs w:val="24"/>
        </w:rPr>
        <w:t>governorates</w:t>
      </w:r>
      <w:r w:rsidR="003D3285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3E51" w:rsidRPr="00D30B8B">
        <w:rPr>
          <w:rFonts w:ascii="Times New Roman" w:hAnsi="Times New Roman" w:cs="Times New Roman"/>
          <w:color w:val="000000"/>
          <w:sz w:val="24"/>
          <w:szCs w:val="24"/>
        </w:rPr>
        <w:t>had the highest prevalence of violence by husbands against currently or eve</w:t>
      </w:r>
      <w:r w:rsidR="00F507B8" w:rsidRPr="00D30B8B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D33E51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married women. Hence, the two percentages reached 41% and 40%, respectively, while </w:t>
      </w:r>
      <w:r w:rsidR="007F0BA1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Dier Al-Balah </w:t>
      </w:r>
      <w:r w:rsidR="00E56E18" w:rsidRPr="00D30B8B">
        <w:rPr>
          <w:rFonts w:ascii="Times New Roman" w:hAnsi="Times New Roman" w:cs="Times New Roman"/>
          <w:color w:val="000000"/>
          <w:sz w:val="24"/>
          <w:szCs w:val="24"/>
        </w:rPr>
        <w:t>governorate</w:t>
      </w:r>
      <w:r w:rsidR="00D33E51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had the least preval</w:t>
      </w:r>
      <w:r w:rsidR="001B1336" w:rsidRPr="00D30B8B">
        <w:rPr>
          <w:rFonts w:ascii="Times New Roman" w:hAnsi="Times New Roman" w:cs="Times New Roman"/>
          <w:color w:val="000000"/>
          <w:sz w:val="24"/>
          <w:szCs w:val="24"/>
        </w:rPr>
        <w:t>ence of violence by the husbands with</w:t>
      </w:r>
      <w:r w:rsidR="00C66F89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1336" w:rsidRPr="00D30B8B">
        <w:rPr>
          <w:rFonts w:ascii="Times New Roman" w:hAnsi="Times New Roman" w:cs="Times New Roman"/>
          <w:color w:val="000000"/>
          <w:sz w:val="24"/>
          <w:szCs w:val="24"/>
        </w:rPr>
        <w:t>a percentage of 30%.</w:t>
      </w:r>
    </w:p>
    <w:p w:rsidR="00D87E1A" w:rsidRDefault="00D87E1A" w:rsidP="00D87E1A">
      <w:pPr>
        <w:bidi w:val="0"/>
        <w:jc w:val="both"/>
        <w:rPr>
          <w:rFonts w:ascii="Times New Roman" w:hAnsi="Times New Roman" w:cs="Times New Roman"/>
          <w:color w:val="000000"/>
        </w:rPr>
      </w:pPr>
    </w:p>
    <w:p w:rsidR="00D87E1A" w:rsidRDefault="00D87E1A" w:rsidP="00D87E1A">
      <w:pPr>
        <w:bidi w:val="0"/>
        <w:jc w:val="both"/>
        <w:rPr>
          <w:rFonts w:ascii="Times New Roman" w:hAnsi="Times New Roman" w:cs="Times New Roman"/>
          <w:color w:val="000000"/>
        </w:rPr>
      </w:pPr>
    </w:p>
    <w:p w:rsidR="00D87E1A" w:rsidRDefault="00D87E1A" w:rsidP="00D87E1A">
      <w:pPr>
        <w:bidi w:val="0"/>
        <w:jc w:val="both"/>
        <w:rPr>
          <w:rFonts w:ascii="Times New Roman" w:hAnsi="Times New Roman" w:cs="Times New Roman"/>
          <w:color w:val="000000"/>
        </w:rPr>
      </w:pPr>
    </w:p>
    <w:p w:rsidR="00D87E1A" w:rsidRDefault="00D87E1A" w:rsidP="00D87E1A">
      <w:pPr>
        <w:bidi w:val="0"/>
        <w:jc w:val="both"/>
        <w:rPr>
          <w:rFonts w:ascii="Times New Roman" w:hAnsi="Times New Roman" w:cs="Times New Roman"/>
          <w:color w:val="000000"/>
        </w:rPr>
      </w:pPr>
    </w:p>
    <w:p w:rsidR="00D87E1A" w:rsidRDefault="00D87E1A" w:rsidP="00D87E1A">
      <w:pPr>
        <w:bidi w:val="0"/>
        <w:jc w:val="both"/>
        <w:rPr>
          <w:rFonts w:ascii="Times New Roman" w:hAnsi="Times New Roman" w:cs="Times New Roman"/>
          <w:color w:val="000000"/>
        </w:rPr>
      </w:pPr>
    </w:p>
    <w:p w:rsidR="00D87E1A" w:rsidRDefault="00D87E1A" w:rsidP="00D87E1A">
      <w:pPr>
        <w:bidi w:val="0"/>
        <w:jc w:val="both"/>
        <w:rPr>
          <w:rFonts w:ascii="Times New Roman" w:hAnsi="Times New Roman" w:cs="Times New Roman"/>
          <w:color w:val="000000"/>
        </w:rPr>
      </w:pPr>
    </w:p>
    <w:p w:rsidR="00D87E1A" w:rsidRDefault="00D87E1A" w:rsidP="00D87E1A">
      <w:pPr>
        <w:bidi w:val="0"/>
        <w:jc w:val="both"/>
        <w:rPr>
          <w:rFonts w:ascii="Times New Roman" w:hAnsi="Times New Roman" w:cs="Times New Roman"/>
          <w:color w:val="000000"/>
        </w:rPr>
      </w:pPr>
    </w:p>
    <w:p w:rsidR="00D87E1A" w:rsidRDefault="00D87E1A" w:rsidP="00D87E1A">
      <w:pPr>
        <w:bidi w:val="0"/>
        <w:jc w:val="both"/>
        <w:rPr>
          <w:rFonts w:ascii="Times New Roman" w:hAnsi="Times New Roman" w:cs="Times New Roman"/>
          <w:color w:val="000000"/>
        </w:rPr>
      </w:pPr>
    </w:p>
    <w:p w:rsidR="00D87E1A" w:rsidRDefault="00D87E1A" w:rsidP="00D87E1A">
      <w:pPr>
        <w:bidi w:val="0"/>
        <w:jc w:val="both"/>
        <w:rPr>
          <w:rFonts w:ascii="Times New Roman" w:hAnsi="Times New Roman" w:cs="Times New Roman"/>
          <w:color w:val="000000"/>
        </w:rPr>
      </w:pPr>
    </w:p>
    <w:p w:rsidR="00D87E1A" w:rsidRDefault="00D87E1A" w:rsidP="00D87E1A">
      <w:pPr>
        <w:bidi w:val="0"/>
        <w:jc w:val="both"/>
        <w:rPr>
          <w:rFonts w:ascii="Times New Roman" w:hAnsi="Times New Roman" w:cs="Times New Roman"/>
          <w:color w:val="000000"/>
        </w:rPr>
      </w:pPr>
    </w:p>
    <w:p w:rsidR="00D87E1A" w:rsidRDefault="00D87E1A" w:rsidP="00D87E1A">
      <w:pPr>
        <w:bidi w:val="0"/>
        <w:jc w:val="both"/>
        <w:rPr>
          <w:rFonts w:ascii="Times New Roman" w:hAnsi="Times New Roman" w:cs="Times New Roman"/>
          <w:color w:val="000000"/>
        </w:rPr>
      </w:pPr>
    </w:p>
    <w:p w:rsidR="00D87E1A" w:rsidRDefault="00D87E1A" w:rsidP="00D87E1A">
      <w:pPr>
        <w:bidi w:val="0"/>
        <w:jc w:val="both"/>
        <w:rPr>
          <w:rFonts w:ascii="Times New Roman" w:hAnsi="Times New Roman" w:cs="Times New Roman"/>
          <w:color w:val="000000"/>
        </w:rPr>
      </w:pPr>
    </w:p>
    <w:p w:rsidR="00F507B8" w:rsidRDefault="00F507B8" w:rsidP="00F507B8">
      <w:pPr>
        <w:bidi w:val="0"/>
        <w:jc w:val="both"/>
        <w:rPr>
          <w:rFonts w:ascii="Times New Roman" w:hAnsi="Times New Roman" w:cs="Times New Roman"/>
          <w:color w:val="000000"/>
        </w:rPr>
      </w:pPr>
    </w:p>
    <w:p w:rsidR="00C66F89" w:rsidRPr="00D30B8B" w:rsidRDefault="00C66F89" w:rsidP="00BA7F1E">
      <w:pPr>
        <w:bidi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Prevalence of Violence </w:t>
      </w:r>
      <w:r w:rsidR="00BA7F1E"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against </w:t>
      </w:r>
      <w:r w:rsidR="00F507B8"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currently married or ever married women</w:t>
      </w:r>
      <w:r w:rsidR="00BA7F1E"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(18-64) years</w:t>
      </w:r>
      <w:r w:rsidR="00F507B8"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by</w:t>
      </w:r>
      <w:r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husbands </w:t>
      </w:r>
      <w:r w:rsidR="00BA7F1E"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by</w:t>
      </w:r>
      <w:r w:rsidRPr="00D30B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Governorate, 2019</w:t>
      </w:r>
    </w:p>
    <w:tbl>
      <w:tblPr>
        <w:tblW w:w="0" w:type="auto"/>
        <w:tblInd w:w="2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</w:tblGrid>
      <w:tr w:rsidR="00D522F2" w:rsidTr="00D30B8B">
        <w:tc>
          <w:tcPr>
            <w:tcW w:w="4962" w:type="dxa"/>
          </w:tcPr>
          <w:p w:rsidR="00D522F2" w:rsidRPr="00BA45F7" w:rsidRDefault="00C104AE" w:rsidP="00D30B8B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3000375" cy="2019300"/>
                  <wp:effectExtent l="0" t="0" r="0" b="0"/>
                  <wp:docPr id="4" name="Objec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D87E1A" w:rsidRDefault="00D87E1A" w:rsidP="00F5597F">
      <w:pPr>
        <w:tabs>
          <w:tab w:val="left" w:pos="9071"/>
        </w:tabs>
        <w:bidi w:val="0"/>
        <w:ind w:right="-71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728F5" w:rsidRPr="00D30B8B" w:rsidRDefault="007A3C0A" w:rsidP="00D87E1A">
      <w:pPr>
        <w:tabs>
          <w:tab w:val="left" w:pos="9071"/>
        </w:tabs>
        <w:bidi w:val="0"/>
        <w:ind w:right="-7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rtl/>
        </w:rPr>
      </w:pP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 humble participation </w:t>
      </w:r>
      <w:r w:rsidR="008713CA"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of</w:t>
      </w:r>
      <w:r w:rsidRPr="00D30B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women in decision making positions </w:t>
      </w:r>
    </w:p>
    <w:p w:rsidR="008728F5" w:rsidRPr="00D30B8B" w:rsidRDefault="00FD59EE" w:rsidP="00BA7F1E">
      <w:pPr>
        <w:bidi w:val="0"/>
        <w:jc w:val="lowKashida"/>
        <w:rPr>
          <w:rFonts w:ascii="Times New Roman" w:hAnsi="Times New Roman" w:cs="Times New Roman"/>
          <w:color w:val="000000"/>
          <w:sz w:val="24"/>
          <w:szCs w:val="24"/>
        </w:rPr>
      </w:pP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According to 2019 data, the participation of women in decision making positions is still limited comparing to men's. These data showed that 5% of the </w:t>
      </w:r>
      <w:r w:rsidR="00E35349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Palestinian 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Central Council members, 11% of the </w:t>
      </w:r>
      <w:r w:rsidR="00E35349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Palestinian 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>National Council members and 1</w:t>
      </w:r>
      <w:r w:rsidR="00BA7F1E" w:rsidRPr="00D30B8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% of the Council of Ministers members are women. Also, 11% is the percentage of the active women ambassadors in the Diplomatic Service. Moreover, there is one woman holds the </w:t>
      </w:r>
      <w:r w:rsidR="003F2BDE" w:rsidRPr="00D30B8B">
        <w:rPr>
          <w:rFonts w:ascii="Times New Roman" w:hAnsi="Times New Roman" w:cs="Times New Roman"/>
          <w:color w:val="000000"/>
          <w:sz w:val="24"/>
          <w:szCs w:val="24"/>
        </w:rPr>
        <w:t>position of Ramallah and Al-Bire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h governor out </w:t>
      </w:r>
      <w:r w:rsidR="00754A9A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>16 governors.</w:t>
      </w:r>
    </w:p>
    <w:p w:rsidR="006A4834" w:rsidRPr="00D30B8B" w:rsidRDefault="006A4834" w:rsidP="006A4834">
      <w:pPr>
        <w:bidi w:val="0"/>
        <w:jc w:val="lowKashida"/>
        <w:rPr>
          <w:rFonts w:ascii="Times New Roman" w:hAnsi="Times New Roman" w:cs="Times New Roman"/>
          <w:color w:val="000000"/>
          <w:sz w:val="24"/>
          <w:szCs w:val="24"/>
        </w:rPr>
      </w:pPr>
    </w:p>
    <w:p w:rsidR="008728F5" w:rsidRPr="00D30B8B" w:rsidRDefault="00E572BD" w:rsidP="00C66F89">
      <w:pPr>
        <w:bidi w:val="0"/>
        <w:jc w:val="lowKashida"/>
        <w:rPr>
          <w:rFonts w:ascii="Times New Roman" w:hAnsi="Times New Roman" w:cs="Times New Roman"/>
          <w:color w:val="000000"/>
          <w:sz w:val="24"/>
          <w:szCs w:val="24"/>
        </w:rPr>
      </w:pP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According to the General </w:t>
      </w:r>
      <w:r w:rsidR="00D67EE7" w:rsidRPr="00D30B8B">
        <w:rPr>
          <w:rFonts w:ascii="Times New Roman" w:hAnsi="Times New Roman" w:cs="Times New Roman"/>
          <w:color w:val="000000"/>
          <w:sz w:val="24"/>
          <w:szCs w:val="24"/>
        </w:rPr>
        <w:t>Personnel Council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data up </w:t>
      </w:r>
      <w:r w:rsidR="00067836" w:rsidRPr="00D30B8B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7EE7" w:rsidRPr="00D30B8B">
        <w:rPr>
          <w:rFonts w:ascii="Times New Roman" w:hAnsi="Times New Roman" w:cs="Times New Roman"/>
          <w:color w:val="000000"/>
          <w:sz w:val="24"/>
          <w:szCs w:val="24"/>
        </w:rPr>
        <w:t>February</w:t>
      </w:r>
      <w:r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2020, </w:t>
      </w:r>
      <w:r w:rsidR="00131649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the percentage of women's participation in the civil sector reached 44% of the total </w:t>
      </w:r>
      <w:r w:rsidR="00E4598B" w:rsidRPr="00D30B8B">
        <w:rPr>
          <w:rFonts w:ascii="Times New Roman" w:hAnsi="Times New Roman" w:cs="Times New Roman"/>
          <w:color w:val="000000"/>
          <w:sz w:val="24"/>
          <w:szCs w:val="24"/>
        </w:rPr>
        <w:t>employees in the public sector. The gap is reflected when talking about those who hold the rank of Dire</w:t>
      </w:r>
      <w:r w:rsidR="008A4AF8" w:rsidRPr="00D30B8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E4598B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tor </w:t>
      </w:r>
      <w:r w:rsidR="00D67EE7" w:rsidRPr="00D30B8B">
        <w:rPr>
          <w:rFonts w:ascii="Times New Roman" w:hAnsi="Times New Roman" w:cs="Times New Roman"/>
          <w:color w:val="000000"/>
          <w:sz w:val="24"/>
          <w:szCs w:val="24"/>
        </w:rPr>
        <w:t>General and</w:t>
      </w:r>
      <w:r w:rsidR="008703E4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higher, where this percentage reached 13% of women compared </w:t>
      </w:r>
      <w:r w:rsidR="006155B6" w:rsidRPr="00D30B8B">
        <w:rPr>
          <w:rFonts w:ascii="Times New Roman" w:hAnsi="Times New Roman" w:cs="Times New Roman"/>
          <w:color w:val="000000"/>
          <w:sz w:val="24"/>
          <w:szCs w:val="24"/>
        </w:rPr>
        <w:t>with</w:t>
      </w:r>
      <w:r w:rsidR="008703E4" w:rsidRPr="00D30B8B">
        <w:rPr>
          <w:rFonts w:ascii="Times New Roman" w:hAnsi="Times New Roman" w:cs="Times New Roman"/>
          <w:color w:val="000000"/>
          <w:sz w:val="24"/>
          <w:szCs w:val="24"/>
        </w:rPr>
        <w:t xml:space="preserve"> 87% of men.</w:t>
      </w:r>
    </w:p>
    <w:p w:rsidR="00B84F38" w:rsidRDefault="00B84F38" w:rsidP="00B84F38">
      <w:pPr>
        <w:ind w:left="70" w:right="142"/>
        <w:jc w:val="both"/>
        <w:rPr>
          <w:rFonts w:ascii="Simplified Arabic" w:hAnsi="Simplified Arabic" w:cs="Simplified Arabic"/>
          <w:color w:val="000000"/>
          <w:sz w:val="10"/>
          <w:szCs w:val="10"/>
          <w:rtl/>
        </w:rPr>
      </w:pPr>
    </w:p>
    <w:p w:rsidR="002C5CC1" w:rsidRDefault="002C5CC1" w:rsidP="00B84F38">
      <w:pPr>
        <w:ind w:left="70" w:right="142"/>
        <w:jc w:val="both"/>
        <w:rPr>
          <w:rFonts w:ascii="Simplified Arabic" w:hAnsi="Simplified Arabic" w:cs="Simplified Arabic"/>
          <w:color w:val="000000"/>
          <w:sz w:val="10"/>
          <w:szCs w:val="10"/>
          <w:rtl/>
        </w:rPr>
      </w:pPr>
    </w:p>
    <w:p w:rsidR="007633E3" w:rsidRDefault="007633E3" w:rsidP="00B84F38">
      <w:pPr>
        <w:ind w:left="70" w:right="142"/>
        <w:jc w:val="both"/>
        <w:rPr>
          <w:rFonts w:ascii="Simplified Arabic" w:hAnsi="Simplified Arabic" w:cs="Simplified Arabic"/>
          <w:color w:val="000000"/>
          <w:sz w:val="10"/>
          <w:szCs w:val="10"/>
          <w:rtl/>
        </w:rPr>
      </w:pPr>
    </w:p>
    <w:p w:rsidR="007633E3" w:rsidRDefault="007633E3" w:rsidP="00B84F38">
      <w:pPr>
        <w:ind w:left="70" w:right="142"/>
        <w:jc w:val="both"/>
        <w:rPr>
          <w:rFonts w:ascii="Simplified Arabic" w:hAnsi="Simplified Arabic" w:cs="Simplified Arabic"/>
          <w:color w:val="000000"/>
          <w:sz w:val="10"/>
          <w:szCs w:val="10"/>
          <w:rtl/>
        </w:rPr>
      </w:pPr>
    </w:p>
    <w:p w:rsidR="007633E3" w:rsidRDefault="007633E3" w:rsidP="00B84F38">
      <w:pPr>
        <w:ind w:left="70" w:right="142"/>
        <w:jc w:val="both"/>
        <w:rPr>
          <w:rFonts w:ascii="Simplified Arabic" w:hAnsi="Simplified Arabic" w:cs="Simplified Arabic"/>
          <w:color w:val="000000"/>
          <w:sz w:val="10"/>
          <w:szCs w:val="10"/>
          <w:rtl/>
        </w:rPr>
      </w:pPr>
    </w:p>
    <w:p w:rsidR="007633E3" w:rsidRPr="000C2F59" w:rsidRDefault="007633E3" w:rsidP="00B84F38">
      <w:pPr>
        <w:ind w:left="70" w:right="142"/>
        <w:jc w:val="both"/>
        <w:rPr>
          <w:rFonts w:ascii="Simplified Arabic" w:hAnsi="Simplified Arabic" w:cs="Simplified Arabic"/>
          <w:color w:val="000000"/>
          <w:sz w:val="10"/>
          <w:szCs w:val="10"/>
          <w:rtl/>
        </w:rPr>
      </w:pPr>
    </w:p>
    <w:p w:rsidR="00310955" w:rsidRPr="000C2F59" w:rsidRDefault="00310955" w:rsidP="00310955">
      <w:pPr>
        <w:bidi w:val="0"/>
        <w:ind w:right="14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310955" w:rsidRPr="000C2F59" w:rsidRDefault="00310955" w:rsidP="00310955">
      <w:pPr>
        <w:bidi w:val="0"/>
        <w:ind w:right="14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310955" w:rsidRPr="000C2F59" w:rsidRDefault="00310955" w:rsidP="00310955">
      <w:pPr>
        <w:bidi w:val="0"/>
        <w:ind w:right="14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310955" w:rsidRPr="000C2F59" w:rsidRDefault="00310955" w:rsidP="00310955">
      <w:pPr>
        <w:bidi w:val="0"/>
        <w:ind w:right="14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E952BB" w:rsidRDefault="00E952BB" w:rsidP="00E952BB">
      <w:pPr>
        <w:bidi w:val="0"/>
        <w:ind w:right="14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E952BB" w:rsidRDefault="00E952BB" w:rsidP="00E952BB">
      <w:pPr>
        <w:bidi w:val="0"/>
        <w:ind w:right="14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E952BB" w:rsidRDefault="00E952BB" w:rsidP="00E952BB">
      <w:pPr>
        <w:bidi w:val="0"/>
        <w:ind w:right="14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E952BB" w:rsidRDefault="00E952BB" w:rsidP="00E952BB">
      <w:pPr>
        <w:bidi w:val="0"/>
        <w:ind w:right="14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E952BB" w:rsidRDefault="00E952BB" w:rsidP="00E952BB">
      <w:pPr>
        <w:bidi w:val="0"/>
        <w:ind w:right="14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E952BB" w:rsidRPr="000C2F59" w:rsidRDefault="00E952BB" w:rsidP="00E952BB">
      <w:pPr>
        <w:bidi w:val="0"/>
        <w:ind w:right="14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310955" w:rsidRDefault="00310955" w:rsidP="00310955">
      <w:pPr>
        <w:bidi w:val="0"/>
        <w:ind w:right="142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310955" w:rsidRDefault="00310955" w:rsidP="00310955">
      <w:pPr>
        <w:bidi w:val="0"/>
        <w:ind w:right="142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310955" w:rsidRDefault="00310955" w:rsidP="00310955">
      <w:pPr>
        <w:bidi w:val="0"/>
        <w:ind w:right="142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310955" w:rsidRDefault="00310955" w:rsidP="00310955">
      <w:pPr>
        <w:bidi w:val="0"/>
        <w:ind w:right="142"/>
        <w:jc w:val="both"/>
        <w:rPr>
          <w:rFonts w:ascii="Times New Roman" w:hAnsi="Times New Roman" w:cs="Times New Roman"/>
          <w:color w:val="FF0000"/>
          <w:sz w:val="21"/>
          <w:szCs w:val="21"/>
          <w:rtl/>
        </w:rPr>
      </w:pPr>
    </w:p>
    <w:p w:rsidR="00310955" w:rsidRDefault="00310955" w:rsidP="00310955">
      <w:pPr>
        <w:bidi w:val="0"/>
        <w:ind w:right="142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310955" w:rsidRDefault="00310955" w:rsidP="00310955">
      <w:pPr>
        <w:bidi w:val="0"/>
        <w:ind w:right="142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310955" w:rsidRDefault="00310955" w:rsidP="00310955">
      <w:pPr>
        <w:bidi w:val="0"/>
        <w:ind w:right="142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310955" w:rsidRPr="00310955" w:rsidRDefault="00310955" w:rsidP="00310955">
      <w:pPr>
        <w:bidi w:val="0"/>
        <w:ind w:right="142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737F91" w:rsidRPr="003474AA" w:rsidRDefault="00F819C1" w:rsidP="004168F3">
      <w:pPr>
        <w:ind w:left="70" w:right="142"/>
        <w:jc w:val="both"/>
        <w:rPr>
          <w:rFonts w:ascii="Times New Roman" w:hAnsi="Times New Roman" w:cs="Times New Roman"/>
          <w:color w:val="000000"/>
          <w:sz w:val="21"/>
          <w:szCs w:val="21"/>
          <w:rtl/>
        </w:rPr>
      </w:pPr>
      <w:r w:rsidRPr="00504550">
        <w:rPr>
          <w:rFonts w:ascii="Times New Roman" w:hAnsi="Times New Roman" w:cs="Times New Roman"/>
          <w:color w:val="000000"/>
          <w:sz w:val="21"/>
          <w:szCs w:val="21"/>
          <w:rtl/>
        </w:rPr>
        <w:t xml:space="preserve"> </w:t>
      </w:r>
    </w:p>
    <w:p w:rsidR="00E34A36" w:rsidRPr="00504550" w:rsidRDefault="00E34A36" w:rsidP="00E34A36">
      <w:pPr>
        <w:ind w:right="142"/>
        <w:rPr>
          <w:rFonts w:ascii="Times New Roman" w:hAnsi="Times New Roman" w:cs="Times New Roman"/>
          <w:b/>
          <w:bCs/>
          <w:color w:val="000000"/>
          <w:sz w:val="21"/>
          <w:szCs w:val="21"/>
          <w:rtl/>
        </w:rPr>
        <w:sectPr w:rsidR="00E34A36" w:rsidRPr="00504550" w:rsidSect="00D30B8B">
          <w:footerReference w:type="default" r:id="rId12"/>
          <w:type w:val="continuous"/>
          <w:pgSz w:w="11906" w:h="16838" w:code="9"/>
          <w:pgMar w:top="1418" w:right="1134" w:bottom="851" w:left="1134" w:header="709" w:footer="709" w:gutter="0"/>
          <w:cols w:space="706"/>
          <w:rtlGutter/>
          <w:docGrid w:linePitch="360"/>
        </w:sectPr>
      </w:pPr>
    </w:p>
    <w:p w:rsidR="005E6289" w:rsidRDefault="005E6289" w:rsidP="00F762E3">
      <w:pPr>
        <w:ind w:right="142"/>
        <w:jc w:val="both"/>
        <w:rPr>
          <w:rFonts w:ascii="Times New Roman" w:hAnsi="Times New Roman" w:cs="Times New Roman"/>
          <w:sz w:val="21"/>
          <w:szCs w:val="21"/>
          <w:rtl/>
        </w:rPr>
      </w:pPr>
    </w:p>
    <w:p w:rsidR="00394EF2" w:rsidRPr="00E34A36" w:rsidRDefault="00394EF2" w:rsidP="00F762E3">
      <w:pPr>
        <w:ind w:right="142"/>
        <w:jc w:val="both"/>
        <w:rPr>
          <w:rFonts w:ascii="Times New Roman" w:hAnsi="Times New Roman" w:cs="Times New Roman"/>
          <w:sz w:val="21"/>
          <w:szCs w:val="21"/>
          <w:rtl/>
        </w:rPr>
      </w:pPr>
    </w:p>
    <w:sectPr w:rsidR="00394EF2" w:rsidRPr="00E34A36" w:rsidSect="006374BB">
      <w:type w:val="continuous"/>
      <w:pgSz w:w="11906" w:h="16838" w:code="9"/>
      <w:pgMar w:top="1701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6B7" w:rsidRDefault="004D56B7" w:rsidP="00FE5188">
      <w:r>
        <w:separator/>
      </w:r>
    </w:p>
  </w:endnote>
  <w:endnote w:type="continuationSeparator" w:id="0">
    <w:p w:rsidR="004D56B7" w:rsidRDefault="004D56B7" w:rsidP="00FE5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657" w:rsidRDefault="00003E2C" w:rsidP="00FE5188">
    <w:pPr>
      <w:pStyle w:val="Footer"/>
      <w:jc w:val="center"/>
    </w:pPr>
    <w:fldSimple w:instr=" PAGE   \* MERGEFORMAT ">
      <w:r w:rsidR="00C104AE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6B7" w:rsidRDefault="004D56B7" w:rsidP="00FE5188">
      <w:r>
        <w:separator/>
      </w:r>
    </w:p>
  </w:footnote>
  <w:footnote w:type="continuationSeparator" w:id="0">
    <w:p w:rsidR="004D56B7" w:rsidRDefault="004D56B7" w:rsidP="00FE5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820B3"/>
    <w:multiLevelType w:val="hybridMultilevel"/>
    <w:tmpl w:val="FFB437B6"/>
    <w:lvl w:ilvl="0" w:tplc="9BE62FD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055E2"/>
    <w:multiLevelType w:val="hybridMultilevel"/>
    <w:tmpl w:val="976803EE"/>
    <w:lvl w:ilvl="0" w:tplc="02A4B45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919FB"/>
    <w:multiLevelType w:val="hybridMultilevel"/>
    <w:tmpl w:val="D49C1C3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9A4A08"/>
    <w:multiLevelType w:val="hybridMultilevel"/>
    <w:tmpl w:val="72E09EC4"/>
    <w:lvl w:ilvl="0" w:tplc="EF227290">
      <w:start w:val="12"/>
      <w:numFmt w:val="bullet"/>
      <w:lvlText w:val="-"/>
      <w:lvlJc w:val="left"/>
      <w:pPr>
        <w:ind w:left="444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5E6289"/>
    <w:rsid w:val="00003782"/>
    <w:rsid w:val="0000379A"/>
    <w:rsid w:val="00003E2C"/>
    <w:rsid w:val="00004A83"/>
    <w:rsid w:val="00005E3B"/>
    <w:rsid w:val="00006E02"/>
    <w:rsid w:val="00007F45"/>
    <w:rsid w:val="00007FAB"/>
    <w:rsid w:val="0001032B"/>
    <w:rsid w:val="0001058B"/>
    <w:rsid w:val="0001248A"/>
    <w:rsid w:val="00012657"/>
    <w:rsid w:val="00014E38"/>
    <w:rsid w:val="000152C2"/>
    <w:rsid w:val="00016054"/>
    <w:rsid w:val="0001614F"/>
    <w:rsid w:val="000171EF"/>
    <w:rsid w:val="00023617"/>
    <w:rsid w:val="00024352"/>
    <w:rsid w:val="00033376"/>
    <w:rsid w:val="00036A35"/>
    <w:rsid w:val="000409AD"/>
    <w:rsid w:val="000410C8"/>
    <w:rsid w:val="000523FA"/>
    <w:rsid w:val="00054147"/>
    <w:rsid w:val="0005461B"/>
    <w:rsid w:val="000546DE"/>
    <w:rsid w:val="0005579F"/>
    <w:rsid w:val="0005613F"/>
    <w:rsid w:val="00060FED"/>
    <w:rsid w:val="00061718"/>
    <w:rsid w:val="00063ACF"/>
    <w:rsid w:val="000644B9"/>
    <w:rsid w:val="000654A6"/>
    <w:rsid w:val="000667A6"/>
    <w:rsid w:val="00067836"/>
    <w:rsid w:val="0007013C"/>
    <w:rsid w:val="00070272"/>
    <w:rsid w:val="0007082F"/>
    <w:rsid w:val="00070BA0"/>
    <w:rsid w:val="00072107"/>
    <w:rsid w:val="00073C25"/>
    <w:rsid w:val="00074B86"/>
    <w:rsid w:val="000758E6"/>
    <w:rsid w:val="00075C9C"/>
    <w:rsid w:val="00081045"/>
    <w:rsid w:val="00085068"/>
    <w:rsid w:val="000853C1"/>
    <w:rsid w:val="00086632"/>
    <w:rsid w:val="00086A34"/>
    <w:rsid w:val="00087514"/>
    <w:rsid w:val="000910ED"/>
    <w:rsid w:val="00094E10"/>
    <w:rsid w:val="00095AC5"/>
    <w:rsid w:val="000A02C0"/>
    <w:rsid w:val="000A0B52"/>
    <w:rsid w:val="000A2510"/>
    <w:rsid w:val="000A53F0"/>
    <w:rsid w:val="000B0B7B"/>
    <w:rsid w:val="000B18D8"/>
    <w:rsid w:val="000B35C9"/>
    <w:rsid w:val="000B3E4A"/>
    <w:rsid w:val="000B4149"/>
    <w:rsid w:val="000B4C59"/>
    <w:rsid w:val="000B66D7"/>
    <w:rsid w:val="000B7FCE"/>
    <w:rsid w:val="000C2F59"/>
    <w:rsid w:val="000C4688"/>
    <w:rsid w:val="000C4C36"/>
    <w:rsid w:val="000C4C71"/>
    <w:rsid w:val="000C65F4"/>
    <w:rsid w:val="000C7EFF"/>
    <w:rsid w:val="000D21AD"/>
    <w:rsid w:val="000D2ABD"/>
    <w:rsid w:val="000D5482"/>
    <w:rsid w:val="000D65FF"/>
    <w:rsid w:val="000E0F32"/>
    <w:rsid w:val="000E2010"/>
    <w:rsid w:val="000E2FA3"/>
    <w:rsid w:val="000E6573"/>
    <w:rsid w:val="000F0544"/>
    <w:rsid w:val="000F4585"/>
    <w:rsid w:val="000F5AC9"/>
    <w:rsid w:val="000F72A1"/>
    <w:rsid w:val="000F7D50"/>
    <w:rsid w:val="00101FFC"/>
    <w:rsid w:val="0010556D"/>
    <w:rsid w:val="0010708C"/>
    <w:rsid w:val="0010764B"/>
    <w:rsid w:val="001111E1"/>
    <w:rsid w:val="00113BE3"/>
    <w:rsid w:val="0011521E"/>
    <w:rsid w:val="001168BB"/>
    <w:rsid w:val="00116F66"/>
    <w:rsid w:val="001231AD"/>
    <w:rsid w:val="001238FE"/>
    <w:rsid w:val="00123C1C"/>
    <w:rsid w:val="001264A2"/>
    <w:rsid w:val="00126663"/>
    <w:rsid w:val="00131246"/>
    <w:rsid w:val="00131649"/>
    <w:rsid w:val="00133079"/>
    <w:rsid w:val="00134DC7"/>
    <w:rsid w:val="00137193"/>
    <w:rsid w:val="00137F54"/>
    <w:rsid w:val="00140016"/>
    <w:rsid w:val="00141BBB"/>
    <w:rsid w:val="00143C5B"/>
    <w:rsid w:val="00144ACC"/>
    <w:rsid w:val="00145699"/>
    <w:rsid w:val="0014651A"/>
    <w:rsid w:val="00146F76"/>
    <w:rsid w:val="001476E5"/>
    <w:rsid w:val="00150F69"/>
    <w:rsid w:val="00151BB5"/>
    <w:rsid w:val="001554DD"/>
    <w:rsid w:val="00156951"/>
    <w:rsid w:val="001579ED"/>
    <w:rsid w:val="00160526"/>
    <w:rsid w:val="001617FB"/>
    <w:rsid w:val="00161960"/>
    <w:rsid w:val="001646F3"/>
    <w:rsid w:val="00165DA6"/>
    <w:rsid w:val="001665E8"/>
    <w:rsid w:val="00170063"/>
    <w:rsid w:val="001711DA"/>
    <w:rsid w:val="00173453"/>
    <w:rsid w:val="001745CD"/>
    <w:rsid w:val="00175D85"/>
    <w:rsid w:val="001830FA"/>
    <w:rsid w:val="00183830"/>
    <w:rsid w:val="0018474B"/>
    <w:rsid w:val="00187110"/>
    <w:rsid w:val="00187242"/>
    <w:rsid w:val="00197B27"/>
    <w:rsid w:val="001A0963"/>
    <w:rsid w:val="001A4865"/>
    <w:rsid w:val="001A4D51"/>
    <w:rsid w:val="001A4DDF"/>
    <w:rsid w:val="001A4FE2"/>
    <w:rsid w:val="001A5387"/>
    <w:rsid w:val="001B0F78"/>
    <w:rsid w:val="001B1336"/>
    <w:rsid w:val="001B3812"/>
    <w:rsid w:val="001B61C2"/>
    <w:rsid w:val="001B66C6"/>
    <w:rsid w:val="001B784A"/>
    <w:rsid w:val="001C05C9"/>
    <w:rsid w:val="001C147D"/>
    <w:rsid w:val="001C215E"/>
    <w:rsid w:val="001C2F95"/>
    <w:rsid w:val="001C40F3"/>
    <w:rsid w:val="001C6753"/>
    <w:rsid w:val="001C730A"/>
    <w:rsid w:val="001C7BA0"/>
    <w:rsid w:val="001D0F2D"/>
    <w:rsid w:val="001D30C6"/>
    <w:rsid w:val="001D41A3"/>
    <w:rsid w:val="001D5CB1"/>
    <w:rsid w:val="001E0C71"/>
    <w:rsid w:val="001E579B"/>
    <w:rsid w:val="001E6A78"/>
    <w:rsid w:val="001F0371"/>
    <w:rsid w:val="001F162A"/>
    <w:rsid w:val="001F1FB6"/>
    <w:rsid w:val="001F289C"/>
    <w:rsid w:val="001F2F78"/>
    <w:rsid w:val="001F3C73"/>
    <w:rsid w:val="001F41D2"/>
    <w:rsid w:val="001F71F1"/>
    <w:rsid w:val="001F7E54"/>
    <w:rsid w:val="002002DA"/>
    <w:rsid w:val="00201DED"/>
    <w:rsid w:val="00203821"/>
    <w:rsid w:val="00207CD9"/>
    <w:rsid w:val="002122C5"/>
    <w:rsid w:val="00214CBA"/>
    <w:rsid w:val="00217C7C"/>
    <w:rsid w:val="00224B61"/>
    <w:rsid w:val="002252AE"/>
    <w:rsid w:val="00226231"/>
    <w:rsid w:val="00232F91"/>
    <w:rsid w:val="00233769"/>
    <w:rsid w:val="00233D1D"/>
    <w:rsid w:val="00236764"/>
    <w:rsid w:val="0023739E"/>
    <w:rsid w:val="00244193"/>
    <w:rsid w:val="002467A2"/>
    <w:rsid w:val="00251652"/>
    <w:rsid w:val="00254F02"/>
    <w:rsid w:val="00255235"/>
    <w:rsid w:val="00255FF3"/>
    <w:rsid w:val="002572E8"/>
    <w:rsid w:val="002605BA"/>
    <w:rsid w:val="002608B6"/>
    <w:rsid w:val="00261AC5"/>
    <w:rsid w:val="002624A1"/>
    <w:rsid w:val="0027019D"/>
    <w:rsid w:val="002709C2"/>
    <w:rsid w:val="002712CC"/>
    <w:rsid w:val="0027470E"/>
    <w:rsid w:val="00275B7F"/>
    <w:rsid w:val="00280693"/>
    <w:rsid w:val="00280F43"/>
    <w:rsid w:val="00282E2A"/>
    <w:rsid w:val="00284209"/>
    <w:rsid w:val="0028725C"/>
    <w:rsid w:val="00295FD2"/>
    <w:rsid w:val="00296284"/>
    <w:rsid w:val="0029775C"/>
    <w:rsid w:val="00297D9C"/>
    <w:rsid w:val="002A2440"/>
    <w:rsid w:val="002A37C6"/>
    <w:rsid w:val="002A4D16"/>
    <w:rsid w:val="002A6C66"/>
    <w:rsid w:val="002A750C"/>
    <w:rsid w:val="002B172B"/>
    <w:rsid w:val="002B1F47"/>
    <w:rsid w:val="002B1FC3"/>
    <w:rsid w:val="002B2394"/>
    <w:rsid w:val="002B3183"/>
    <w:rsid w:val="002B7627"/>
    <w:rsid w:val="002B7A61"/>
    <w:rsid w:val="002C0D24"/>
    <w:rsid w:val="002C1CEB"/>
    <w:rsid w:val="002C4ADE"/>
    <w:rsid w:val="002C59E6"/>
    <w:rsid w:val="002C5CC1"/>
    <w:rsid w:val="002C7CC1"/>
    <w:rsid w:val="002D0A13"/>
    <w:rsid w:val="002D1B73"/>
    <w:rsid w:val="002D3D68"/>
    <w:rsid w:val="002D4725"/>
    <w:rsid w:val="002E0B35"/>
    <w:rsid w:val="002E248E"/>
    <w:rsid w:val="002E3318"/>
    <w:rsid w:val="002E3DAE"/>
    <w:rsid w:val="002E50D6"/>
    <w:rsid w:val="002E5C1C"/>
    <w:rsid w:val="002F45AE"/>
    <w:rsid w:val="002F45C2"/>
    <w:rsid w:val="002F4BD1"/>
    <w:rsid w:val="002F5A94"/>
    <w:rsid w:val="002F7004"/>
    <w:rsid w:val="002F7954"/>
    <w:rsid w:val="00300875"/>
    <w:rsid w:val="0030255F"/>
    <w:rsid w:val="0030377D"/>
    <w:rsid w:val="00304E4D"/>
    <w:rsid w:val="00305A8D"/>
    <w:rsid w:val="00306961"/>
    <w:rsid w:val="00307F49"/>
    <w:rsid w:val="00310793"/>
    <w:rsid w:val="00310955"/>
    <w:rsid w:val="00314D1C"/>
    <w:rsid w:val="003165FD"/>
    <w:rsid w:val="003235A9"/>
    <w:rsid w:val="00330D26"/>
    <w:rsid w:val="003312D4"/>
    <w:rsid w:val="003329E9"/>
    <w:rsid w:val="00332B84"/>
    <w:rsid w:val="00333D96"/>
    <w:rsid w:val="00334F0F"/>
    <w:rsid w:val="0033588A"/>
    <w:rsid w:val="00337C4E"/>
    <w:rsid w:val="003407B4"/>
    <w:rsid w:val="003436D8"/>
    <w:rsid w:val="00344732"/>
    <w:rsid w:val="003453CC"/>
    <w:rsid w:val="00345A5D"/>
    <w:rsid w:val="00347317"/>
    <w:rsid w:val="003474AA"/>
    <w:rsid w:val="00351509"/>
    <w:rsid w:val="00351C2E"/>
    <w:rsid w:val="0035458E"/>
    <w:rsid w:val="00356374"/>
    <w:rsid w:val="0035762F"/>
    <w:rsid w:val="00357906"/>
    <w:rsid w:val="003602D3"/>
    <w:rsid w:val="003604CA"/>
    <w:rsid w:val="00361ED6"/>
    <w:rsid w:val="003628F7"/>
    <w:rsid w:val="00364ABC"/>
    <w:rsid w:val="003663F9"/>
    <w:rsid w:val="0036658F"/>
    <w:rsid w:val="00370DBC"/>
    <w:rsid w:val="00372316"/>
    <w:rsid w:val="00373C3C"/>
    <w:rsid w:val="00375890"/>
    <w:rsid w:val="00376B8C"/>
    <w:rsid w:val="0038067F"/>
    <w:rsid w:val="00380E97"/>
    <w:rsid w:val="00387DE6"/>
    <w:rsid w:val="00390BBB"/>
    <w:rsid w:val="00390EDD"/>
    <w:rsid w:val="003933C9"/>
    <w:rsid w:val="00394EF2"/>
    <w:rsid w:val="00397EBF"/>
    <w:rsid w:val="003A0DF3"/>
    <w:rsid w:val="003A212F"/>
    <w:rsid w:val="003A2291"/>
    <w:rsid w:val="003A40EC"/>
    <w:rsid w:val="003A4BC6"/>
    <w:rsid w:val="003A7196"/>
    <w:rsid w:val="003B0733"/>
    <w:rsid w:val="003B24C3"/>
    <w:rsid w:val="003B3E63"/>
    <w:rsid w:val="003B4350"/>
    <w:rsid w:val="003B6539"/>
    <w:rsid w:val="003B7CA6"/>
    <w:rsid w:val="003C0ACB"/>
    <w:rsid w:val="003C0C2C"/>
    <w:rsid w:val="003C4E76"/>
    <w:rsid w:val="003C7C88"/>
    <w:rsid w:val="003C7D60"/>
    <w:rsid w:val="003D3285"/>
    <w:rsid w:val="003D3485"/>
    <w:rsid w:val="003D3678"/>
    <w:rsid w:val="003D4536"/>
    <w:rsid w:val="003D4D8F"/>
    <w:rsid w:val="003D5F81"/>
    <w:rsid w:val="003E022F"/>
    <w:rsid w:val="003E172C"/>
    <w:rsid w:val="003E22D0"/>
    <w:rsid w:val="003E24EC"/>
    <w:rsid w:val="003E48F1"/>
    <w:rsid w:val="003F057D"/>
    <w:rsid w:val="003F173C"/>
    <w:rsid w:val="003F1824"/>
    <w:rsid w:val="003F1C10"/>
    <w:rsid w:val="003F2BDE"/>
    <w:rsid w:val="003F428B"/>
    <w:rsid w:val="003F5EB9"/>
    <w:rsid w:val="003F7352"/>
    <w:rsid w:val="004020D8"/>
    <w:rsid w:val="00402A89"/>
    <w:rsid w:val="00402D7E"/>
    <w:rsid w:val="004038C5"/>
    <w:rsid w:val="00405A9F"/>
    <w:rsid w:val="00406C5D"/>
    <w:rsid w:val="0040796D"/>
    <w:rsid w:val="004079F7"/>
    <w:rsid w:val="00407E16"/>
    <w:rsid w:val="00410687"/>
    <w:rsid w:val="00410689"/>
    <w:rsid w:val="00413A78"/>
    <w:rsid w:val="004150FD"/>
    <w:rsid w:val="004161A9"/>
    <w:rsid w:val="004168F3"/>
    <w:rsid w:val="00416A89"/>
    <w:rsid w:val="0041760A"/>
    <w:rsid w:val="00420C8D"/>
    <w:rsid w:val="00421AA3"/>
    <w:rsid w:val="00425A84"/>
    <w:rsid w:val="00431CB7"/>
    <w:rsid w:val="00434514"/>
    <w:rsid w:val="00434F83"/>
    <w:rsid w:val="00436062"/>
    <w:rsid w:val="00440039"/>
    <w:rsid w:val="00440775"/>
    <w:rsid w:val="00441A70"/>
    <w:rsid w:val="00442966"/>
    <w:rsid w:val="004430ED"/>
    <w:rsid w:val="004457A2"/>
    <w:rsid w:val="00447499"/>
    <w:rsid w:val="004514A3"/>
    <w:rsid w:val="00451B3C"/>
    <w:rsid w:val="00451E26"/>
    <w:rsid w:val="00453647"/>
    <w:rsid w:val="004543CB"/>
    <w:rsid w:val="004554A9"/>
    <w:rsid w:val="00457530"/>
    <w:rsid w:val="0046013F"/>
    <w:rsid w:val="00460A4E"/>
    <w:rsid w:val="00461969"/>
    <w:rsid w:val="00462F04"/>
    <w:rsid w:val="00463F56"/>
    <w:rsid w:val="00472443"/>
    <w:rsid w:val="00475582"/>
    <w:rsid w:val="0048288D"/>
    <w:rsid w:val="00483108"/>
    <w:rsid w:val="00484628"/>
    <w:rsid w:val="00485824"/>
    <w:rsid w:val="004939C6"/>
    <w:rsid w:val="0049512C"/>
    <w:rsid w:val="00496A92"/>
    <w:rsid w:val="0049720F"/>
    <w:rsid w:val="004A1E21"/>
    <w:rsid w:val="004A294B"/>
    <w:rsid w:val="004A2EB2"/>
    <w:rsid w:val="004A51B6"/>
    <w:rsid w:val="004A7F1E"/>
    <w:rsid w:val="004B29E2"/>
    <w:rsid w:val="004B74A9"/>
    <w:rsid w:val="004B74ED"/>
    <w:rsid w:val="004C0555"/>
    <w:rsid w:val="004C344D"/>
    <w:rsid w:val="004C35E6"/>
    <w:rsid w:val="004C5D34"/>
    <w:rsid w:val="004C7014"/>
    <w:rsid w:val="004C7B45"/>
    <w:rsid w:val="004D1288"/>
    <w:rsid w:val="004D14DD"/>
    <w:rsid w:val="004D56B7"/>
    <w:rsid w:val="004D5DAA"/>
    <w:rsid w:val="004E2AE8"/>
    <w:rsid w:val="004E32FD"/>
    <w:rsid w:val="004E398B"/>
    <w:rsid w:val="004E4D97"/>
    <w:rsid w:val="004E7035"/>
    <w:rsid w:val="004E77A1"/>
    <w:rsid w:val="004F074B"/>
    <w:rsid w:val="004F1262"/>
    <w:rsid w:val="004F1B52"/>
    <w:rsid w:val="004F49E9"/>
    <w:rsid w:val="00500A38"/>
    <w:rsid w:val="005044CC"/>
    <w:rsid w:val="00504550"/>
    <w:rsid w:val="00504756"/>
    <w:rsid w:val="005070EA"/>
    <w:rsid w:val="005074B9"/>
    <w:rsid w:val="00510461"/>
    <w:rsid w:val="00511355"/>
    <w:rsid w:val="00513BC0"/>
    <w:rsid w:val="0051452A"/>
    <w:rsid w:val="00514D71"/>
    <w:rsid w:val="00521CA2"/>
    <w:rsid w:val="00522473"/>
    <w:rsid w:val="00522605"/>
    <w:rsid w:val="00522749"/>
    <w:rsid w:val="00523840"/>
    <w:rsid w:val="00525369"/>
    <w:rsid w:val="00526658"/>
    <w:rsid w:val="00530515"/>
    <w:rsid w:val="00530E5D"/>
    <w:rsid w:val="00532984"/>
    <w:rsid w:val="00533096"/>
    <w:rsid w:val="005375F1"/>
    <w:rsid w:val="00543273"/>
    <w:rsid w:val="005437CF"/>
    <w:rsid w:val="005443F2"/>
    <w:rsid w:val="00544ED9"/>
    <w:rsid w:val="00545784"/>
    <w:rsid w:val="005468EF"/>
    <w:rsid w:val="00551B37"/>
    <w:rsid w:val="00552215"/>
    <w:rsid w:val="00552812"/>
    <w:rsid w:val="00554B36"/>
    <w:rsid w:val="00556A3D"/>
    <w:rsid w:val="00556B73"/>
    <w:rsid w:val="00560017"/>
    <w:rsid w:val="005636E5"/>
    <w:rsid w:val="005648D6"/>
    <w:rsid w:val="005659D9"/>
    <w:rsid w:val="00571BF3"/>
    <w:rsid w:val="005739F3"/>
    <w:rsid w:val="0057514E"/>
    <w:rsid w:val="0057621B"/>
    <w:rsid w:val="005821B0"/>
    <w:rsid w:val="0058259F"/>
    <w:rsid w:val="00584765"/>
    <w:rsid w:val="00587EF9"/>
    <w:rsid w:val="00590108"/>
    <w:rsid w:val="0059063A"/>
    <w:rsid w:val="0059107D"/>
    <w:rsid w:val="00592B6C"/>
    <w:rsid w:val="00595C0D"/>
    <w:rsid w:val="005A087C"/>
    <w:rsid w:val="005A257B"/>
    <w:rsid w:val="005A33FA"/>
    <w:rsid w:val="005A3D90"/>
    <w:rsid w:val="005A6805"/>
    <w:rsid w:val="005B1029"/>
    <w:rsid w:val="005B1C2C"/>
    <w:rsid w:val="005B2DB1"/>
    <w:rsid w:val="005B3337"/>
    <w:rsid w:val="005B3E99"/>
    <w:rsid w:val="005B56E5"/>
    <w:rsid w:val="005B6872"/>
    <w:rsid w:val="005B6FD1"/>
    <w:rsid w:val="005C09E3"/>
    <w:rsid w:val="005C14C3"/>
    <w:rsid w:val="005C3515"/>
    <w:rsid w:val="005C4A81"/>
    <w:rsid w:val="005C529B"/>
    <w:rsid w:val="005D3E57"/>
    <w:rsid w:val="005D6CAE"/>
    <w:rsid w:val="005D6F95"/>
    <w:rsid w:val="005E042A"/>
    <w:rsid w:val="005E2B9A"/>
    <w:rsid w:val="005E3AFD"/>
    <w:rsid w:val="005E5B2F"/>
    <w:rsid w:val="005E6289"/>
    <w:rsid w:val="005F0250"/>
    <w:rsid w:val="005F306D"/>
    <w:rsid w:val="005F533E"/>
    <w:rsid w:val="005F5963"/>
    <w:rsid w:val="005F5B89"/>
    <w:rsid w:val="00605F58"/>
    <w:rsid w:val="006063AB"/>
    <w:rsid w:val="006123D3"/>
    <w:rsid w:val="0061488B"/>
    <w:rsid w:val="006155B6"/>
    <w:rsid w:val="00615ECD"/>
    <w:rsid w:val="00622153"/>
    <w:rsid w:val="00623618"/>
    <w:rsid w:val="00626A65"/>
    <w:rsid w:val="006304D0"/>
    <w:rsid w:val="00632C4E"/>
    <w:rsid w:val="00633DAE"/>
    <w:rsid w:val="00634598"/>
    <w:rsid w:val="00634E53"/>
    <w:rsid w:val="00636D9F"/>
    <w:rsid w:val="006374BB"/>
    <w:rsid w:val="00640CE8"/>
    <w:rsid w:val="00641B92"/>
    <w:rsid w:val="00643C51"/>
    <w:rsid w:val="00645C9B"/>
    <w:rsid w:val="00647AC1"/>
    <w:rsid w:val="00647D82"/>
    <w:rsid w:val="00651B0B"/>
    <w:rsid w:val="00652D77"/>
    <w:rsid w:val="00653625"/>
    <w:rsid w:val="00654079"/>
    <w:rsid w:val="00654169"/>
    <w:rsid w:val="0065456A"/>
    <w:rsid w:val="00661669"/>
    <w:rsid w:val="00661767"/>
    <w:rsid w:val="006631E1"/>
    <w:rsid w:val="006636E8"/>
    <w:rsid w:val="00663B44"/>
    <w:rsid w:val="0066746C"/>
    <w:rsid w:val="00667512"/>
    <w:rsid w:val="0067066A"/>
    <w:rsid w:val="00671463"/>
    <w:rsid w:val="00672DBA"/>
    <w:rsid w:val="00673679"/>
    <w:rsid w:val="00675A7B"/>
    <w:rsid w:val="00677CBD"/>
    <w:rsid w:val="0068014C"/>
    <w:rsid w:val="00680C2B"/>
    <w:rsid w:val="006843D5"/>
    <w:rsid w:val="00690253"/>
    <w:rsid w:val="00690727"/>
    <w:rsid w:val="00690987"/>
    <w:rsid w:val="0069118C"/>
    <w:rsid w:val="00691D48"/>
    <w:rsid w:val="006923D1"/>
    <w:rsid w:val="00695C7F"/>
    <w:rsid w:val="00697338"/>
    <w:rsid w:val="00697E4A"/>
    <w:rsid w:val="006A0F3A"/>
    <w:rsid w:val="006A1A17"/>
    <w:rsid w:val="006A2369"/>
    <w:rsid w:val="006A2D25"/>
    <w:rsid w:val="006A4834"/>
    <w:rsid w:val="006A5928"/>
    <w:rsid w:val="006A5DA6"/>
    <w:rsid w:val="006A77C1"/>
    <w:rsid w:val="006B0DA7"/>
    <w:rsid w:val="006B0F0E"/>
    <w:rsid w:val="006B2210"/>
    <w:rsid w:val="006B3F2C"/>
    <w:rsid w:val="006B42A7"/>
    <w:rsid w:val="006B62F7"/>
    <w:rsid w:val="006C3972"/>
    <w:rsid w:val="006C3BA3"/>
    <w:rsid w:val="006C4E6A"/>
    <w:rsid w:val="006C4F76"/>
    <w:rsid w:val="006C786C"/>
    <w:rsid w:val="006D1BF8"/>
    <w:rsid w:val="006D2B30"/>
    <w:rsid w:val="006D2D66"/>
    <w:rsid w:val="006D2DFA"/>
    <w:rsid w:val="006D574B"/>
    <w:rsid w:val="006E076B"/>
    <w:rsid w:val="006E6A20"/>
    <w:rsid w:val="006F25A8"/>
    <w:rsid w:val="006F3D59"/>
    <w:rsid w:val="006F4A43"/>
    <w:rsid w:val="006F6DE7"/>
    <w:rsid w:val="006F74CE"/>
    <w:rsid w:val="00700261"/>
    <w:rsid w:val="00700974"/>
    <w:rsid w:val="00704A22"/>
    <w:rsid w:val="00704CF9"/>
    <w:rsid w:val="007059FF"/>
    <w:rsid w:val="00706626"/>
    <w:rsid w:val="00706741"/>
    <w:rsid w:val="00707164"/>
    <w:rsid w:val="007103E8"/>
    <w:rsid w:val="00713C2C"/>
    <w:rsid w:val="00714805"/>
    <w:rsid w:val="00714EC4"/>
    <w:rsid w:val="00721AFC"/>
    <w:rsid w:val="00722381"/>
    <w:rsid w:val="00722406"/>
    <w:rsid w:val="007255DD"/>
    <w:rsid w:val="00725D46"/>
    <w:rsid w:val="00731F86"/>
    <w:rsid w:val="0073301E"/>
    <w:rsid w:val="00736233"/>
    <w:rsid w:val="0073623C"/>
    <w:rsid w:val="00736D8D"/>
    <w:rsid w:val="00737F91"/>
    <w:rsid w:val="00742056"/>
    <w:rsid w:val="0074258A"/>
    <w:rsid w:val="00743C41"/>
    <w:rsid w:val="00744265"/>
    <w:rsid w:val="007444C4"/>
    <w:rsid w:val="00744F42"/>
    <w:rsid w:val="00745F90"/>
    <w:rsid w:val="0074645D"/>
    <w:rsid w:val="0074683E"/>
    <w:rsid w:val="00746DCD"/>
    <w:rsid w:val="00747BB4"/>
    <w:rsid w:val="00752BB0"/>
    <w:rsid w:val="00754A9A"/>
    <w:rsid w:val="007564B3"/>
    <w:rsid w:val="00760514"/>
    <w:rsid w:val="00760790"/>
    <w:rsid w:val="00760BDA"/>
    <w:rsid w:val="00760FF9"/>
    <w:rsid w:val="007633E3"/>
    <w:rsid w:val="00765AF7"/>
    <w:rsid w:val="00766D98"/>
    <w:rsid w:val="00772D89"/>
    <w:rsid w:val="00773279"/>
    <w:rsid w:val="0077380E"/>
    <w:rsid w:val="00774599"/>
    <w:rsid w:val="00774D45"/>
    <w:rsid w:val="00775F54"/>
    <w:rsid w:val="0078489F"/>
    <w:rsid w:val="007854BB"/>
    <w:rsid w:val="0079269A"/>
    <w:rsid w:val="00795642"/>
    <w:rsid w:val="00796546"/>
    <w:rsid w:val="007A00CE"/>
    <w:rsid w:val="007A01DF"/>
    <w:rsid w:val="007A295C"/>
    <w:rsid w:val="007A3C0A"/>
    <w:rsid w:val="007A539F"/>
    <w:rsid w:val="007A53D7"/>
    <w:rsid w:val="007A5A36"/>
    <w:rsid w:val="007A6F75"/>
    <w:rsid w:val="007B146C"/>
    <w:rsid w:val="007B1BCC"/>
    <w:rsid w:val="007B43CC"/>
    <w:rsid w:val="007B77C3"/>
    <w:rsid w:val="007C0D22"/>
    <w:rsid w:val="007C248E"/>
    <w:rsid w:val="007C2F1E"/>
    <w:rsid w:val="007C60BF"/>
    <w:rsid w:val="007C6264"/>
    <w:rsid w:val="007D368D"/>
    <w:rsid w:val="007D51AE"/>
    <w:rsid w:val="007D540D"/>
    <w:rsid w:val="007D6480"/>
    <w:rsid w:val="007D659E"/>
    <w:rsid w:val="007E3516"/>
    <w:rsid w:val="007E4C8E"/>
    <w:rsid w:val="007E530E"/>
    <w:rsid w:val="007E703A"/>
    <w:rsid w:val="007E7B70"/>
    <w:rsid w:val="007F0BA1"/>
    <w:rsid w:val="007F33DC"/>
    <w:rsid w:val="007F388D"/>
    <w:rsid w:val="007F4194"/>
    <w:rsid w:val="007F5BE0"/>
    <w:rsid w:val="00801110"/>
    <w:rsid w:val="00802FBC"/>
    <w:rsid w:val="00803B4C"/>
    <w:rsid w:val="00805586"/>
    <w:rsid w:val="00807E67"/>
    <w:rsid w:val="00811490"/>
    <w:rsid w:val="0081294C"/>
    <w:rsid w:val="00812A12"/>
    <w:rsid w:val="00812C93"/>
    <w:rsid w:val="008134D5"/>
    <w:rsid w:val="0081530C"/>
    <w:rsid w:val="008156A3"/>
    <w:rsid w:val="00817096"/>
    <w:rsid w:val="00817B4B"/>
    <w:rsid w:val="00822BBF"/>
    <w:rsid w:val="008254C2"/>
    <w:rsid w:val="00825D03"/>
    <w:rsid w:val="00826B10"/>
    <w:rsid w:val="0083009F"/>
    <w:rsid w:val="00832A5E"/>
    <w:rsid w:val="008356C9"/>
    <w:rsid w:val="0083610A"/>
    <w:rsid w:val="00836E23"/>
    <w:rsid w:val="008401CE"/>
    <w:rsid w:val="00841F9E"/>
    <w:rsid w:val="0084394A"/>
    <w:rsid w:val="00844003"/>
    <w:rsid w:val="008442E2"/>
    <w:rsid w:val="008466E1"/>
    <w:rsid w:val="008466FA"/>
    <w:rsid w:val="00846D65"/>
    <w:rsid w:val="00851940"/>
    <w:rsid w:val="008522AF"/>
    <w:rsid w:val="0085266E"/>
    <w:rsid w:val="00853B56"/>
    <w:rsid w:val="008555A9"/>
    <w:rsid w:val="00856AAE"/>
    <w:rsid w:val="00864AA0"/>
    <w:rsid w:val="008668CD"/>
    <w:rsid w:val="00866905"/>
    <w:rsid w:val="008669FE"/>
    <w:rsid w:val="00866D3D"/>
    <w:rsid w:val="00867105"/>
    <w:rsid w:val="00867EC3"/>
    <w:rsid w:val="008703E4"/>
    <w:rsid w:val="00870C7B"/>
    <w:rsid w:val="008713CA"/>
    <w:rsid w:val="008728F5"/>
    <w:rsid w:val="0087319B"/>
    <w:rsid w:val="008735D8"/>
    <w:rsid w:val="00874406"/>
    <w:rsid w:val="00874A04"/>
    <w:rsid w:val="0087566D"/>
    <w:rsid w:val="0088126F"/>
    <w:rsid w:val="0088332E"/>
    <w:rsid w:val="00884933"/>
    <w:rsid w:val="00890FB5"/>
    <w:rsid w:val="00892556"/>
    <w:rsid w:val="00893A8B"/>
    <w:rsid w:val="00893CD0"/>
    <w:rsid w:val="0089507D"/>
    <w:rsid w:val="008952F9"/>
    <w:rsid w:val="00895496"/>
    <w:rsid w:val="008A2355"/>
    <w:rsid w:val="008A3651"/>
    <w:rsid w:val="008A39CF"/>
    <w:rsid w:val="008A4AF8"/>
    <w:rsid w:val="008A5C71"/>
    <w:rsid w:val="008A646D"/>
    <w:rsid w:val="008A650D"/>
    <w:rsid w:val="008A6EF7"/>
    <w:rsid w:val="008B024A"/>
    <w:rsid w:val="008B7659"/>
    <w:rsid w:val="008C41D9"/>
    <w:rsid w:val="008C794E"/>
    <w:rsid w:val="008D3E19"/>
    <w:rsid w:val="008D4467"/>
    <w:rsid w:val="008D577D"/>
    <w:rsid w:val="008E168A"/>
    <w:rsid w:val="008E35F6"/>
    <w:rsid w:val="008E37F5"/>
    <w:rsid w:val="008E4EC1"/>
    <w:rsid w:val="008E5253"/>
    <w:rsid w:val="008E6DE8"/>
    <w:rsid w:val="008F22D2"/>
    <w:rsid w:val="008F2474"/>
    <w:rsid w:val="008F64C1"/>
    <w:rsid w:val="008F6E0F"/>
    <w:rsid w:val="008F7549"/>
    <w:rsid w:val="008F7CA0"/>
    <w:rsid w:val="00900187"/>
    <w:rsid w:val="00902AF0"/>
    <w:rsid w:val="00903107"/>
    <w:rsid w:val="0090313B"/>
    <w:rsid w:val="00903884"/>
    <w:rsid w:val="00905019"/>
    <w:rsid w:val="00905C22"/>
    <w:rsid w:val="00907AE3"/>
    <w:rsid w:val="00907BE8"/>
    <w:rsid w:val="009109BE"/>
    <w:rsid w:val="0091191A"/>
    <w:rsid w:val="00917400"/>
    <w:rsid w:val="00917B41"/>
    <w:rsid w:val="00920E8D"/>
    <w:rsid w:val="00921946"/>
    <w:rsid w:val="0092383A"/>
    <w:rsid w:val="009241D7"/>
    <w:rsid w:val="00927761"/>
    <w:rsid w:val="0093018B"/>
    <w:rsid w:val="00930567"/>
    <w:rsid w:val="00930C05"/>
    <w:rsid w:val="009328AF"/>
    <w:rsid w:val="009337DD"/>
    <w:rsid w:val="00934325"/>
    <w:rsid w:val="009360D6"/>
    <w:rsid w:val="009362BB"/>
    <w:rsid w:val="00937D4C"/>
    <w:rsid w:val="0094130B"/>
    <w:rsid w:val="00941B9D"/>
    <w:rsid w:val="00941E31"/>
    <w:rsid w:val="00942423"/>
    <w:rsid w:val="00945DDA"/>
    <w:rsid w:val="00946FB9"/>
    <w:rsid w:val="00951572"/>
    <w:rsid w:val="00951E15"/>
    <w:rsid w:val="00965553"/>
    <w:rsid w:val="00966AEC"/>
    <w:rsid w:val="00966FC8"/>
    <w:rsid w:val="00967A48"/>
    <w:rsid w:val="00970C34"/>
    <w:rsid w:val="00971FF5"/>
    <w:rsid w:val="009750B7"/>
    <w:rsid w:val="00975A92"/>
    <w:rsid w:val="00976ADA"/>
    <w:rsid w:val="00982075"/>
    <w:rsid w:val="00982586"/>
    <w:rsid w:val="00983B4D"/>
    <w:rsid w:val="009847D4"/>
    <w:rsid w:val="00984888"/>
    <w:rsid w:val="00986691"/>
    <w:rsid w:val="009905B9"/>
    <w:rsid w:val="0099252B"/>
    <w:rsid w:val="00993EEA"/>
    <w:rsid w:val="0099553F"/>
    <w:rsid w:val="0099593D"/>
    <w:rsid w:val="0099710C"/>
    <w:rsid w:val="009A3AA5"/>
    <w:rsid w:val="009A55B1"/>
    <w:rsid w:val="009A64E9"/>
    <w:rsid w:val="009B0C1D"/>
    <w:rsid w:val="009B1157"/>
    <w:rsid w:val="009B2088"/>
    <w:rsid w:val="009B54EA"/>
    <w:rsid w:val="009B5811"/>
    <w:rsid w:val="009B673C"/>
    <w:rsid w:val="009C03E5"/>
    <w:rsid w:val="009C2252"/>
    <w:rsid w:val="009C3F46"/>
    <w:rsid w:val="009C4D5B"/>
    <w:rsid w:val="009C71C2"/>
    <w:rsid w:val="009D0C28"/>
    <w:rsid w:val="009D21C0"/>
    <w:rsid w:val="009D5264"/>
    <w:rsid w:val="009E177D"/>
    <w:rsid w:val="009E207B"/>
    <w:rsid w:val="009E2B5A"/>
    <w:rsid w:val="009E2CDA"/>
    <w:rsid w:val="009E57CF"/>
    <w:rsid w:val="009F059F"/>
    <w:rsid w:val="009F1635"/>
    <w:rsid w:val="009F334C"/>
    <w:rsid w:val="009F3784"/>
    <w:rsid w:val="009F4AFD"/>
    <w:rsid w:val="00A000E6"/>
    <w:rsid w:val="00A02FE7"/>
    <w:rsid w:val="00A038C7"/>
    <w:rsid w:val="00A047DB"/>
    <w:rsid w:val="00A0567C"/>
    <w:rsid w:val="00A07461"/>
    <w:rsid w:val="00A07CE5"/>
    <w:rsid w:val="00A11287"/>
    <w:rsid w:val="00A119D4"/>
    <w:rsid w:val="00A12CF7"/>
    <w:rsid w:val="00A1481B"/>
    <w:rsid w:val="00A14A00"/>
    <w:rsid w:val="00A14E51"/>
    <w:rsid w:val="00A15122"/>
    <w:rsid w:val="00A16E3E"/>
    <w:rsid w:val="00A173C0"/>
    <w:rsid w:val="00A20023"/>
    <w:rsid w:val="00A20C42"/>
    <w:rsid w:val="00A224C8"/>
    <w:rsid w:val="00A234BA"/>
    <w:rsid w:val="00A237B0"/>
    <w:rsid w:val="00A30ACE"/>
    <w:rsid w:val="00A333DC"/>
    <w:rsid w:val="00A3537F"/>
    <w:rsid w:val="00A36A1A"/>
    <w:rsid w:val="00A371D5"/>
    <w:rsid w:val="00A40533"/>
    <w:rsid w:val="00A420CA"/>
    <w:rsid w:val="00A42497"/>
    <w:rsid w:val="00A463C5"/>
    <w:rsid w:val="00A5201B"/>
    <w:rsid w:val="00A5319D"/>
    <w:rsid w:val="00A53AA3"/>
    <w:rsid w:val="00A56869"/>
    <w:rsid w:val="00A70D6D"/>
    <w:rsid w:val="00A71C69"/>
    <w:rsid w:val="00A75393"/>
    <w:rsid w:val="00A76F24"/>
    <w:rsid w:val="00A911AE"/>
    <w:rsid w:val="00A921C4"/>
    <w:rsid w:val="00A931F6"/>
    <w:rsid w:val="00A95899"/>
    <w:rsid w:val="00A974A1"/>
    <w:rsid w:val="00AA2D4C"/>
    <w:rsid w:val="00AA4FAC"/>
    <w:rsid w:val="00AA6FC7"/>
    <w:rsid w:val="00AB01C5"/>
    <w:rsid w:val="00AB02FC"/>
    <w:rsid w:val="00AB0DFA"/>
    <w:rsid w:val="00AB1206"/>
    <w:rsid w:val="00AB13F6"/>
    <w:rsid w:val="00AB260B"/>
    <w:rsid w:val="00AB322A"/>
    <w:rsid w:val="00AB3AB7"/>
    <w:rsid w:val="00AB47D2"/>
    <w:rsid w:val="00AB7C67"/>
    <w:rsid w:val="00AC05AD"/>
    <w:rsid w:val="00AC0EB2"/>
    <w:rsid w:val="00AC6689"/>
    <w:rsid w:val="00AC69F4"/>
    <w:rsid w:val="00AC7EA3"/>
    <w:rsid w:val="00AD09A3"/>
    <w:rsid w:val="00AD213B"/>
    <w:rsid w:val="00AD5BCE"/>
    <w:rsid w:val="00AD6C36"/>
    <w:rsid w:val="00AE0DAF"/>
    <w:rsid w:val="00AE0FF9"/>
    <w:rsid w:val="00AE1EF0"/>
    <w:rsid w:val="00AE3F2D"/>
    <w:rsid w:val="00AE4317"/>
    <w:rsid w:val="00AE4F3D"/>
    <w:rsid w:val="00AE56E4"/>
    <w:rsid w:val="00AE58CF"/>
    <w:rsid w:val="00AE74C2"/>
    <w:rsid w:val="00AF0783"/>
    <w:rsid w:val="00AF2C68"/>
    <w:rsid w:val="00AF420E"/>
    <w:rsid w:val="00AF536A"/>
    <w:rsid w:val="00B003B7"/>
    <w:rsid w:val="00B00837"/>
    <w:rsid w:val="00B01727"/>
    <w:rsid w:val="00B0282B"/>
    <w:rsid w:val="00B04657"/>
    <w:rsid w:val="00B05A09"/>
    <w:rsid w:val="00B07939"/>
    <w:rsid w:val="00B10930"/>
    <w:rsid w:val="00B116D5"/>
    <w:rsid w:val="00B12FBE"/>
    <w:rsid w:val="00B130F5"/>
    <w:rsid w:val="00B16402"/>
    <w:rsid w:val="00B17D27"/>
    <w:rsid w:val="00B21D91"/>
    <w:rsid w:val="00B22795"/>
    <w:rsid w:val="00B24349"/>
    <w:rsid w:val="00B2570A"/>
    <w:rsid w:val="00B2799D"/>
    <w:rsid w:val="00B30B2C"/>
    <w:rsid w:val="00B31841"/>
    <w:rsid w:val="00B3200C"/>
    <w:rsid w:val="00B3755D"/>
    <w:rsid w:val="00B37A89"/>
    <w:rsid w:val="00B437CC"/>
    <w:rsid w:val="00B439E1"/>
    <w:rsid w:val="00B43E41"/>
    <w:rsid w:val="00B43E68"/>
    <w:rsid w:val="00B4705D"/>
    <w:rsid w:val="00B4781A"/>
    <w:rsid w:val="00B534ED"/>
    <w:rsid w:val="00B53634"/>
    <w:rsid w:val="00B54C1B"/>
    <w:rsid w:val="00B5530F"/>
    <w:rsid w:val="00B61E75"/>
    <w:rsid w:val="00B678D7"/>
    <w:rsid w:val="00B73250"/>
    <w:rsid w:val="00B73BC9"/>
    <w:rsid w:val="00B82A42"/>
    <w:rsid w:val="00B8415B"/>
    <w:rsid w:val="00B84DC5"/>
    <w:rsid w:val="00B84F38"/>
    <w:rsid w:val="00B85268"/>
    <w:rsid w:val="00B8552E"/>
    <w:rsid w:val="00B85ADB"/>
    <w:rsid w:val="00B94752"/>
    <w:rsid w:val="00B96120"/>
    <w:rsid w:val="00B962A1"/>
    <w:rsid w:val="00B9716E"/>
    <w:rsid w:val="00B976D4"/>
    <w:rsid w:val="00BA0F76"/>
    <w:rsid w:val="00BA44EB"/>
    <w:rsid w:val="00BA45F7"/>
    <w:rsid w:val="00BA4A5C"/>
    <w:rsid w:val="00BA5BB2"/>
    <w:rsid w:val="00BA64D1"/>
    <w:rsid w:val="00BA7F1E"/>
    <w:rsid w:val="00BB0302"/>
    <w:rsid w:val="00BB3074"/>
    <w:rsid w:val="00BB533A"/>
    <w:rsid w:val="00BB7173"/>
    <w:rsid w:val="00BC05E1"/>
    <w:rsid w:val="00BC0F16"/>
    <w:rsid w:val="00BC3D10"/>
    <w:rsid w:val="00BC7AB0"/>
    <w:rsid w:val="00BD0368"/>
    <w:rsid w:val="00BD1172"/>
    <w:rsid w:val="00BD1365"/>
    <w:rsid w:val="00BD1CCD"/>
    <w:rsid w:val="00BD3585"/>
    <w:rsid w:val="00BD4FE2"/>
    <w:rsid w:val="00BD7B57"/>
    <w:rsid w:val="00BE337E"/>
    <w:rsid w:val="00BE4ACC"/>
    <w:rsid w:val="00BE509F"/>
    <w:rsid w:val="00BE5868"/>
    <w:rsid w:val="00BE7BD2"/>
    <w:rsid w:val="00BE7F0C"/>
    <w:rsid w:val="00BF0075"/>
    <w:rsid w:val="00BF1F49"/>
    <w:rsid w:val="00BF35C6"/>
    <w:rsid w:val="00BF5C5D"/>
    <w:rsid w:val="00BF7BC7"/>
    <w:rsid w:val="00C03571"/>
    <w:rsid w:val="00C04462"/>
    <w:rsid w:val="00C06D0D"/>
    <w:rsid w:val="00C07A18"/>
    <w:rsid w:val="00C1038C"/>
    <w:rsid w:val="00C104AE"/>
    <w:rsid w:val="00C11100"/>
    <w:rsid w:val="00C11A47"/>
    <w:rsid w:val="00C11DE8"/>
    <w:rsid w:val="00C12D27"/>
    <w:rsid w:val="00C133AC"/>
    <w:rsid w:val="00C1446C"/>
    <w:rsid w:val="00C15697"/>
    <w:rsid w:val="00C15B86"/>
    <w:rsid w:val="00C16E9B"/>
    <w:rsid w:val="00C16FB1"/>
    <w:rsid w:val="00C17E3E"/>
    <w:rsid w:val="00C24028"/>
    <w:rsid w:val="00C24371"/>
    <w:rsid w:val="00C25E3D"/>
    <w:rsid w:val="00C302AC"/>
    <w:rsid w:val="00C31A17"/>
    <w:rsid w:val="00C329AA"/>
    <w:rsid w:val="00C3327F"/>
    <w:rsid w:val="00C3651A"/>
    <w:rsid w:val="00C373A4"/>
    <w:rsid w:val="00C418C8"/>
    <w:rsid w:val="00C42710"/>
    <w:rsid w:val="00C43E97"/>
    <w:rsid w:val="00C448CC"/>
    <w:rsid w:val="00C4760E"/>
    <w:rsid w:val="00C508C4"/>
    <w:rsid w:val="00C56B4B"/>
    <w:rsid w:val="00C56D65"/>
    <w:rsid w:val="00C62A93"/>
    <w:rsid w:val="00C64897"/>
    <w:rsid w:val="00C65D3E"/>
    <w:rsid w:val="00C66F89"/>
    <w:rsid w:val="00C676EF"/>
    <w:rsid w:val="00C67E35"/>
    <w:rsid w:val="00C74420"/>
    <w:rsid w:val="00C77DD3"/>
    <w:rsid w:val="00C81AA1"/>
    <w:rsid w:val="00C83977"/>
    <w:rsid w:val="00C851FB"/>
    <w:rsid w:val="00C915FE"/>
    <w:rsid w:val="00C9363E"/>
    <w:rsid w:val="00C95ED3"/>
    <w:rsid w:val="00C965E0"/>
    <w:rsid w:val="00CA02E0"/>
    <w:rsid w:val="00CA3E14"/>
    <w:rsid w:val="00CA4C78"/>
    <w:rsid w:val="00CA5146"/>
    <w:rsid w:val="00CA6DFF"/>
    <w:rsid w:val="00CB03C5"/>
    <w:rsid w:val="00CB0D0F"/>
    <w:rsid w:val="00CB1C5C"/>
    <w:rsid w:val="00CB3992"/>
    <w:rsid w:val="00CB40AD"/>
    <w:rsid w:val="00CB5188"/>
    <w:rsid w:val="00CB7D39"/>
    <w:rsid w:val="00CC483B"/>
    <w:rsid w:val="00CD0A31"/>
    <w:rsid w:val="00CD27D5"/>
    <w:rsid w:val="00CD30BC"/>
    <w:rsid w:val="00CD3D96"/>
    <w:rsid w:val="00CD4C98"/>
    <w:rsid w:val="00CE24BB"/>
    <w:rsid w:val="00CE74E7"/>
    <w:rsid w:val="00CF0E37"/>
    <w:rsid w:val="00CF35FF"/>
    <w:rsid w:val="00CF5690"/>
    <w:rsid w:val="00D01A7A"/>
    <w:rsid w:val="00D036DB"/>
    <w:rsid w:val="00D0546C"/>
    <w:rsid w:val="00D0559D"/>
    <w:rsid w:val="00D07F46"/>
    <w:rsid w:val="00D11C23"/>
    <w:rsid w:val="00D12F2A"/>
    <w:rsid w:val="00D14880"/>
    <w:rsid w:val="00D1754A"/>
    <w:rsid w:val="00D177D7"/>
    <w:rsid w:val="00D20511"/>
    <w:rsid w:val="00D21863"/>
    <w:rsid w:val="00D21BA1"/>
    <w:rsid w:val="00D24554"/>
    <w:rsid w:val="00D24D67"/>
    <w:rsid w:val="00D26492"/>
    <w:rsid w:val="00D269D7"/>
    <w:rsid w:val="00D27488"/>
    <w:rsid w:val="00D275CD"/>
    <w:rsid w:val="00D30120"/>
    <w:rsid w:val="00D30B8B"/>
    <w:rsid w:val="00D31B19"/>
    <w:rsid w:val="00D33E51"/>
    <w:rsid w:val="00D35FCC"/>
    <w:rsid w:val="00D4176F"/>
    <w:rsid w:val="00D42F48"/>
    <w:rsid w:val="00D43870"/>
    <w:rsid w:val="00D44268"/>
    <w:rsid w:val="00D46F50"/>
    <w:rsid w:val="00D476A3"/>
    <w:rsid w:val="00D47EBF"/>
    <w:rsid w:val="00D50BC4"/>
    <w:rsid w:val="00D522F2"/>
    <w:rsid w:val="00D53BF3"/>
    <w:rsid w:val="00D53DC9"/>
    <w:rsid w:val="00D55F33"/>
    <w:rsid w:val="00D57CB4"/>
    <w:rsid w:val="00D6006E"/>
    <w:rsid w:val="00D604FB"/>
    <w:rsid w:val="00D60F45"/>
    <w:rsid w:val="00D61985"/>
    <w:rsid w:val="00D644A1"/>
    <w:rsid w:val="00D6504C"/>
    <w:rsid w:val="00D66E04"/>
    <w:rsid w:val="00D67EE7"/>
    <w:rsid w:val="00D713B4"/>
    <w:rsid w:val="00D72702"/>
    <w:rsid w:val="00D72AEA"/>
    <w:rsid w:val="00D73419"/>
    <w:rsid w:val="00D7369F"/>
    <w:rsid w:val="00D80948"/>
    <w:rsid w:val="00D81CA5"/>
    <w:rsid w:val="00D82CFF"/>
    <w:rsid w:val="00D8513F"/>
    <w:rsid w:val="00D85E17"/>
    <w:rsid w:val="00D873B0"/>
    <w:rsid w:val="00D8791E"/>
    <w:rsid w:val="00D87E1A"/>
    <w:rsid w:val="00D91E6F"/>
    <w:rsid w:val="00D9342A"/>
    <w:rsid w:val="00D94A42"/>
    <w:rsid w:val="00DA02BA"/>
    <w:rsid w:val="00DA11CE"/>
    <w:rsid w:val="00DA3DE2"/>
    <w:rsid w:val="00DA4D02"/>
    <w:rsid w:val="00DB0629"/>
    <w:rsid w:val="00DB5B57"/>
    <w:rsid w:val="00DB684E"/>
    <w:rsid w:val="00DB740F"/>
    <w:rsid w:val="00DC0B63"/>
    <w:rsid w:val="00DC4B59"/>
    <w:rsid w:val="00DC6FE2"/>
    <w:rsid w:val="00DC72E2"/>
    <w:rsid w:val="00DC7507"/>
    <w:rsid w:val="00DD0053"/>
    <w:rsid w:val="00DD0243"/>
    <w:rsid w:val="00DD1F74"/>
    <w:rsid w:val="00DD23EB"/>
    <w:rsid w:val="00DD2B53"/>
    <w:rsid w:val="00DD2F53"/>
    <w:rsid w:val="00DD3214"/>
    <w:rsid w:val="00DE04F4"/>
    <w:rsid w:val="00DE19FB"/>
    <w:rsid w:val="00DE575B"/>
    <w:rsid w:val="00DE650D"/>
    <w:rsid w:val="00DE73E8"/>
    <w:rsid w:val="00DF0326"/>
    <w:rsid w:val="00DF0D4A"/>
    <w:rsid w:val="00DF0D6C"/>
    <w:rsid w:val="00DF494F"/>
    <w:rsid w:val="00DF52E1"/>
    <w:rsid w:val="00E00E36"/>
    <w:rsid w:val="00E01F9C"/>
    <w:rsid w:val="00E03F0E"/>
    <w:rsid w:val="00E042BE"/>
    <w:rsid w:val="00E04849"/>
    <w:rsid w:val="00E054F9"/>
    <w:rsid w:val="00E055E8"/>
    <w:rsid w:val="00E05621"/>
    <w:rsid w:val="00E076FF"/>
    <w:rsid w:val="00E100EE"/>
    <w:rsid w:val="00E11985"/>
    <w:rsid w:val="00E12AE0"/>
    <w:rsid w:val="00E12E72"/>
    <w:rsid w:val="00E13FAE"/>
    <w:rsid w:val="00E143BB"/>
    <w:rsid w:val="00E145C3"/>
    <w:rsid w:val="00E15C70"/>
    <w:rsid w:val="00E20407"/>
    <w:rsid w:val="00E23336"/>
    <w:rsid w:val="00E25817"/>
    <w:rsid w:val="00E260D0"/>
    <w:rsid w:val="00E26DAC"/>
    <w:rsid w:val="00E27147"/>
    <w:rsid w:val="00E2773F"/>
    <w:rsid w:val="00E323A9"/>
    <w:rsid w:val="00E33893"/>
    <w:rsid w:val="00E339F8"/>
    <w:rsid w:val="00E34A36"/>
    <w:rsid w:val="00E35349"/>
    <w:rsid w:val="00E3667D"/>
    <w:rsid w:val="00E368BB"/>
    <w:rsid w:val="00E36996"/>
    <w:rsid w:val="00E37E4C"/>
    <w:rsid w:val="00E37FA1"/>
    <w:rsid w:val="00E413E5"/>
    <w:rsid w:val="00E42503"/>
    <w:rsid w:val="00E43716"/>
    <w:rsid w:val="00E4598B"/>
    <w:rsid w:val="00E464F7"/>
    <w:rsid w:val="00E46A61"/>
    <w:rsid w:val="00E471A5"/>
    <w:rsid w:val="00E521F6"/>
    <w:rsid w:val="00E52952"/>
    <w:rsid w:val="00E55A03"/>
    <w:rsid w:val="00E56E18"/>
    <w:rsid w:val="00E56F93"/>
    <w:rsid w:val="00E572BD"/>
    <w:rsid w:val="00E62697"/>
    <w:rsid w:val="00E62AD2"/>
    <w:rsid w:val="00E65605"/>
    <w:rsid w:val="00E665A4"/>
    <w:rsid w:val="00E703AE"/>
    <w:rsid w:val="00E71AE5"/>
    <w:rsid w:val="00E7282A"/>
    <w:rsid w:val="00E7383D"/>
    <w:rsid w:val="00E74350"/>
    <w:rsid w:val="00E77E27"/>
    <w:rsid w:val="00E8023A"/>
    <w:rsid w:val="00E8028E"/>
    <w:rsid w:val="00E802D4"/>
    <w:rsid w:val="00E8080A"/>
    <w:rsid w:val="00E80E69"/>
    <w:rsid w:val="00E81618"/>
    <w:rsid w:val="00E81D90"/>
    <w:rsid w:val="00E84ACA"/>
    <w:rsid w:val="00E94B3B"/>
    <w:rsid w:val="00E952BB"/>
    <w:rsid w:val="00E9566B"/>
    <w:rsid w:val="00E97374"/>
    <w:rsid w:val="00E97A9B"/>
    <w:rsid w:val="00EA2516"/>
    <w:rsid w:val="00EA2CCD"/>
    <w:rsid w:val="00EA360E"/>
    <w:rsid w:val="00EA3B44"/>
    <w:rsid w:val="00EA5437"/>
    <w:rsid w:val="00EA55BF"/>
    <w:rsid w:val="00EA5ECA"/>
    <w:rsid w:val="00EA5F13"/>
    <w:rsid w:val="00EA6775"/>
    <w:rsid w:val="00EA71D0"/>
    <w:rsid w:val="00EB0809"/>
    <w:rsid w:val="00EB1B72"/>
    <w:rsid w:val="00EB388F"/>
    <w:rsid w:val="00EB4206"/>
    <w:rsid w:val="00EB7F36"/>
    <w:rsid w:val="00EC316C"/>
    <w:rsid w:val="00EC3699"/>
    <w:rsid w:val="00EC435E"/>
    <w:rsid w:val="00EC61C1"/>
    <w:rsid w:val="00ED0214"/>
    <w:rsid w:val="00ED2963"/>
    <w:rsid w:val="00ED43F4"/>
    <w:rsid w:val="00EE026E"/>
    <w:rsid w:val="00EE16D3"/>
    <w:rsid w:val="00EE2870"/>
    <w:rsid w:val="00EE3F3A"/>
    <w:rsid w:val="00EE400C"/>
    <w:rsid w:val="00EE5927"/>
    <w:rsid w:val="00EF27BB"/>
    <w:rsid w:val="00EF347D"/>
    <w:rsid w:val="00EF356D"/>
    <w:rsid w:val="00EF3AD1"/>
    <w:rsid w:val="00EF6132"/>
    <w:rsid w:val="00EF701E"/>
    <w:rsid w:val="00F022EE"/>
    <w:rsid w:val="00F0398A"/>
    <w:rsid w:val="00F0475E"/>
    <w:rsid w:val="00F061CD"/>
    <w:rsid w:val="00F06EE9"/>
    <w:rsid w:val="00F07D56"/>
    <w:rsid w:val="00F10EA6"/>
    <w:rsid w:val="00F11138"/>
    <w:rsid w:val="00F122DF"/>
    <w:rsid w:val="00F13C0C"/>
    <w:rsid w:val="00F158D9"/>
    <w:rsid w:val="00F175D4"/>
    <w:rsid w:val="00F17A44"/>
    <w:rsid w:val="00F20688"/>
    <w:rsid w:val="00F20FD5"/>
    <w:rsid w:val="00F23522"/>
    <w:rsid w:val="00F23AF9"/>
    <w:rsid w:val="00F255B5"/>
    <w:rsid w:val="00F32181"/>
    <w:rsid w:val="00F36732"/>
    <w:rsid w:val="00F370E7"/>
    <w:rsid w:val="00F37A6F"/>
    <w:rsid w:val="00F4271E"/>
    <w:rsid w:val="00F43F16"/>
    <w:rsid w:val="00F44E1D"/>
    <w:rsid w:val="00F45952"/>
    <w:rsid w:val="00F45BAB"/>
    <w:rsid w:val="00F45E45"/>
    <w:rsid w:val="00F45F67"/>
    <w:rsid w:val="00F507B8"/>
    <w:rsid w:val="00F52A84"/>
    <w:rsid w:val="00F54C41"/>
    <w:rsid w:val="00F554B4"/>
    <w:rsid w:val="00F5597F"/>
    <w:rsid w:val="00F55F9C"/>
    <w:rsid w:val="00F576B3"/>
    <w:rsid w:val="00F611A9"/>
    <w:rsid w:val="00F6246E"/>
    <w:rsid w:val="00F67741"/>
    <w:rsid w:val="00F7073F"/>
    <w:rsid w:val="00F7269F"/>
    <w:rsid w:val="00F730BC"/>
    <w:rsid w:val="00F762E3"/>
    <w:rsid w:val="00F819C1"/>
    <w:rsid w:val="00F83F7D"/>
    <w:rsid w:val="00F8657F"/>
    <w:rsid w:val="00F8783F"/>
    <w:rsid w:val="00F90358"/>
    <w:rsid w:val="00F912C9"/>
    <w:rsid w:val="00F9211E"/>
    <w:rsid w:val="00F923DF"/>
    <w:rsid w:val="00F93709"/>
    <w:rsid w:val="00F94859"/>
    <w:rsid w:val="00FA26D1"/>
    <w:rsid w:val="00FA320C"/>
    <w:rsid w:val="00FA5761"/>
    <w:rsid w:val="00FA6129"/>
    <w:rsid w:val="00FA71AF"/>
    <w:rsid w:val="00FA7DE7"/>
    <w:rsid w:val="00FB0058"/>
    <w:rsid w:val="00FB7258"/>
    <w:rsid w:val="00FC2905"/>
    <w:rsid w:val="00FC331D"/>
    <w:rsid w:val="00FC34C3"/>
    <w:rsid w:val="00FC3FFE"/>
    <w:rsid w:val="00FC63FC"/>
    <w:rsid w:val="00FC7A62"/>
    <w:rsid w:val="00FD119E"/>
    <w:rsid w:val="00FD59EE"/>
    <w:rsid w:val="00FE0149"/>
    <w:rsid w:val="00FE3A49"/>
    <w:rsid w:val="00FE3A9E"/>
    <w:rsid w:val="00FE4877"/>
    <w:rsid w:val="00FE5188"/>
    <w:rsid w:val="00FE6389"/>
    <w:rsid w:val="00FE69DA"/>
    <w:rsid w:val="00FE74FC"/>
    <w:rsid w:val="00FE792B"/>
    <w:rsid w:val="00FF0CFC"/>
    <w:rsid w:val="00FF3E61"/>
    <w:rsid w:val="00FF47EF"/>
    <w:rsid w:val="00FF4F2B"/>
    <w:rsid w:val="00FF5B09"/>
    <w:rsid w:val="00FF5B50"/>
    <w:rsid w:val="00FF661D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289"/>
    <w:pPr>
      <w:bidi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E6289"/>
    <w:pPr>
      <w:keepNext/>
      <w:jc w:val="center"/>
      <w:outlineLvl w:val="0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E6289"/>
    <w:pPr>
      <w:keepNext/>
      <w:jc w:val="center"/>
      <w:outlineLvl w:val="1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5E6289"/>
    <w:pPr>
      <w:keepNext/>
      <w:outlineLvl w:val="2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5E6289"/>
    <w:pPr>
      <w:keepNext/>
      <w:outlineLvl w:val="4"/>
    </w:pPr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289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Heading2Char">
    <w:name w:val="Heading 2 Char"/>
    <w:basedOn w:val="DefaultParagraphFont"/>
    <w:link w:val="Heading2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5E6289"/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er">
    <w:name w:val="header"/>
    <w:basedOn w:val="Normal"/>
    <w:link w:val="HeaderChar"/>
    <w:unhideWhenUsed/>
    <w:rsid w:val="005E6289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E6289"/>
    <w:rPr>
      <w:rFonts w:ascii="Times New Roman" w:eastAsia="Times New Roman" w:hAnsi="Times New Roman" w:cs="Traditional Arabic"/>
      <w:sz w:val="20"/>
      <w:szCs w:val="20"/>
    </w:rPr>
  </w:style>
  <w:style w:type="paragraph" w:styleId="BodyText">
    <w:name w:val="Body Text"/>
    <w:basedOn w:val="Normal"/>
    <w:link w:val="BodyTextChar"/>
    <w:unhideWhenUsed/>
    <w:rsid w:val="005E6289"/>
    <w:pPr>
      <w:jc w:val="lowKashida"/>
    </w:pPr>
    <w:rPr>
      <w:rFonts w:ascii="Times New Roman" w:eastAsia="Times New Roman" w:hAnsi="Times New Roman" w:cs="Simplified Arabic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5E6289"/>
    <w:rPr>
      <w:rFonts w:ascii="Times New Roman" w:eastAsia="Times New Roman" w:hAnsi="Times New Roman" w:cs="Simplified Arabic"/>
      <w:sz w:val="24"/>
      <w:szCs w:val="24"/>
      <w:lang w:eastAsia="ar-SA"/>
    </w:rPr>
  </w:style>
  <w:style w:type="paragraph" w:styleId="BlockText">
    <w:name w:val="Block Text"/>
    <w:basedOn w:val="Normal"/>
    <w:unhideWhenUsed/>
    <w:rsid w:val="005E6289"/>
    <w:pPr>
      <w:ind w:left="210" w:right="180"/>
      <w:jc w:val="lowKashida"/>
    </w:pPr>
    <w:rPr>
      <w:rFonts w:ascii="Times New Roman" w:eastAsia="Times New Roman" w:hAnsi="Times New Roman" w:cs="Simplified Arabic"/>
      <w:sz w:val="18"/>
      <w:szCs w:val="18"/>
    </w:rPr>
  </w:style>
  <w:style w:type="paragraph" w:styleId="ListParagraph">
    <w:name w:val="List Paragraph"/>
    <w:basedOn w:val="Normal"/>
    <w:uiPriority w:val="34"/>
    <w:qFormat/>
    <w:rsid w:val="005E628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51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188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61E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61ED6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A64D1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A5D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3407B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List21">
    <w:name w:val="Medium List 21"/>
    <w:basedOn w:val="TableNormal"/>
    <w:uiPriority w:val="66"/>
    <w:rsid w:val="003407B4"/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3407B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4569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List-Accent6">
    <w:name w:val="Light List Accent 6"/>
    <w:basedOn w:val="TableNormal"/>
    <w:uiPriority w:val="61"/>
    <w:rsid w:val="00145699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ediumGrid11">
    <w:name w:val="Medium Grid 11"/>
    <w:basedOn w:val="TableNormal"/>
    <w:uiPriority w:val="67"/>
    <w:rsid w:val="00145699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1">
    <w:name w:val="Medium List 11"/>
    <w:basedOn w:val="TableNormal"/>
    <w:uiPriority w:val="65"/>
    <w:rsid w:val="0014569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1-Accent3">
    <w:name w:val="Medium Shading 1 Accent 3"/>
    <w:basedOn w:val="TableNormal"/>
    <w:uiPriority w:val="63"/>
    <w:rsid w:val="00145699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145699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character" w:styleId="Strong">
    <w:name w:val="Strong"/>
    <w:basedOn w:val="DefaultParagraphFont"/>
    <w:uiPriority w:val="22"/>
    <w:qFormat/>
    <w:rsid w:val="001C215E"/>
    <w:rPr>
      <w:b/>
      <w:bCs/>
    </w:rPr>
  </w:style>
  <w:style w:type="paragraph" w:styleId="NoSpacing">
    <w:name w:val="No Spacing"/>
    <w:uiPriority w:val="1"/>
    <w:qFormat/>
    <w:rsid w:val="00AE4F3D"/>
    <w:pPr>
      <w:bidi/>
    </w:pPr>
    <w:rPr>
      <w:sz w:val="22"/>
      <w:szCs w:val="22"/>
    </w:rPr>
  </w:style>
  <w:style w:type="table" w:customStyle="1" w:styleId="LightShading2">
    <w:name w:val="Light Shading2"/>
    <w:basedOn w:val="TableNormal"/>
    <w:uiPriority w:val="60"/>
    <w:rsid w:val="0028069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basedOn w:val="DefaultParagraphFont"/>
    <w:uiPriority w:val="99"/>
    <w:unhideWhenUsed/>
    <w:rsid w:val="00E7435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7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741"/>
  </w:style>
  <w:style w:type="character" w:styleId="FootnoteReference">
    <w:name w:val="footnote reference"/>
    <w:basedOn w:val="DefaultParagraphFont"/>
    <w:uiPriority w:val="99"/>
    <w:semiHidden/>
    <w:unhideWhenUsed/>
    <w:rsid w:val="00F6774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85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A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DB"/>
    <w:rPr>
      <w:b/>
      <w:bCs/>
    </w:rPr>
  </w:style>
  <w:style w:type="character" w:customStyle="1" w:styleId="shorttext">
    <w:name w:val="short_text"/>
    <w:basedOn w:val="DefaultParagraphFont"/>
    <w:rsid w:val="005C529B"/>
  </w:style>
  <w:style w:type="paragraph" w:styleId="BodyText2">
    <w:name w:val="Body Text 2"/>
    <w:basedOn w:val="Normal"/>
    <w:link w:val="BodyText2Char"/>
    <w:uiPriority w:val="99"/>
    <w:semiHidden/>
    <w:unhideWhenUsed/>
    <w:rsid w:val="00EA55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A55BF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06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0688"/>
  </w:style>
  <w:style w:type="character" w:styleId="EndnoteReference">
    <w:name w:val="endnote reference"/>
    <w:basedOn w:val="DefaultParagraphFont"/>
    <w:uiPriority w:val="99"/>
    <w:semiHidden/>
    <w:unhideWhenUsed/>
    <w:rsid w:val="00F20688"/>
    <w:rPr>
      <w:vertAlign w:val="superscript"/>
    </w:rPr>
  </w:style>
  <w:style w:type="character" w:customStyle="1" w:styleId="tlid-translation">
    <w:name w:val="tlid-translation"/>
    <w:basedOn w:val="DefaultParagraphFont"/>
    <w:rsid w:val="00F20688"/>
  </w:style>
  <w:style w:type="paragraph" w:styleId="Title">
    <w:name w:val="Title"/>
    <w:basedOn w:val="Normal"/>
    <w:link w:val="TitleChar"/>
    <w:qFormat/>
    <w:rsid w:val="00737F9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37F91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3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617344">
                                          <w:marLeft w:val="0"/>
                                          <w:marRight w:val="0"/>
                                          <w:marTop w:val="0"/>
                                          <w:marBottom w:val="31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0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3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7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9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398943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5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0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961376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95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4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174281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3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3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516751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79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6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0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759347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03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6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5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8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2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1195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51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1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5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7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21027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6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9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49315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75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3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85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688256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4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5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84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346213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26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4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7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82800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13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117842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9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1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6806">
              <w:marLeft w:val="259"/>
              <w:marRight w:val="259"/>
              <w:marTop w:val="259"/>
              <w:marBottom w:val="2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4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9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03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0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823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1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19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312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23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10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99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751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73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421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4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379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4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57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87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653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03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BDC7D8"/>
                                                        <w:left w:val="single" w:sz="2" w:space="0" w:color="BDC7D8"/>
                                                        <w:bottom w:val="single" w:sz="4" w:space="0" w:color="BDC7D8"/>
                                                        <w:right w:val="single" w:sz="2" w:space="0" w:color="BDC7D8"/>
                                                      </w:divBdr>
                                                      <w:divsChild>
                                                        <w:div w:id="13013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31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890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939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793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04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21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2046">
                                          <w:marLeft w:val="0"/>
                                          <w:marRight w:val="-22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27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25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9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76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165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3981052">
                                                      <w:marLeft w:val="1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6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6668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4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7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6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0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35979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96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0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4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6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400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40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9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56831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5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8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334252">
                                      <w:marLeft w:val="0"/>
                                      <w:marRight w:val="5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1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104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85672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93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46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20539">
                                      <w:marLeft w:val="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D9D9D9"/>
                                        <w:left w:val="single" w:sz="4" w:space="0" w:color="D9D9D9"/>
                                        <w:bottom w:val="single" w:sz="4" w:space="0" w:color="D9D9D9"/>
                                        <w:right w:val="single" w:sz="4" w:space="0" w:color="D9D9D9"/>
                                      </w:divBdr>
                                      <w:divsChild>
                                        <w:div w:id="193778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0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720365">
                                      <w:marLeft w:val="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7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999999"/>
                                            <w:left w:val="single" w:sz="4" w:space="12" w:color="999999"/>
                                            <w:bottom w:val="single" w:sz="4" w:space="12" w:color="999999"/>
                                            <w:right w:val="single" w:sz="4" w:space="12" w:color="999999"/>
                                          </w:divBdr>
                                          <w:divsChild>
                                            <w:div w:id="12998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968166">
                                          <w:marLeft w:val="0"/>
                                          <w:marRight w:val="0"/>
                                          <w:marTop w:val="156"/>
                                          <w:marBottom w:val="20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24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706216">
                                          <w:marLeft w:val="0"/>
                                          <w:marRight w:val="0"/>
                                          <w:marTop w:val="0"/>
                                          <w:marBottom w:val="10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93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71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03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1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77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10152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45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9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5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25860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Office_Excel_Worksheet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Office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286285933529491"/>
          <c:y val="3.9932573083537051E-2"/>
          <c:w val="0.82153693231589064"/>
          <c:h val="0.69454895759492685"/>
        </c:manualLayout>
      </c:layout>
      <c:lineChart>
        <c:grouping val="standard"/>
        <c:ser>
          <c:idx val="0"/>
          <c:order val="0"/>
          <c:tx>
            <c:strRef>
              <c:f>Sheet1!$C$1</c:f>
              <c:strCache>
                <c:ptCount val="1"/>
                <c:pt idx="0">
                  <c:v>Men</c:v>
                </c:pt>
              </c:strCache>
            </c:strRef>
          </c:tx>
          <c:spPr>
            <a:ln w="12686"/>
          </c:spPr>
          <c:marker>
            <c:symbol val="diamond"/>
            <c:size val="3"/>
          </c:marker>
          <c:dLbls>
            <c:dLbl>
              <c:idx val="0"/>
              <c:layout>
                <c:manualLayout>
                  <c:x val="-3.5305126992472291E-2"/>
                  <c:y val="-3.90137208491474E-2"/>
                </c:manualLayout>
              </c:layout>
              <c:spPr/>
              <c:txPr>
                <a:bodyPr/>
                <a:lstStyle/>
                <a:p>
                  <a:pPr>
                    <a:defRPr sz="799">
                      <a:latin typeface="Arial" pitchFamily="34" charset="0"/>
                      <a:cs typeface="Arial" pitchFamily="34" charset="0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4"/>
              <c:spPr/>
              <c:txPr>
                <a:bodyPr/>
                <a:lstStyle/>
                <a:p>
                  <a:pPr>
                    <a:defRPr sz="799">
                      <a:latin typeface="Arial" pitchFamily="34" charset="0"/>
                      <a:cs typeface="Arial" pitchFamily="34" charset="0"/>
                    </a:defRPr>
                  </a:pPr>
                  <a:endParaRPr lang="ar-SA"/>
                </a:p>
              </c:txPr>
              <c:showVal val="1"/>
            </c:dLbl>
            <c:delete val="1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1.5</c:v>
                </c:pt>
                <c:pt idx="1">
                  <c:v>1.4000000000000057</c:v>
                </c:pt>
                <c:pt idx="2">
                  <c:v>1.4000000000000057</c:v>
                </c:pt>
                <c:pt idx="3">
                  <c:v>1.2999999999999965</c:v>
                </c:pt>
                <c:pt idx="4">
                  <c:v>1.2</c:v>
                </c:pt>
              </c:numCache>
            </c:numRef>
          </c:val>
        </c:ser>
        <c:ser>
          <c:idx val="1"/>
          <c:order val="1"/>
          <c:tx>
            <c:strRef>
              <c:f>Sheet1!$B$1</c:f>
              <c:strCache>
                <c:ptCount val="1"/>
                <c:pt idx="0">
                  <c:v>Women</c:v>
                </c:pt>
              </c:strCache>
            </c:strRef>
          </c:tx>
          <c:spPr>
            <a:ln w="12686"/>
          </c:spPr>
          <c:marker>
            <c:symbol val="square"/>
            <c:size val="3"/>
          </c:marker>
          <c:dLbls>
            <c:dLbl>
              <c:idx val="0"/>
              <c:layout>
                <c:manualLayout>
                  <c:x val="-4.8544549614649365E-2"/>
                  <c:y val="-4.5516007657339624E-2"/>
                </c:manualLayout>
              </c:layout>
              <c:spPr/>
              <c:txPr>
                <a:bodyPr/>
                <a:lstStyle/>
                <a:p>
                  <a:pPr>
                    <a:defRPr sz="799">
                      <a:latin typeface="Arial" pitchFamily="34" charset="0"/>
                      <a:cs typeface="Arial" pitchFamily="34" charset="0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4"/>
              <c:spPr/>
              <c:txPr>
                <a:bodyPr/>
                <a:lstStyle/>
                <a:p>
                  <a:pPr>
                    <a:defRPr sz="799">
                      <a:latin typeface="Arial" pitchFamily="34" charset="0"/>
                      <a:cs typeface="Arial" pitchFamily="34" charset="0"/>
                    </a:defRPr>
                  </a:pPr>
                  <a:endParaRPr lang="ar-SA"/>
                </a:p>
              </c:txPr>
              <c:showVal val="1"/>
            </c:dLbl>
            <c:delete val="1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5.0999999999999943</c:v>
                </c:pt>
                <c:pt idx="1">
                  <c:v>4.7999999999999972</c:v>
                </c:pt>
                <c:pt idx="2">
                  <c:v>4.4000000000000075</c:v>
                </c:pt>
                <c:pt idx="3">
                  <c:v>4.2999999999999972</c:v>
                </c:pt>
                <c:pt idx="4">
                  <c:v>4.0999999999999996</c:v>
                </c:pt>
              </c:numCache>
            </c:numRef>
          </c:val>
        </c:ser>
        <c:marker val="1"/>
        <c:axId val="201414528"/>
        <c:axId val="201416704"/>
      </c:lineChart>
      <c:catAx>
        <c:axId val="201414528"/>
        <c:scaling>
          <c:orientation val="minMax"/>
        </c:scaling>
        <c:axPos val="b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Year</a:t>
                </a:r>
              </a:p>
            </c:rich>
          </c:tx>
          <c:layout>
            <c:manualLayout>
              <c:xMode val="edge"/>
              <c:yMode val="edge"/>
              <c:x val="0.48673549912221237"/>
              <c:y val="0.89302597043790577"/>
            </c:manualLayout>
          </c:layout>
        </c:title>
        <c:numFmt formatCode="General" sourceLinked="1"/>
        <c:tickLblPos val="low"/>
        <c:spPr>
          <a:ln>
            <a:bevel/>
          </a:ln>
        </c:spPr>
        <c:txPr>
          <a:bodyPr rot="0" vert="horz"/>
          <a:lstStyle/>
          <a:p>
            <a:pPr>
              <a:defRPr sz="799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201416704"/>
        <c:crosses val="autoZero"/>
        <c:auto val="1"/>
        <c:lblAlgn val="ctr"/>
        <c:lblOffset val="50"/>
      </c:catAx>
      <c:valAx>
        <c:axId val="201416704"/>
        <c:scaling>
          <c:orientation val="minMax"/>
        </c:scaling>
        <c:axPos val="l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Rate</a:t>
                </a:r>
              </a:p>
            </c:rich>
          </c:tx>
          <c:layout>
            <c:manualLayout>
              <c:xMode val="edge"/>
              <c:yMode val="edge"/>
              <c:x val="1.7111817976395334E-2"/>
              <c:y val="0.29285467606022941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799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2014145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7356729415445605"/>
          <c:y val="7.7456831054013034E-2"/>
          <c:w val="0.53477846726112865"/>
          <c:h val="0.10160381268130962"/>
        </c:manualLayout>
      </c:layout>
      <c:spPr>
        <a:ln>
          <a:solidFill>
            <a:srgbClr val="4F81BD"/>
          </a:solidFill>
        </a:ln>
      </c:spPr>
      <c:txPr>
        <a:bodyPr/>
        <a:lstStyle/>
        <a:p>
          <a:pPr>
            <a:defRPr sz="799"/>
          </a:pPr>
          <a:endParaRPr lang="ar-SA"/>
        </a:p>
      </c:txPr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6309786700515289"/>
          <c:y val="7.422517091275245E-2"/>
          <c:w val="0.7985010454571031"/>
          <c:h val="0.68141138948388269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Men</c:v>
                </c:pt>
              </c:strCache>
            </c:strRef>
          </c:tx>
          <c:spPr>
            <a:ln w="12692"/>
          </c:spPr>
          <c:marker>
            <c:symbol val="diamond"/>
            <c:size val="3"/>
          </c:marker>
          <c:dLbls>
            <c:dLbl>
              <c:idx val="0"/>
              <c:layout>
                <c:manualLayout>
                  <c:x val="-4.0579724758673844E-2"/>
                  <c:y val="-5.0859966501616082E-2"/>
                </c:manualLayout>
              </c:layout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showVal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delete val="1"/>
            </c:dLbl>
            <c:dLbl>
              <c:idx val="13"/>
              <c:delete val="1"/>
            </c:dLbl>
            <c:dLbl>
              <c:idx val="14"/>
              <c:delete val="1"/>
            </c:dLbl>
            <c:dLbl>
              <c:idx val="15"/>
              <c:delete val="1"/>
            </c:dLbl>
            <c:dLbl>
              <c:idx val="16"/>
              <c:delete val="1"/>
            </c:dLbl>
            <c:dLbl>
              <c:idx val="17"/>
              <c:layout>
                <c:manualLayout>
                  <c:x val="-8.7682385402746942E-3"/>
                  <c:y val="-4.8393327246062524E-2"/>
                </c:manualLayout>
              </c:layout>
              <c:dLblPos val="r"/>
              <c:showVal val="1"/>
            </c:dLbl>
            <c:dLbl>
              <c:idx val="18"/>
              <c:layout>
                <c:manualLayout>
                  <c:x val="-2.4926997510027402E-2"/>
                  <c:y val="-3.5704844524528455E-2"/>
                </c:manualLayout>
              </c:layout>
              <c:dLblPos val="r"/>
              <c:showVal val="1"/>
            </c:dLbl>
            <c:numFmt formatCode="#,##0" sourceLinked="0"/>
            <c:spPr>
              <a:noFill/>
              <a:ln w="25384">
                <a:noFill/>
              </a:ln>
            </c:spPr>
            <c:txPr>
              <a:bodyPr rot="0" vert="horz"/>
              <a:lstStyle/>
              <a:p>
                <a:pPr>
                  <a:defRPr sz="800" b="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b"/>
            <c:showVal val="1"/>
          </c:dLbls>
          <c:cat>
            <c:numRef>
              <c:f>Sheet1!$A$2:$A$6</c:f>
              <c:numCache>
                <c:formatCode>General</c:formatCode>
                <c:ptCount val="5"/>
                <c:pt idx="0" formatCode="@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Sheet1!$B$2:$B$6</c:f>
              <c:numCache>
                <c:formatCode>0.0</c:formatCode>
                <c:ptCount val="5"/>
                <c:pt idx="0">
                  <c:v>69.599999999999994</c:v>
                </c:pt>
                <c:pt idx="1">
                  <c:v>69.8</c:v>
                </c:pt>
                <c:pt idx="2">
                  <c:v>70</c:v>
                </c:pt>
                <c:pt idx="3">
                  <c:v>69</c:v>
                </c:pt>
                <c:pt idx="4">
                  <c:v>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Women</c:v>
                </c:pt>
              </c:strCache>
            </c:strRef>
          </c:tx>
          <c:spPr>
            <a:ln w="12692">
              <a:solidFill>
                <a:srgbClr val="C0504D">
                  <a:shade val="95000"/>
                  <a:satMod val="105000"/>
                </a:srgbClr>
              </a:solidFill>
              <a:headEnd type="none"/>
              <a:tailEnd w="sm" len="sm"/>
            </a:ln>
          </c:spPr>
          <c:marker>
            <c:symbol val="square"/>
            <c:size val="2"/>
          </c:marker>
          <c:dLbls>
            <c:dLbl>
              <c:idx val="0"/>
              <c:layout>
                <c:manualLayout>
                  <c:x val="-5.2609431241649011E-2"/>
                  <c:y val="-5.4442493151821258E-2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 sz="800"/>
                  </a:pPr>
                  <a:endParaRPr lang="ar-SA"/>
                </a:p>
              </c:txPr>
              <c:dLblPos val="r"/>
              <c:showVal val="1"/>
            </c:dLbl>
            <c:dLbl>
              <c:idx val="4"/>
              <c:numFmt formatCode="#,##0" sourceLinked="0"/>
              <c:spPr/>
              <c:txPr>
                <a:bodyPr/>
                <a:lstStyle/>
                <a:p>
                  <a:pPr>
                    <a:defRPr sz="800"/>
                  </a:pPr>
                  <a:endParaRPr lang="ar-SA"/>
                </a:p>
              </c:txPr>
              <c:showVal val="1"/>
            </c:dLbl>
            <c:delete val="1"/>
          </c:dLbls>
          <c:cat>
            <c:numRef>
              <c:f>Sheet1!$A$2:$A$6</c:f>
              <c:numCache>
                <c:formatCode>General</c:formatCode>
                <c:ptCount val="5"/>
                <c:pt idx="0" formatCode="@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Sheet1!$C$2:$C$6</c:f>
              <c:numCache>
                <c:formatCode>0.0</c:formatCode>
                <c:ptCount val="5"/>
                <c:pt idx="0">
                  <c:v>17.7</c:v>
                </c:pt>
                <c:pt idx="1">
                  <c:v>17.100000000000001</c:v>
                </c:pt>
                <c:pt idx="2">
                  <c:v>17.3</c:v>
                </c:pt>
                <c:pt idx="3">
                  <c:v>17.399999999999999</c:v>
                </c:pt>
                <c:pt idx="4">
                  <c:v>18.100000000000001</c:v>
                </c:pt>
              </c:numCache>
            </c:numRef>
          </c:val>
        </c:ser>
        <c:marker val="1"/>
        <c:axId val="224298496"/>
        <c:axId val="224300416"/>
      </c:lineChart>
      <c:catAx>
        <c:axId val="224298496"/>
        <c:scaling>
          <c:orientation val="minMax"/>
        </c:scaling>
        <c:axPos val="b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Year</a:t>
                </a:r>
              </a:p>
            </c:rich>
          </c:tx>
          <c:layout>
            <c:manualLayout>
              <c:xMode val="edge"/>
              <c:yMode val="edge"/>
              <c:x val="0.45421926910299015"/>
              <c:y val="0.92080589926259249"/>
            </c:manualLayout>
          </c:layout>
        </c:title>
        <c:numFmt formatCode="@" sourceLinked="1"/>
        <c:tickLblPos val="nextTo"/>
        <c:spPr>
          <a:noFill/>
        </c:spPr>
        <c:txPr>
          <a:bodyPr rot="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224300416"/>
        <c:crosses val="autoZero"/>
        <c:auto val="1"/>
        <c:lblAlgn val="ctr"/>
        <c:lblOffset val="100"/>
      </c:catAx>
      <c:valAx>
        <c:axId val="224300416"/>
        <c:scaling>
          <c:orientation val="minMax"/>
        </c:scaling>
        <c:axPos val="l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Rate</a:t>
                </a:r>
              </a:p>
            </c:rich>
          </c:tx>
          <c:layout>
            <c:manualLayout>
              <c:xMode val="edge"/>
              <c:yMode val="edge"/>
              <c:x val="2.6622021084573743E-2"/>
              <c:y val="0.36223922009748777"/>
            </c:manualLayout>
          </c:layout>
        </c:title>
        <c:numFmt formatCode="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224298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39072313635214212"/>
          <c:y val="0.27994450693663292"/>
          <c:w val="0.84262397432879077"/>
          <c:h val="0.39289838770153745"/>
        </c:manualLayout>
      </c:layout>
      <c:spPr>
        <a:ln>
          <a:solidFill>
            <a:srgbClr val="4F81BD"/>
          </a:solidFill>
        </a:ln>
      </c:spPr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7327968674223196"/>
          <c:y val="0.15177109356664384"/>
          <c:w val="0.73395634727454062"/>
          <c:h val="0.62536500911653325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Women</c:v>
                </c:pt>
              </c:strCache>
            </c:strRef>
          </c:tx>
          <c:dLbls>
            <c:dLbl>
              <c:idx val="0"/>
              <c:layout>
                <c:manualLayout>
                  <c:x val="4.3515555285936853E-3"/>
                  <c:y val="5.4295316439961433E-3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0"/>
                  <c:y val="2.5848769096541421E-2"/>
                </c:manualLayout>
              </c:layout>
              <c:dLblPos val="outEnd"/>
              <c:showVal val="1"/>
            </c:dLbl>
            <c:spPr>
              <a:noFill/>
              <a:ln w="25324">
                <a:noFill/>
              </a:ln>
            </c:spPr>
            <c:txPr>
              <a:bodyPr/>
              <a:lstStyle/>
              <a:p>
                <a:pPr>
                  <a:defRPr sz="798" b="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Palestine</c:v>
                </c:pt>
                <c:pt idx="1">
                  <c:v>West Bank</c:v>
                </c:pt>
                <c:pt idx="2">
                  <c:v>Gaza Strip</c:v>
                </c:pt>
              </c:strCache>
            </c:strRef>
          </c:cat>
          <c:val>
            <c:numRef>
              <c:f>Sheet1!$B$2:$D$2</c:f>
              <c:numCache>
                <c:formatCode>0</c:formatCode>
                <c:ptCount val="3"/>
                <c:pt idx="0">
                  <c:v>4</c:v>
                </c:pt>
                <c:pt idx="1">
                  <c:v>3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Men</c:v>
                </c:pt>
              </c:strCache>
            </c:strRef>
          </c:tx>
          <c:dLbls>
            <c:dLbl>
              <c:idx val="1"/>
              <c:layout>
                <c:manualLayout>
                  <c:x val="1.7613495151511355E-2"/>
                  <c:y val="9.1910537243508339E-3"/>
                </c:manualLayout>
              </c:layout>
              <c:dLblPos val="outEnd"/>
              <c:showVal val="1"/>
            </c:dLbl>
            <c:spPr>
              <a:noFill/>
              <a:ln w="25324">
                <a:noFill/>
              </a:ln>
            </c:spPr>
            <c:txPr>
              <a:bodyPr/>
              <a:lstStyle/>
              <a:p>
                <a:pPr>
                  <a:defRPr sz="798" b="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Palestine</c:v>
                </c:pt>
                <c:pt idx="1">
                  <c:v>West Bank</c:v>
                </c:pt>
                <c:pt idx="2">
                  <c:v>Gaza Strip</c:v>
                </c:pt>
              </c:strCache>
            </c:strRef>
          </c:cat>
          <c:val>
            <c:numRef>
              <c:f>Sheet1!$B$3:$D$3</c:f>
              <c:numCache>
                <c:formatCode>0</c:formatCode>
                <c:ptCount val="3"/>
                <c:pt idx="0">
                  <c:v>24</c:v>
                </c:pt>
                <c:pt idx="1">
                  <c:v>25</c:v>
                </c:pt>
                <c:pt idx="2">
                  <c:v>24</c:v>
                </c:pt>
              </c:numCache>
            </c:numRef>
          </c:val>
        </c:ser>
        <c:axId val="201437952"/>
        <c:axId val="201439488"/>
      </c:barChart>
      <c:catAx>
        <c:axId val="20143795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798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201439488"/>
        <c:crosses val="autoZero"/>
        <c:auto val="1"/>
        <c:lblAlgn val="ctr"/>
        <c:lblOffset val="100"/>
      </c:catAx>
      <c:valAx>
        <c:axId val="201439488"/>
        <c:scaling>
          <c:orientation val="minMax"/>
          <c:max val="30"/>
        </c:scaling>
        <c:axPos val="l"/>
        <c:numFmt formatCode="0" sourceLinked="1"/>
        <c:tickLblPos val="nextTo"/>
        <c:txPr>
          <a:bodyPr/>
          <a:lstStyle/>
          <a:p>
            <a:pPr>
              <a:defRPr sz="798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201437952"/>
        <c:crosses val="autoZero"/>
        <c:crossBetween val="between"/>
        <c:majorUnit val="5"/>
      </c:valAx>
    </c:plotArea>
    <c:legend>
      <c:legendPos val="r"/>
      <c:layout>
        <c:manualLayout>
          <c:xMode val="edge"/>
          <c:yMode val="edge"/>
          <c:wMode val="edge"/>
          <c:hMode val="edge"/>
          <c:x val="0.34833624963546239"/>
          <c:y val="3.161154855643046E-2"/>
          <c:w val="0.83918343540390783"/>
          <c:h val="0.15296179644211147"/>
        </c:manualLayout>
      </c:layout>
      <c:spPr>
        <a:ln>
          <a:solidFill>
            <a:schemeClr val="tx1"/>
          </a:solidFill>
        </a:ln>
      </c:spPr>
      <c:txPr>
        <a:bodyPr/>
        <a:lstStyle/>
        <a:p>
          <a:pPr>
            <a:defRPr sz="798"/>
          </a:pPr>
          <a:endParaRPr lang="ar-SA"/>
        </a:p>
      </c:txPr>
    </c:legend>
    <c:plotVisOnly val="1"/>
    <c:dispBlanksAs val="gap"/>
  </c:chart>
  <c:spPr>
    <a:ln>
      <a:noFill/>
    </a:ln>
  </c:spPr>
  <c:externalData r:id="rId2"/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43892209880975891"/>
          <c:y val="4.7105249561462247E-2"/>
          <c:w val="0.52155818480099658"/>
          <c:h val="0.82865937547081714"/>
        </c:manualLayout>
      </c:layout>
      <c:bar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-4.2114129290376926E-3"/>
                  <c:y val="-1.9432777127468416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-4.2114129290376926E-3"/>
                  <c:y val="-1.2955184751645537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8.4228258580754268E-3"/>
                  <c:y val="-6.4775923758228155E-3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1.6845651716150906E-2"/>
                  <c:y val="-1.9432777127468416E-2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-1.263423878711308E-2"/>
                  <c:y val="-1.9432777127468416E-2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-1.263423878711308E-2"/>
                  <c:y val="-1.9432777127468416E-2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-1.263423878711308E-2"/>
                  <c:y val="-6.4775923758227548E-3"/>
                </c:manualLayout>
              </c:layout>
              <c:dLblPos val="outEnd"/>
              <c:showVal val="1"/>
            </c:dLbl>
            <c:dLbl>
              <c:idx val="11"/>
              <c:layout>
                <c:manualLayout>
                  <c:x val="-1.6845651716150923E-2"/>
                  <c:y val="-1.9111567916041527E-2"/>
                </c:manualLayout>
              </c:layout>
              <c:dLblPos val="outEnd"/>
              <c:showVal val="1"/>
            </c:dLbl>
            <c:dLbl>
              <c:idx val="12"/>
              <c:layout>
                <c:manualLayout>
                  <c:x val="-1.263423878711308E-2"/>
                  <c:y val="-6.3705226386805104E-3"/>
                </c:manualLayout>
              </c:layout>
              <c:dLblPos val="outEnd"/>
              <c:showVal val="1"/>
            </c:dLbl>
            <c:dLbl>
              <c:idx val="13"/>
              <c:layout>
                <c:manualLayout>
                  <c:x val="-1.6845651716150923E-2"/>
                  <c:y val="-1.9111567916041527E-2"/>
                </c:manualLayout>
              </c:layout>
              <c:dLblPos val="outEnd"/>
              <c:showVal val="1"/>
            </c:dLbl>
            <c:dLbl>
              <c:idx val="14"/>
              <c:layout>
                <c:manualLayout>
                  <c:x val="-8.4228258580754268E-3"/>
                  <c:y val="-5.9420433998689653E-3"/>
                </c:manualLayout>
              </c:layout>
              <c:dLblPos val="outEnd"/>
              <c:showVal val="1"/>
            </c:dLbl>
            <c:dLbl>
              <c:idx val="15"/>
              <c:layout>
                <c:manualLayout>
                  <c:x val="-1.6845651716150923E-2"/>
                  <c:y val="-3.1852613193402546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640" b="0"/>
                </a:pPr>
                <a:endParaRPr lang="ar-SA"/>
              </a:p>
            </c:txPr>
            <c:showVal val="1"/>
          </c:dLbls>
          <c:cat>
            <c:strRef>
              <c:f>Sheet1!$A$2:$A$17</c:f>
              <c:strCache>
                <c:ptCount val="16"/>
                <c:pt idx="0">
                  <c:v>Khan Yunis</c:v>
                </c:pt>
                <c:pt idx="1">
                  <c:v>Gaza</c:v>
                </c:pt>
                <c:pt idx="2">
                  <c:v>Hebron</c:v>
                </c:pt>
                <c:pt idx="3">
                  <c:v>Rafah</c:v>
                </c:pt>
                <c:pt idx="4">
                  <c:v>North Gaza</c:v>
                </c:pt>
                <c:pt idx="5">
                  <c:v>Dier Al - Balah</c:v>
                </c:pt>
                <c:pt idx="6">
                  <c:v>Jenin</c:v>
                </c:pt>
                <c:pt idx="7">
                  <c:v>Qalqiliya</c:v>
                </c:pt>
                <c:pt idx="8">
                  <c:v>Tulkarm</c:v>
                </c:pt>
                <c:pt idx="9">
                  <c:v>Nablus</c:v>
                </c:pt>
                <c:pt idx="10">
                  <c:v>Jericho &amp; Al-Aghwar</c:v>
                </c:pt>
                <c:pt idx="11">
                  <c:v>Bethlehem</c:v>
                </c:pt>
                <c:pt idx="12">
                  <c:v>Tubas &amp; Northern Valleys</c:v>
                </c:pt>
                <c:pt idx="13">
                  <c:v>Ramallah &amp; Al-Bireh</c:v>
                </c:pt>
                <c:pt idx="14">
                  <c:v>Salfit</c:v>
                </c:pt>
                <c:pt idx="15">
                  <c:v>Jerusalem</c:v>
                </c:pt>
              </c:strCache>
            </c:strRef>
          </c:cat>
          <c:val>
            <c:numRef>
              <c:f>Sheet1!$B$2:$B$17</c:f>
              <c:numCache>
                <c:formatCode>0</c:formatCode>
                <c:ptCount val="16"/>
                <c:pt idx="0">
                  <c:v>41.3</c:v>
                </c:pt>
                <c:pt idx="1">
                  <c:v>40.200000000000003</c:v>
                </c:pt>
                <c:pt idx="2">
                  <c:v>37.200000000000003</c:v>
                </c:pt>
                <c:pt idx="3">
                  <c:v>36.4</c:v>
                </c:pt>
                <c:pt idx="4">
                  <c:v>34.5</c:v>
                </c:pt>
                <c:pt idx="5">
                  <c:v>29.9</c:v>
                </c:pt>
                <c:pt idx="6">
                  <c:v>26.8</c:v>
                </c:pt>
                <c:pt idx="7">
                  <c:v>23.7</c:v>
                </c:pt>
                <c:pt idx="8">
                  <c:v>23.4</c:v>
                </c:pt>
                <c:pt idx="9">
                  <c:v>23</c:v>
                </c:pt>
                <c:pt idx="10">
                  <c:v>22.9</c:v>
                </c:pt>
                <c:pt idx="11">
                  <c:v>22.4</c:v>
                </c:pt>
                <c:pt idx="12">
                  <c:v>17.7</c:v>
                </c:pt>
                <c:pt idx="13">
                  <c:v>16.899999999999999</c:v>
                </c:pt>
                <c:pt idx="14">
                  <c:v>12.3</c:v>
                </c:pt>
                <c:pt idx="15">
                  <c:v>11.1</c:v>
                </c:pt>
              </c:numCache>
            </c:numRef>
          </c:val>
        </c:ser>
        <c:gapWidth val="151"/>
        <c:axId val="201398144"/>
        <c:axId val="201399680"/>
      </c:barChart>
      <c:catAx>
        <c:axId val="201398144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64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201399680"/>
        <c:crosses val="autoZero"/>
        <c:auto val="1"/>
        <c:lblAlgn val="ctr"/>
        <c:lblOffset val="100"/>
      </c:catAx>
      <c:valAx>
        <c:axId val="201399680"/>
        <c:scaling>
          <c:orientation val="minMax"/>
        </c:scaling>
        <c:axPos val="b"/>
        <c:numFmt formatCode="0" sourceLinked="1"/>
        <c:tickLblPos val="nextTo"/>
        <c:txPr>
          <a:bodyPr/>
          <a:lstStyle/>
          <a:p>
            <a:pPr>
              <a:defRPr sz="457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201398144"/>
        <c:crosses val="autoZero"/>
        <c:crossBetween val="between"/>
        <c:majorUnit val="10"/>
      </c:valAx>
    </c:plotArea>
    <c:plotVisOnly val="1"/>
    <c:dispBlanksAs val="gap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0.25463</cdr:y>
    </cdr:from>
    <cdr:to>
      <cdr:x>0.07765</cdr:x>
      <cdr:y>0.62414</cdr:y>
    </cdr:to>
    <cdr:sp macro="" textlink="">
      <cdr:nvSpPr>
        <cdr:cNvPr id="2" name="TextBox 1"/>
        <cdr:cNvSpPr txBox="1"/>
      </cdr:nvSpPr>
      <cdr:spPr>
        <a:xfrm xmlns:a="http://schemas.openxmlformats.org/drawingml/2006/main" rot="16200000">
          <a:off x="-297142" y="864552"/>
          <a:ext cx="823401" cy="2291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1"/>
        <a:lstStyle xmlns:a="http://schemas.openxmlformats.org/drawingml/2006/main"/>
        <a:p xmlns:a="http://schemas.openxmlformats.org/drawingml/2006/main">
          <a:r>
            <a:rPr lang="en-US" sz="800" b="1">
              <a:latin typeface="Arial" pitchFamily="34" charset="0"/>
              <a:cs typeface="Arial" pitchFamily="34" charset="0"/>
            </a:rPr>
            <a:t>Rate</a:t>
          </a:r>
          <a:endParaRPr lang="ar-SA" sz="500" b="1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0.38738</cdr:x>
      <cdr:y>0.87629</cdr:y>
    </cdr:from>
    <cdr:to>
      <cdr:x>0.6998</cdr:x>
      <cdr:y>0.96063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099492" y="1589745"/>
          <a:ext cx="886741" cy="1530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1"/>
        <a:lstStyle xmlns:a="http://schemas.openxmlformats.org/drawingml/2006/main"/>
        <a:p xmlns:a="http://schemas.openxmlformats.org/drawingml/2006/main">
          <a:r>
            <a:rPr lang="en-US" sz="800" b="1">
              <a:latin typeface="Arial" pitchFamily="34" charset="0"/>
              <a:cs typeface="Arial" pitchFamily="34" charset="0"/>
            </a:rPr>
            <a:t>Region</a:t>
          </a:r>
          <a:endParaRPr lang="ar-SA" sz="1100" b="1">
            <a:latin typeface="Arial" pitchFamily="34" charset="0"/>
            <a:cs typeface="Arial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0.03239</cdr:x>
      <cdr:y>0.38337</cdr:y>
    </cdr:from>
    <cdr:to>
      <cdr:x>0.10714</cdr:x>
      <cdr:y>0.76024</cdr:y>
    </cdr:to>
    <cdr:sp macro="" textlink="">
      <cdr:nvSpPr>
        <cdr:cNvPr id="2" name="TextBox 1"/>
        <cdr:cNvSpPr txBox="1"/>
      </cdr:nvSpPr>
      <cdr:spPr>
        <a:xfrm xmlns:a="http://schemas.openxmlformats.org/drawingml/2006/main" rot="16200000">
          <a:off x="-170140" y="1041217"/>
          <a:ext cx="760439" cy="2251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1"/>
        <a:lstStyle xmlns:a="http://schemas.openxmlformats.org/drawingml/2006/main"/>
        <a:p xmlns:a="http://schemas.openxmlformats.org/drawingml/2006/main">
          <a:r>
            <a:rPr lang="en-US" sz="800" b="1">
              <a:latin typeface="Arial" pitchFamily="34" charset="0"/>
              <a:cs typeface="Arial" pitchFamily="34" charset="0"/>
            </a:rPr>
            <a:t>Governorate</a:t>
          </a:r>
          <a:endParaRPr lang="ar-SA" sz="500" b="1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0.36842</cdr:x>
      <cdr:y>0.91541</cdr:y>
    </cdr:from>
    <cdr:to>
      <cdr:x>0.80851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109472" y="1847088"/>
          <a:ext cx="1325294" cy="1706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1"/>
        <a:lstStyle xmlns:a="http://schemas.openxmlformats.org/drawingml/2006/main"/>
        <a:p xmlns:a="http://schemas.openxmlformats.org/drawingml/2006/main">
          <a:pPr algn="ctr"/>
          <a:r>
            <a:rPr lang="en-US" sz="800" b="1">
              <a:latin typeface="Arial" pitchFamily="34" charset="0"/>
              <a:cs typeface="Arial" pitchFamily="34" charset="0"/>
            </a:rPr>
            <a:t>Percentage</a:t>
          </a:r>
          <a:endParaRPr lang="ar-SA" sz="1100" b="1">
            <a:latin typeface="Arial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B7E4C-0E19-41CA-AF42-1C78A603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loays</dc:creator>
  <cp:lastModifiedBy>adwikat</cp:lastModifiedBy>
  <cp:revision>2</cp:revision>
  <cp:lastPrinted>2020-03-04T08:44:00Z</cp:lastPrinted>
  <dcterms:created xsi:type="dcterms:W3CDTF">2020-03-05T09:22:00Z</dcterms:created>
  <dcterms:modified xsi:type="dcterms:W3CDTF">2020-03-05T09:22:00Z</dcterms:modified>
</cp:coreProperties>
</file>