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CB" w:rsidRDefault="00FE23CB" w:rsidP="00FE23CB">
      <w:pPr>
        <w:pStyle w:val="Heading1"/>
        <w:bidi w:val="0"/>
        <w:jc w:val="center"/>
        <w:rPr>
          <w:rFonts w:ascii="Times New Roman" w:eastAsia="Times New Roman" w:hAnsi="Times New Roman"/>
          <w:color w:val="auto"/>
          <w:sz w:val="32"/>
          <w:szCs w:val="32"/>
          <w:rtl/>
        </w:rPr>
      </w:pPr>
      <w:r>
        <w:rPr>
          <w:rFonts w:ascii="Times New Roman" w:eastAsia="Times New Roman" w:hAnsi="Times New Roman"/>
          <w:color w:val="auto"/>
          <w:sz w:val="32"/>
          <w:szCs w:val="32"/>
        </w:rPr>
        <w:t>Palestinian Central Bureau of Statistics (PCBS)</w:t>
      </w:r>
    </w:p>
    <w:p w:rsidR="00FE23CB" w:rsidRDefault="00FE23CB" w:rsidP="00FE23CB">
      <w:pPr>
        <w:ind w:left="720"/>
        <w:jc w:val="center"/>
        <w:rPr>
          <w:rFonts w:ascii="Times New Roman" w:eastAsiaTheme="minorHAnsi" w:hAnsi="Times New Roman"/>
          <w:b/>
          <w:bCs/>
          <w:sz w:val="32"/>
          <w:szCs w:val="32"/>
          <w:rtl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International Women's Day </w:t>
      </w:r>
    </w:p>
    <w:p w:rsidR="00FE23CB" w:rsidRPr="00FE23CB" w:rsidRDefault="00FE23CB" w:rsidP="00FE23CB">
      <w:pPr>
        <w:tabs>
          <w:tab w:val="left" w:pos="6926"/>
        </w:tabs>
        <w:bidi w:val="0"/>
        <w:ind w:left="72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32"/>
          <w:szCs w:val="32"/>
          <w:rtl/>
        </w:rPr>
        <w:tab/>
      </w:r>
    </w:p>
    <w:p w:rsidR="00FE23CB" w:rsidRDefault="00FE23CB" w:rsidP="00FE23CB">
      <w:pPr>
        <w:autoSpaceDE w:val="0"/>
        <w:autoSpaceDN w:val="0"/>
        <w:bidi w:val="0"/>
        <w:jc w:val="both"/>
        <w:rPr>
          <w:rFonts w:ascii="Times New Roman" w:hAnsi="Times New Roman"/>
          <w:sz w:val="6"/>
          <w:szCs w:val="6"/>
          <w:rtl/>
        </w:rPr>
      </w:pPr>
    </w:p>
    <w:p w:rsidR="00FE23CB" w:rsidRDefault="00FE23CB" w:rsidP="00FE23CB">
      <w:pPr>
        <w:bidi w:val="0"/>
        <w:jc w:val="center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</w:rPr>
        <w:t>Palestinian Central Bureau of Statistics (PCBS), issued a press release on the</w:t>
      </w:r>
    </w:p>
    <w:p w:rsidR="00FE23CB" w:rsidRDefault="00FE23CB" w:rsidP="00FE23CB">
      <w:pPr>
        <w:bidi w:val="0"/>
        <w:jc w:val="center"/>
        <w:rPr>
          <w:rFonts w:ascii="Times New Roman" w:hAnsi="Times New Roman"/>
          <w:b/>
          <w:bCs/>
          <w:sz w:val="28"/>
          <w:szCs w:val="28"/>
          <w:rtl/>
        </w:rPr>
      </w:pPr>
      <w:r w:rsidRPr="00FE23CB">
        <w:rPr>
          <w:rFonts w:asciiTheme="majorBidi" w:hAnsiTheme="majorBidi" w:cstheme="majorBidi"/>
          <w:b/>
          <w:bCs/>
          <w:sz w:val="28"/>
          <w:szCs w:val="28"/>
        </w:rPr>
        <w:t>Eve of the</w:t>
      </w:r>
      <w:r w:rsidRPr="00E054F9">
        <w:rPr>
          <w:rFonts w:asciiTheme="majorBidi" w:hAnsiTheme="majorBidi" w:cstheme="majorBidi"/>
          <w:b/>
          <w:bCs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International Women’s Day on Tuesday, 08/03/2016</w:t>
      </w:r>
    </w:p>
    <w:p w:rsidR="00FE23CB" w:rsidRPr="00C06D0D" w:rsidRDefault="00FE23CB" w:rsidP="00FE23CB">
      <w:pPr>
        <w:pStyle w:val="Heading5"/>
        <w:ind w:left="-71"/>
        <w:jc w:val="right"/>
        <w:rPr>
          <w:rFonts w:asciiTheme="majorBidi" w:hAnsiTheme="majorBidi" w:cstheme="majorBidi"/>
          <w:sz w:val="22"/>
          <w:szCs w:val="22"/>
          <w:u w:val="none"/>
          <w:rtl/>
        </w:rPr>
      </w:pPr>
    </w:p>
    <w:p w:rsidR="00FE23CB" w:rsidRDefault="00FE23CB" w:rsidP="00FE23CB">
      <w:pPr>
        <w:tabs>
          <w:tab w:val="left" w:pos="9071"/>
        </w:tabs>
        <w:bidi w:val="0"/>
        <w:ind w:right="-71"/>
        <w:jc w:val="both"/>
        <w:rPr>
          <w:rFonts w:asciiTheme="majorBidi" w:hAnsiTheme="majorBidi" w:cstheme="majorBidi"/>
          <w:b/>
          <w:bCs/>
        </w:rPr>
      </w:pPr>
    </w:p>
    <w:p w:rsidR="00FE23CB" w:rsidRPr="00FE23CB" w:rsidRDefault="00FE23CB" w:rsidP="00FE23CB">
      <w:pPr>
        <w:tabs>
          <w:tab w:val="left" w:pos="9071"/>
        </w:tabs>
        <w:bidi w:val="0"/>
        <w:ind w:right="-71"/>
        <w:jc w:val="both"/>
        <w:rPr>
          <w:rFonts w:asciiTheme="majorBidi" w:hAnsiTheme="majorBidi" w:cstheme="majorBidi"/>
          <w:b/>
          <w:bCs/>
          <w:noProof/>
          <w:sz w:val="25"/>
          <w:szCs w:val="25"/>
          <w:rtl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</w:rPr>
        <w:t>Women represent half of the Palestinian population</w:t>
      </w:r>
    </w:p>
    <w:p w:rsidR="00FE23CB" w:rsidRPr="00E34A36" w:rsidRDefault="00FE23CB" w:rsidP="00FE23CB">
      <w:pPr>
        <w:bidi w:val="0"/>
        <w:jc w:val="lowKashida"/>
        <w:rPr>
          <w:rFonts w:asciiTheme="majorBidi" w:hAnsiTheme="majorBidi" w:cstheme="majorBidi"/>
          <w:sz w:val="21"/>
          <w:szCs w:val="21"/>
          <w:rtl/>
        </w:rPr>
      </w:pPr>
      <w:r w:rsidRPr="00E34A36">
        <w:rPr>
          <w:rFonts w:asciiTheme="majorBidi" w:hAnsiTheme="majorBidi" w:cstheme="majorBidi"/>
          <w:sz w:val="21"/>
          <w:szCs w:val="21"/>
        </w:rPr>
        <w:t xml:space="preserve">The population in </w:t>
      </w:r>
      <w:r>
        <w:rPr>
          <w:rFonts w:asciiTheme="majorBidi" w:hAnsiTheme="majorBidi" w:cstheme="majorBidi"/>
          <w:sz w:val="21"/>
          <w:szCs w:val="21"/>
        </w:rPr>
        <w:t>P</w:t>
      </w:r>
      <w:r w:rsidRPr="00E34A36">
        <w:rPr>
          <w:rFonts w:asciiTheme="majorBidi" w:hAnsiTheme="majorBidi" w:cstheme="majorBidi"/>
          <w:sz w:val="21"/>
          <w:szCs w:val="21"/>
        </w:rPr>
        <w:t xml:space="preserve">alestine </w:t>
      </w:r>
      <w:r w:rsidRPr="00E054F9">
        <w:rPr>
          <w:rFonts w:asciiTheme="majorBidi" w:hAnsiTheme="majorBidi" w:cstheme="majorBidi"/>
          <w:sz w:val="21"/>
          <w:szCs w:val="21"/>
        </w:rPr>
        <w:t>estimated</w:t>
      </w:r>
      <w:r w:rsidRPr="000415FD">
        <w:rPr>
          <w:rFonts w:cs="Simplified Arabic"/>
        </w:rPr>
        <w:t xml:space="preserve"> </w:t>
      </w:r>
      <w:r w:rsidRPr="00E34A36">
        <w:rPr>
          <w:rFonts w:asciiTheme="majorBidi" w:hAnsiTheme="majorBidi" w:cstheme="majorBidi"/>
          <w:sz w:val="21"/>
          <w:szCs w:val="21"/>
        </w:rPr>
        <w:t xml:space="preserve">4.88 million </w:t>
      </w:r>
      <w:r>
        <w:rPr>
          <w:rFonts w:asciiTheme="majorBidi" w:hAnsiTheme="majorBidi" w:cstheme="majorBidi"/>
          <w:sz w:val="21"/>
          <w:szCs w:val="21"/>
        </w:rPr>
        <w:t xml:space="preserve">at the </w:t>
      </w:r>
      <w:r w:rsidRPr="00E34A36">
        <w:rPr>
          <w:rFonts w:asciiTheme="majorBidi" w:hAnsiTheme="majorBidi" w:cstheme="majorBidi"/>
          <w:sz w:val="21"/>
          <w:szCs w:val="21"/>
        </w:rPr>
        <w:t>end 2016, including 2.48 million males (50.8%) and 2.40 million females (49.2%)</w:t>
      </w:r>
      <w:r>
        <w:rPr>
          <w:rFonts w:asciiTheme="majorBidi" w:hAnsiTheme="majorBidi" w:cstheme="majorBidi"/>
          <w:sz w:val="21"/>
          <w:szCs w:val="21"/>
        </w:rPr>
        <w:t>,</w:t>
      </w:r>
      <w:r w:rsidRPr="00E34A36">
        <w:rPr>
          <w:rFonts w:asciiTheme="majorBidi" w:hAnsiTheme="majorBidi" w:cstheme="majorBidi"/>
          <w:sz w:val="21"/>
          <w:szCs w:val="21"/>
        </w:rPr>
        <w:t xml:space="preserve"> whereas the </w:t>
      </w:r>
      <w:r>
        <w:rPr>
          <w:rFonts w:asciiTheme="majorBidi" w:hAnsiTheme="majorBidi" w:cstheme="majorBidi"/>
          <w:sz w:val="21"/>
          <w:szCs w:val="21"/>
        </w:rPr>
        <w:t>sex</w:t>
      </w:r>
      <w:r w:rsidRPr="00E34A36">
        <w:rPr>
          <w:rFonts w:asciiTheme="majorBidi" w:hAnsiTheme="majorBidi" w:cstheme="majorBidi"/>
          <w:sz w:val="21"/>
          <w:szCs w:val="21"/>
        </w:rPr>
        <w:t xml:space="preserve"> ratio stood at 103.3, which means that there are 103 males for every 100 females</w:t>
      </w:r>
    </w:p>
    <w:p w:rsidR="00FE23CB" w:rsidRPr="00C06D0D" w:rsidRDefault="00FE23CB" w:rsidP="00FE23CB">
      <w:pPr>
        <w:pStyle w:val="Heading3"/>
        <w:jc w:val="lowKashida"/>
        <w:rPr>
          <w:rFonts w:asciiTheme="majorBidi" w:eastAsia="Calibri" w:hAnsiTheme="majorBidi" w:cstheme="majorBidi"/>
          <w:sz w:val="14"/>
          <w:szCs w:val="14"/>
          <w:lang w:eastAsia="en-US"/>
        </w:rPr>
      </w:pPr>
      <w:bookmarkStart w:id="0" w:name="OLE_LINK2"/>
    </w:p>
    <w:tbl>
      <w:tblPr>
        <w:bidiVisual/>
        <w:tblW w:w="0" w:type="auto"/>
        <w:jc w:val="center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830"/>
        <w:gridCol w:w="1417"/>
        <w:gridCol w:w="1214"/>
        <w:gridCol w:w="1490"/>
      </w:tblGrid>
      <w:tr w:rsidR="00FE23CB" w:rsidRPr="00FE23CB" w:rsidTr="00A8312C">
        <w:trPr>
          <w:trHeight w:val="80"/>
          <w:jc w:val="center"/>
        </w:trPr>
        <w:tc>
          <w:tcPr>
            <w:tcW w:w="1830" w:type="dxa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23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Both genders</w:t>
            </w:r>
          </w:p>
        </w:tc>
        <w:tc>
          <w:tcPr>
            <w:tcW w:w="1417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Female</w:t>
            </w:r>
          </w:p>
        </w:tc>
        <w:tc>
          <w:tcPr>
            <w:tcW w:w="1214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Male</w:t>
            </w:r>
          </w:p>
        </w:tc>
        <w:tc>
          <w:tcPr>
            <w:tcW w:w="1490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Region</w:t>
            </w:r>
          </w:p>
        </w:tc>
      </w:tr>
      <w:tr w:rsidR="00FE23CB" w:rsidRPr="00FE23CB" w:rsidTr="00A8312C">
        <w:trPr>
          <w:trHeight w:val="80"/>
          <w:jc w:val="center"/>
        </w:trPr>
        <w:tc>
          <w:tcPr>
            <w:tcW w:w="1830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4,884,336</w:t>
            </w:r>
          </w:p>
        </w:tc>
        <w:tc>
          <w:tcPr>
            <w:tcW w:w="1417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2,402,102</w:t>
            </w:r>
          </w:p>
        </w:tc>
        <w:tc>
          <w:tcPr>
            <w:tcW w:w="1214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2,482,234</w:t>
            </w:r>
          </w:p>
        </w:tc>
        <w:tc>
          <w:tcPr>
            <w:tcW w:w="1490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Palestine</w:t>
            </w:r>
          </w:p>
        </w:tc>
      </w:tr>
      <w:tr w:rsidR="00FE23CB" w:rsidRPr="00FE23CB" w:rsidTr="00A8312C">
        <w:trPr>
          <w:trHeight w:val="80"/>
          <w:jc w:val="center"/>
        </w:trPr>
        <w:tc>
          <w:tcPr>
            <w:tcW w:w="1830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sz w:val="24"/>
                <w:szCs w:val="24"/>
                <w:lang w:val="en-IE"/>
              </w:rPr>
              <w:t>2,972,069</w:t>
            </w:r>
          </w:p>
        </w:tc>
        <w:tc>
          <w:tcPr>
            <w:tcW w:w="1417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sz w:val="24"/>
                <w:szCs w:val="24"/>
                <w:lang w:val="en-IE"/>
              </w:rPr>
              <w:t>1,461,692</w:t>
            </w:r>
          </w:p>
        </w:tc>
        <w:tc>
          <w:tcPr>
            <w:tcW w:w="1214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sz w:val="24"/>
                <w:szCs w:val="24"/>
                <w:lang w:val="en-IE"/>
              </w:rPr>
              <w:t>1,510,377</w:t>
            </w:r>
          </w:p>
        </w:tc>
        <w:tc>
          <w:tcPr>
            <w:tcW w:w="1490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sz w:val="24"/>
                <w:szCs w:val="24"/>
                <w:lang w:val="en-IE"/>
              </w:rPr>
              <w:t>West Bank</w:t>
            </w:r>
          </w:p>
        </w:tc>
      </w:tr>
      <w:tr w:rsidR="00FE23CB" w:rsidRPr="00FE23CB" w:rsidTr="00A8312C">
        <w:trPr>
          <w:trHeight w:val="80"/>
          <w:jc w:val="center"/>
        </w:trPr>
        <w:tc>
          <w:tcPr>
            <w:tcW w:w="1830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sz w:val="24"/>
                <w:szCs w:val="24"/>
                <w:lang w:val="en-IE"/>
              </w:rPr>
              <w:t>1,912, 267</w:t>
            </w:r>
          </w:p>
        </w:tc>
        <w:tc>
          <w:tcPr>
            <w:tcW w:w="1417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sz w:val="24"/>
                <w:szCs w:val="24"/>
                <w:lang w:val="en-IE"/>
              </w:rPr>
              <w:t>940,410</w:t>
            </w:r>
          </w:p>
        </w:tc>
        <w:tc>
          <w:tcPr>
            <w:tcW w:w="1214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sz w:val="24"/>
                <w:szCs w:val="24"/>
                <w:lang w:val="en-IE"/>
              </w:rPr>
              <w:t>971,857</w:t>
            </w:r>
          </w:p>
        </w:tc>
        <w:tc>
          <w:tcPr>
            <w:tcW w:w="1490" w:type="dxa"/>
            <w:vAlign w:val="center"/>
          </w:tcPr>
          <w:p w:rsidR="00FE23CB" w:rsidRPr="00FE23CB" w:rsidRDefault="00FE23CB" w:rsidP="008A4C1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IE"/>
              </w:rPr>
            </w:pPr>
            <w:r w:rsidRPr="00FE23CB">
              <w:rPr>
                <w:rFonts w:asciiTheme="majorBidi" w:hAnsiTheme="majorBidi" w:cstheme="majorBidi"/>
                <w:sz w:val="24"/>
                <w:szCs w:val="24"/>
                <w:lang w:val="en-IE"/>
              </w:rPr>
              <w:t>Gaza Strip</w:t>
            </w:r>
          </w:p>
        </w:tc>
      </w:tr>
    </w:tbl>
    <w:p w:rsidR="00FE23CB" w:rsidRPr="00E34A36" w:rsidRDefault="00FE23CB" w:rsidP="00FE23CB">
      <w:pPr>
        <w:bidi w:val="0"/>
        <w:rPr>
          <w:rFonts w:asciiTheme="majorBidi" w:hAnsiTheme="majorBidi" w:cstheme="majorBidi"/>
          <w:sz w:val="21"/>
          <w:szCs w:val="21"/>
          <w:rtl/>
        </w:rPr>
      </w:pPr>
    </w:p>
    <w:p w:rsidR="00FE23CB" w:rsidRPr="00FE23CB" w:rsidRDefault="00FE23CB" w:rsidP="00FE23CB">
      <w:pPr>
        <w:bidi w:val="0"/>
        <w:jc w:val="both"/>
        <w:rPr>
          <w:rFonts w:asciiTheme="majorBidi" w:hAnsiTheme="majorBidi" w:cstheme="majorBidi"/>
          <w:b/>
          <w:bCs/>
          <w:sz w:val="25"/>
          <w:szCs w:val="25"/>
          <w:rtl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</w:rPr>
        <w:t xml:space="preserve">The percentage of female-headed households </w:t>
      </w:r>
    </w:p>
    <w:p w:rsidR="00FE23CB" w:rsidRPr="00E34A36" w:rsidRDefault="00FE23CB" w:rsidP="00FE23CB">
      <w:pPr>
        <w:bidi w:val="0"/>
        <w:jc w:val="lowKashida"/>
        <w:rPr>
          <w:rFonts w:asciiTheme="majorBidi" w:hAnsiTheme="majorBidi" w:cstheme="majorBidi"/>
          <w:sz w:val="21"/>
          <w:szCs w:val="21"/>
          <w:rtl/>
        </w:rPr>
      </w:pPr>
      <w:r w:rsidRPr="00E34A36">
        <w:rPr>
          <w:rFonts w:asciiTheme="majorBidi" w:hAnsiTheme="majorBidi" w:cstheme="majorBidi"/>
          <w:sz w:val="21"/>
          <w:szCs w:val="21"/>
        </w:rPr>
        <w:t xml:space="preserve">The </w:t>
      </w:r>
      <w:r w:rsidRPr="00E054F9">
        <w:rPr>
          <w:rFonts w:asciiTheme="majorBidi" w:hAnsiTheme="majorBidi" w:cstheme="majorBidi"/>
          <w:sz w:val="21"/>
          <w:szCs w:val="21"/>
        </w:rPr>
        <w:t xml:space="preserve">percentage </w:t>
      </w:r>
      <w:r w:rsidRPr="00E34A36">
        <w:rPr>
          <w:rFonts w:asciiTheme="majorBidi" w:hAnsiTheme="majorBidi" w:cstheme="majorBidi"/>
          <w:sz w:val="21"/>
          <w:szCs w:val="21"/>
        </w:rPr>
        <w:t xml:space="preserve">of female-headed households in Palestine </w:t>
      </w:r>
      <w:r>
        <w:rPr>
          <w:rFonts w:asciiTheme="majorBidi" w:hAnsiTheme="majorBidi" w:cstheme="majorBidi"/>
          <w:sz w:val="21"/>
          <w:szCs w:val="21"/>
        </w:rPr>
        <w:t xml:space="preserve">was 11.0% in </w:t>
      </w:r>
      <w:r w:rsidRPr="00E34A36">
        <w:rPr>
          <w:rFonts w:asciiTheme="majorBidi" w:hAnsiTheme="majorBidi" w:cstheme="majorBidi"/>
          <w:sz w:val="21"/>
          <w:szCs w:val="21"/>
        </w:rPr>
        <w:t>2016, 12.1% in the West Bank and 9.0% in Gaza Strip.</w:t>
      </w:r>
    </w:p>
    <w:p w:rsidR="00FE23CB" w:rsidRPr="00FE23CB" w:rsidRDefault="00FE23CB" w:rsidP="00FE23CB">
      <w:pPr>
        <w:pStyle w:val="BodyText"/>
        <w:widowControl w:val="0"/>
        <w:jc w:val="right"/>
        <w:rPr>
          <w:rFonts w:asciiTheme="majorBidi" w:hAnsiTheme="majorBidi" w:cstheme="majorBidi"/>
          <w:sz w:val="16"/>
          <w:szCs w:val="16"/>
          <w:rtl/>
        </w:rPr>
      </w:pPr>
    </w:p>
    <w:p w:rsidR="00FE23CB" w:rsidRPr="00FE23CB" w:rsidRDefault="00FE23CB" w:rsidP="00FE23CB">
      <w:pPr>
        <w:bidi w:val="0"/>
        <w:jc w:val="both"/>
        <w:rPr>
          <w:rFonts w:asciiTheme="majorBidi" w:hAnsiTheme="majorBidi" w:cstheme="majorBidi"/>
          <w:b/>
          <w:bCs/>
          <w:sz w:val="25"/>
          <w:szCs w:val="25"/>
          <w:rtl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</w:rPr>
        <w:t>One fifth of the persons (21.4%) got married at an early age (less than 18 years)</w:t>
      </w:r>
    </w:p>
    <w:p w:rsidR="00FE23CB" w:rsidRPr="00E34A36" w:rsidRDefault="00FE23CB" w:rsidP="00FE23CB">
      <w:pPr>
        <w:pStyle w:val="BodyText"/>
        <w:widowControl w:val="0"/>
        <w:bidi w:val="0"/>
        <w:jc w:val="both"/>
        <w:rPr>
          <w:rFonts w:asciiTheme="majorBidi" w:hAnsiTheme="majorBidi" w:cstheme="majorBidi"/>
          <w:sz w:val="21"/>
          <w:szCs w:val="21"/>
        </w:rPr>
      </w:pPr>
      <w:r w:rsidRPr="00E34A36">
        <w:rPr>
          <w:rFonts w:asciiTheme="majorBidi" w:hAnsiTheme="majorBidi" w:cstheme="majorBidi"/>
          <w:sz w:val="21"/>
          <w:szCs w:val="21"/>
        </w:rPr>
        <w:t>Early marriage reached</w:t>
      </w:r>
      <w:r>
        <w:rPr>
          <w:rFonts w:asciiTheme="majorBidi" w:hAnsiTheme="majorBidi" w:cstheme="majorBidi"/>
          <w:sz w:val="21"/>
          <w:szCs w:val="21"/>
        </w:rPr>
        <w:t xml:space="preserve"> to</w:t>
      </w:r>
      <w:r w:rsidRPr="00E34A36">
        <w:rPr>
          <w:rFonts w:asciiTheme="majorBidi" w:hAnsiTheme="majorBidi" w:cstheme="majorBidi"/>
          <w:sz w:val="21"/>
          <w:szCs w:val="21"/>
        </w:rPr>
        <w:t xml:space="preserve"> 20.3% among females and 1.1% among males of the total married population in Palestine; the rate was 19.7% </w:t>
      </w:r>
      <w:r>
        <w:rPr>
          <w:rFonts w:asciiTheme="majorBidi" w:hAnsiTheme="majorBidi" w:cstheme="majorBidi"/>
          <w:sz w:val="21"/>
          <w:szCs w:val="21"/>
        </w:rPr>
        <w:t>out</w:t>
      </w:r>
      <w:r w:rsidRPr="00E34A36">
        <w:rPr>
          <w:rFonts w:asciiTheme="majorBidi" w:hAnsiTheme="majorBidi" w:cstheme="majorBidi"/>
          <w:sz w:val="21"/>
          <w:szCs w:val="21"/>
        </w:rPr>
        <w:t xml:space="preserve"> of the total married population in West Bank and 23.7% </w:t>
      </w:r>
      <w:r>
        <w:rPr>
          <w:rFonts w:asciiTheme="majorBidi" w:hAnsiTheme="majorBidi" w:cstheme="majorBidi"/>
          <w:sz w:val="21"/>
          <w:szCs w:val="21"/>
        </w:rPr>
        <w:t>out</w:t>
      </w:r>
      <w:r w:rsidRPr="00E34A36">
        <w:rPr>
          <w:rFonts w:asciiTheme="majorBidi" w:hAnsiTheme="majorBidi" w:cstheme="majorBidi"/>
          <w:sz w:val="21"/>
          <w:szCs w:val="21"/>
        </w:rPr>
        <w:t xml:space="preserve"> of the total married population in Gaza Strip end 2015.</w:t>
      </w:r>
    </w:p>
    <w:p w:rsidR="00FE23CB" w:rsidRPr="00FE23CB" w:rsidRDefault="00FE23CB" w:rsidP="00FE23CB">
      <w:pPr>
        <w:pStyle w:val="BodyText"/>
        <w:widowControl w:val="0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FE23CB" w:rsidRPr="00E34A36" w:rsidRDefault="00FE23CB" w:rsidP="00FE23CB">
      <w:pPr>
        <w:pStyle w:val="BodyText"/>
        <w:widowControl w:val="0"/>
        <w:bidi w:val="0"/>
        <w:jc w:val="both"/>
        <w:rPr>
          <w:rFonts w:asciiTheme="majorBidi" w:hAnsiTheme="majorBidi" w:cstheme="majorBidi"/>
          <w:sz w:val="21"/>
          <w:szCs w:val="21"/>
          <w:rtl/>
        </w:rPr>
      </w:pPr>
      <w:r>
        <w:rPr>
          <w:rFonts w:asciiTheme="majorBidi" w:hAnsiTheme="majorBidi" w:cstheme="majorBidi"/>
          <w:sz w:val="21"/>
          <w:szCs w:val="21"/>
        </w:rPr>
        <w:t>T</w:t>
      </w:r>
      <w:r w:rsidRPr="00E34A36">
        <w:rPr>
          <w:rFonts w:asciiTheme="majorBidi" w:hAnsiTheme="majorBidi" w:cstheme="majorBidi"/>
          <w:sz w:val="21"/>
          <w:szCs w:val="21"/>
        </w:rPr>
        <w:t xml:space="preserve">he highest rate of female early marriage in the West Bank was in Hebron 36.2%, and the lowest was in Jericho and the Jordan Valley 1.3% </w:t>
      </w:r>
      <w:r>
        <w:rPr>
          <w:rFonts w:asciiTheme="majorBidi" w:hAnsiTheme="majorBidi" w:cstheme="majorBidi"/>
          <w:sz w:val="21"/>
          <w:szCs w:val="21"/>
        </w:rPr>
        <w:t xml:space="preserve">out </w:t>
      </w:r>
      <w:r w:rsidRPr="00E34A36">
        <w:rPr>
          <w:rFonts w:asciiTheme="majorBidi" w:hAnsiTheme="majorBidi" w:cstheme="majorBidi"/>
          <w:sz w:val="21"/>
          <w:szCs w:val="21"/>
        </w:rPr>
        <w:t>of the total number of women marriage below 18 years</w:t>
      </w:r>
      <w:r>
        <w:rPr>
          <w:rFonts w:asciiTheme="majorBidi" w:hAnsiTheme="majorBidi" w:cstheme="majorBidi"/>
          <w:sz w:val="21"/>
          <w:szCs w:val="21"/>
        </w:rPr>
        <w:t xml:space="preserve"> in the West Bank</w:t>
      </w:r>
      <w:r w:rsidRPr="00E34A36">
        <w:rPr>
          <w:rFonts w:asciiTheme="majorBidi" w:hAnsiTheme="majorBidi" w:cstheme="majorBidi"/>
          <w:sz w:val="21"/>
          <w:szCs w:val="21"/>
        </w:rPr>
        <w:t>. In Gaza Strip, the highest rate of early female marriage was 40.8% in Gaza Governorate, while the lowest rate was in Dier Al-Balah 6.9%</w:t>
      </w:r>
      <w:r>
        <w:rPr>
          <w:rFonts w:asciiTheme="majorBidi" w:hAnsiTheme="majorBidi" w:cstheme="majorBidi"/>
          <w:sz w:val="21"/>
          <w:szCs w:val="21"/>
        </w:rPr>
        <w:t xml:space="preserve"> out</w:t>
      </w:r>
      <w:r w:rsidRPr="00E34A36">
        <w:rPr>
          <w:rFonts w:asciiTheme="majorBidi" w:hAnsiTheme="majorBidi" w:cstheme="majorBidi"/>
          <w:sz w:val="21"/>
          <w:szCs w:val="21"/>
        </w:rPr>
        <w:t xml:space="preserve"> of the total number of women marriage below 18 years</w:t>
      </w:r>
      <w:r>
        <w:rPr>
          <w:rFonts w:asciiTheme="majorBidi" w:hAnsiTheme="majorBidi" w:cstheme="majorBidi"/>
          <w:sz w:val="21"/>
          <w:szCs w:val="21"/>
        </w:rPr>
        <w:t xml:space="preserve"> in </w:t>
      </w:r>
      <w:r w:rsidRPr="00E34A36">
        <w:rPr>
          <w:rFonts w:asciiTheme="majorBidi" w:hAnsiTheme="majorBidi" w:cstheme="majorBidi"/>
          <w:sz w:val="21"/>
          <w:szCs w:val="21"/>
        </w:rPr>
        <w:t>Gaza Strip.</w:t>
      </w:r>
    </w:p>
    <w:p w:rsidR="00FE23CB" w:rsidRPr="00FE23CB" w:rsidRDefault="00FE23CB" w:rsidP="00FE23CB">
      <w:pPr>
        <w:pStyle w:val="BodyText"/>
        <w:widowControl w:val="0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FE23CB" w:rsidRPr="00FE23CB" w:rsidRDefault="00FE23CB" w:rsidP="00FE23CB">
      <w:pPr>
        <w:bidi w:val="0"/>
        <w:jc w:val="both"/>
        <w:rPr>
          <w:rFonts w:asciiTheme="majorBidi" w:hAnsiTheme="majorBidi" w:cstheme="majorBidi"/>
          <w:b/>
          <w:bCs/>
          <w:sz w:val="25"/>
          <w:szCs w:val="25"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</w:rPr>
        <w:t>About 62% of females aged 18 years and above are married</w:t>
      </w:r>
    </w:p>
    <w:p w:rsidR="00FE23CB" w:rsidRPr="00E34A36" w:rsidRDefault="00FE23CB" w:rsidP="00FE23CB">
      <w:pPr>
        <w:pStyle w:val="BodyText"/>
        <w:bidi w:val="0"/>
        <w:jc w:val="both"/>
        <w:rPr>
          <w:rFonts w:asciiTheme="majorBidi" w:eastAsia="Calibri" w:hAnsiTheme="majorBidi" w:cstheme="majorBidi"/>
          <w:sz w:val="21"/>
          <w:szCs w:val="21"/>
          <w:lang w:eastAsia="en-US"/>
        </w:rPr>
      </w:pPr>
      <w:r w:rsidRPr="00E34A36">
        <w:rPr>
          <w:rFonts w:asciiTheme="majorBidi" w:eastAsia="Calibri" w:hAnsiTheme="majorBidi" w:cstheme="majorBidi"/>
          <w:sz w:val="21"/>
          <w:szCs w:val="21"/>
          <w:lang w:eastAsia="en-US"/>
        </w:rPr>
        <w:t>Married females represented 62.3% of the total female population aged 18 and above in 2016; 26.4% have not been married before, 6.6% were widows, 2.0% divorced and the percentage of females engaged for the first time represented 2.7%.</w:t>
      </w:r>
    </w:p>
    <w:p w:rsidR="00FE23CB" w:rsidRPr="00FE23CB" w:rsidRDefault="00FE23CB" w:rsidP="00FE23CB">
      <w:pPr>
        <w:pStyle w:val="BodyText"/>
        <w:widowControl w:val="0"/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FE23CB" w:rsidRPr="00FE23CB" w:rsidRDefault="00FE23CB" w:rsidP="00FE23CB">
      <w:pPr>
        <w:pStyle w:val="BodyText"/>
        <w:widowControl w:val="0"/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</w:p>
    <w:bookmarkEnd w:id="0"/>
    <w:p w:rsidR="00FE23CB" w:rsidRDefault="00FE23CB" w:rsidP="00FE23CB">
      <w:pPr>
        <w:bidi w:val="0"/>
        <w:jc w:val="center"/>
        <w:rPr>
          <w:rFonts w:asciiTheme="majorBidi" w:hAnsiTheme="majorBidi" w:cstheme="majorBidi"/>
          <w:b/>
          <w:bCs/>
          <w:sz w:val="25"/>
          <w:szCs w:val="25"/>
          <w:lang w:eastAsia="ar-SA"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  <w:lang w:eastAsia="ar-SA"/>
        </w:rPr>
        <w:t>Literacy rates for men and women population aged 15 years and above, 2001-2016</w:t>
      </w:r>
    </w:p>
    <w:p w:rsidR="00FE23CB" w:rsidRPr="00FE23CB" w:rsidRDefault="00FE23CB" w:rsidP="00FE23CB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eastAsia="ar-SA"/>
        </w:rPr>
      </w:pPr>
    </w:p>
    <w:p w:rsidR="00FE23CB" w:rsidRPr="00E34A36" w:rsidRDefault="00FE23CB" w:rsidP="00FE23CB">
      <w:pPr>
        <w:tabs>
          <w:tab w:val="left" w:pos="-72"/>
          <w:tab w:val="left" w:pos="6330"/>
        </w:tabs>
        <w:ind w:left="70" w:right="-142" w:hanging="142"/>
        <w:jc w:val="center"/>
        <w:rPr>
          <w:rFonts w:asciiTheme="majorBidi" w:eastAsia="Times New Roman" w:hAnsiTheme="majorBidi" w:cstheme="majorBidi"/>
          <w:sz w:val="21"/>
          <w:szCs w:val="21"/>
          <w:rtl/>
          <w:lang w:eastAsia="ar-SA"/>
        </w:rPr>
      </w:pPr>
      <w:r w:rsidRPr="00FE23CB">
        <w:rPr>
          <w:rFonts w:asciiTheme="majorBidi" w:hAnsiTheme="majorBidi" w:cstheme="majorBidi"/>
          <w:b/>
          <w:bCs/>
          <w:noProof/>
          <w:sz w:val="21"/>
          <w:szCs w:val="21"/>
          <w:bdr w:val="single" w:sz="8" w:space="0" w:color="000000"/>
        </w:rPr>
        <w:drawing>
          <wp:inline distT="0" distB="0" distL="0" distR="0">
            <wp:extent cx="4914900" cy="1714500"/>
            <wp:effectExtent l="0" t="0" r="0" b="0"/>
            <wp:docPr id="1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23CB" w:rsidRPr="00AE58CF" w:rsidRDefault="00FE23CB" w:rsidP="00FE23CB">
      <w:pPr>
        <w:pStyle w:val="Heading3"/>
        <w:jc w:val="lowKashida"/>
        <w:rPr>
          <w:rFonts w:asciiTheme="majorBidi" w:eastAsia="Calibri" w:hAnsiTheme="majorBidi" w:cstheme="majorBidi"/>
          <w:sz w:val="8"/>
          <w:szCs w:val="8"/>
          <w:rtl/>
          <w:lang w:eastAsia="en-US"/>
        </w:rPr>
      </w:pPr>
    </w:p>
    <w:p w:rsidR="00FE23CB" w:rsidRPr="00FE23CB" w:rsidRDefault="00FE23CB" w:rsidP="00FE23CB">
      <w:pPr>
        <w:bidi w:val="0"/>
        <w:jc w:val="lowKashida"/>
        <w:textAlignment w:val="top"/>
        <w:rPr>
          <w:rFonts w:asciiTheme="majorBidi" w:hAnsiTheme="majorBidi" w:cstheme="majorBidi"/>
          <w:b/>
          <w:bCs/>
          <w:sz w:val="16"/>
          <w:szCs w:val="16"/>
        </w:rPr>
      </w:pPr>
    </w:p>
    <w:p w:rsidR="00FE23CB" w:rsidRPr="00FE23CB" w:rsidRDefault="00FE23CB" w:rsidP="00FE23CB">
      <w:pPr>
        <w:bidi w:val="0"/>
        <w:jc w:val="lowKashida"/>
        <w:textAlignment w:val="top"/>
        <w:rPr>
          <w:rFonts w:asciiTheme="majorBidi" w:hAnsiTheme="majorBidi" w:cstheme="majorBidi"/>
          <w:b/>
          <w:bCs/>
          <w:sz w:val="25"/>
          <w:szCs w:val="25"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</w:rPr>
        <w:t>A continued rise in literacy among women</w:t>
      </w:r>
    </w:p>
    <w:p w:rsidR="00FE23CB" w:rsidRPr="00E34A36" w:rsidRDefault="00FE23CB" w:rsidP="00FE23CB">
      <w:pPr>
        <w:bidi w:val="0"/>
        <w:jc w:val="both"/>
        <w:rPr>
          <w:rFonts w:asciiTheme="majorBidi" w:hAnsiTheme="majorBidi" w:cstheme="majorBidi"/>
          <w:sz w:val="21"/>
          <w:szCs w:val="21"/>
          <w:rtl/>
        </w:rPr>
      </w:pPr>
      <w:r w:rsidRPr="00E34A36">
        <w:rPr>
          <w:rFonts w:asciiTheme="majorBidi" w:hAnsiTheme="majorBidi" w:cstheme="majorBidi"/>
          <w:sz w:val="21"/>
          <w:szCs w:val="21"/>
        </w:rPr>
        <w:t>Despite the rise in literacy rates among females over the last decade, the gap is still in favor of males by 3.4</w:t>
      </w:r>
      <w:r>
        <w:rPr>
          <w:rFonts w:asciiTheme="majorBidi" w:hAnsiTheme="majorBidi" w:cstheme="majorBidi"/>
          <w:sz w:val="21"/>
          <w:szCs w:val="21"/>
        </w:rPr>
        <w:t>%</w:t>
      </w:r>
      <w:r w:rsidRPr="00E34A36">
        <w:rPr>
          <w:rFonts w:asciiTheme="majorBidi" w:hAnsiTheme="majorBidi" w:cstheme="majorBidi"/>
          <w:sz w:val="21"/>
          <w:szCs w:val="21"/>
        </w:rPr>
        <w:t>,</w:t>
      </w:r>
      <w:r>
        <w:rPr>
          <w:rFonts w:asciiTheme="majorBidi" w:hAnsiTheme="majorBidi" w:cstheme="majorBidi"/>
          <w:sz w:val="21"/>
          <w:szCs w:val="21"/>
        </w:rPr>
        <w:t xml:space="preserve"> f</w:t>
      </w:r>
      <w:r w:rsidRPr="00E34A36">
        <w:rPr>
          <w:rFonts w:asciiTheme="majorBidi" w:hAnsiTheme="majorBidi" w:cstheme="majorBidi"/>
          <w:sz w:val="21"/>
          <w:szCs w:val="21"/>
        </w:rPr>
        <w:t xml:space="preserve">emale </w:t>
      </w:r>
      <w:r>
        <w:rPr>
          <w:rFonts w:asciiTheme="majorBidi" w:hAnsiTheme="majorBidi" w:cstheme="majorBidi"/>
          <w:sz w:val="21"/>
          <w:szCs w:val="21"/>
        </w:rPr>
        <w:t>l</w:t>
      </w:r>
      <w:r w:rsidRPr="00E34A36">
        <w:rPr>
          <w:rFonts w:asciiTheme="majorBidi" w:hAnsiTheme="majorBidi" w:cstheme="majorBidi"/>
          <w:sz w:val="21"/>
          <w:szCs w:val="21"/>
        </w:rPr>
        <w:t xml:space="preserve">iteracy rates </w:t>
      </w:r>
      <w:r>
        <w:rPr>
          <w:rFonts w:asciiTheme="majorBidi" w:hAnsiTheme="majorBidi" w:cstheme="majorBidi"/>
          <w:sz w:val="21"/>
          <w:szCs w:val="21"/>
        </w:rPr>
        <w:t xml:space="preserve">was </w:t>
      </w:r>
      <w:r w:rsidRPr="00E34A36">
        <w:rPr>
          <w:rFonts w:asciiTheme="majorBidi" w:hAnsiTheme="majorBidi" w:cstheme="majorBidi"/>
          <w:sz w:val="21"/>
          <w:szCs w:val="21"/>
        </w:rPr>
        <w:t>95.2% compared to 98.6% for male literacy in the year 2016.</w:t>
      </w:r>
    </w:p>
    <w:p w:rsidR="00FE23CB" w:rsidRDefault="00FE23CB" w:rsidP="00FE23CB">
      <w:pPr>
        <w:pStyle w:val="Heading3"/>
        <w:jc w:val="center"/>
        <w:rPr>
          <w:rFonts w:asciiTheme="majorBidi" w:hAnsiTheme="majorBidi" w:cstheme="majorBidi"/>
          <w:sz w:val="21"/>
          <w:szCs w:val="21"/>
          <w:rtl/>
        </w:rPr>
      </w:pPr>
    </w:p>
    <w:p w:rsidR="00FE23CB" w:rsidRDefault="00FE23CB" w:rsidP="00FE23CB">
      <w:pPr>
        <w:rPr>
          <w:rtl/>
          <w:lang w:eastAsia="ar-SA"/>
        </w:rPr>
      </w:pPr>
    </w:p>
    <w:p w:rsidR="00FE23CB" w:rsidRDefault="00FE23CB" w:rsidP="00FE23CB">
      <w:pPr>
        <w:rPr>
          <w:rtl/>
          <w:lang w:eastAsia="ar-SA"/>
        </w:rPr>
      </w:pPr>
    </w:p>
    <w:p w:rsidR="00FE23CB" w:rsidRDefault="00FE23CB" w:rsidP="00FE23CB">
      <w:pPr>
        <w:bidi w:val="0"/>
        <w:jc w:val="center"/>
        <w:rPr>
          <w:rFonts w:asciiTheme="majorBidi" w:hAnsiTheme="majorBidi" w:cstheme="majorBidi"/>
          <w:b/>
          <w:bCs/>
          <w:sz w:val="25"/>
          <w:szCs w:val="25"/>
          <w:lang w:eastAsia="ar-SA"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  <w:lang w:eastAsia="ar-SA"/>
        </w:rPr>
        <w:t xml:space="preserve">Gross enrollment rates in high schools by sex for the </w:t>
      </w:r>
      <w:r w:rsidRPr="00FE23CB">
        <w:rPr>
          <w:rFonts w:asciiTheme="majorBidi" w:hAnsiTheme="majorBidi" w:cstheme="majorBidi"/>
          <w:b/>
          <w:bCs/>
          <w:sz w:val="25"/>
          <w:szCs w:val="25"/>
          <w:lang w:val="en-IE" w:eastAsia="ar-SA"/>
        </w:rPr>
        <w:t>s</w:t>
      </w:r>
      <w:r w:rsidRPr="00FE23CB">
        <w:rPr>
          <w:rFonts w:asciiTheme="majorBidi" w:hAnsiTheme="majorBidi" w:cstheme="majorBidi"/>
          <w:b/>
          <w:bCs/>
          <w:sz w:val="25"/>
          <w:szCs w:val="25"/>
          <w:lang w:eastAsia="ar-SA"/>
        </w:rPr>
        <w:t>cholastic years</w:t>
      </w:r>
    </w:p>
    <w:p w:rsidR="00FE23CB" w:rsidRDefault="00FE23CB" w:rsidP="00FE23CB">
      <w:pPr>
        <w:bidi w:val="0"/>
        <w:jc w:val="center"/>
        <w:rPr>
          <w:rFonts w:asciiTheme="majorBidi" w:hAnsiTheme="majorBidi" w:cstheme="majorBidi"/>
          <w:b/>
          <w:bCs/>
          <w:sz w:val="25"/>
          <w:szCs w:val="25"/>
          <w:lang w:eastAsia="ar-SA"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  <w:lang w:eastAsia="ar-SA"/>
        </w:rPr>
        <w:t xml:space="preserve"> (2009/2010 – 2015/2016)</w:t>
      </w:r>
    </w:p>
    <w:p w:rsidR="00FE23CB" w:rsidRPr="00FE23CB" w:rsidRDefault="00FE23CB" w:rsidP="00FE23CB">
      <w:pPr>
        <w:tabs>
          <w:tab w:val="left" w:pos="4410"/>
        </w:tabs>
        <w:bidi w:val="0"/>
        <w:rPr>
          <w:rFonts w:asciiTheme="majorBidi" w:hAnsiTheme="majorBidi" w:cstheme="majorBidi"/>
          <w:b/>
          <w:bCs/>
          <w:sz w:val="16"/>
          <w:szCs w:val="16"/>
          <w:rtl/>
          <w:lang w:eastAsia="ar-SA"/>
        </w:rPr>
      </w:pPr>
      <w:r>
        <w:rPr>
          <w:rFonts w:asciiTheme="majorBidi" w:hAnsiTheme="majorBidi" w:cstheme="majorBidi"/>
          <w:b/>
          <w:bCs/>
          <w:sz w:val="25"/>
          <w:szCs w:val="25"/>
          <w:lang w:eastAsia="ar-SA"/>
        </w:rPr>
        <w:tab/>
      </w:r>
    </w:p>
    <w:p w:rsidR="00FE23CB" w:rsidRPr="00E34A36" w:rsidRDefault="00FE23CB" w:rsidP="00FE23CB">
      <w:pPr>
        <w:pStyle w:val="Heading3"/>
        <w:jc w:val="center"/>
        <w:rPr>
          <w:rFonts w:asciiTheme="majorBidi" w:eastAsia="Calibri" w:hAnsiTheme="majorBidi" w:cstheme="majorBidi"/>
          <w:sz w:val="21"/>
          <w:szCs w:val="21"/>
          <w:rtl/>
          <w:lang w:eastAsia="en-US"/>
        </w:rPr>
      </w:pPr>
      <w:r w:rsidRPr="00FE23CB">
        <w:rPr>
          <w:rFonts w:asciiTheme="majorBidi" w:eastAsia="Calibri" w:hAnsiTheme="majorBidi" w:cstheme="majorBidi"/>
          <w:noProof/>
          <w:sz w:val="21"/>
          <w:szCs w:val="21"/>
          <w:bdr w:val="single" w:sz="8" w:space="0" w:color="000000"/>
          <w:rtl/>
          <w:lang w:eastAsia="en-US"/>
        </w:rPr>
        <w:drawing>
          <wp:inline distT="0" distB="0" distL="0" distR="0">
            <wp:extent cx="4772025" cy="1905000"/>
            <wp:effectExtent l="19050" t="0" r="9525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23CB" w:rsidRDefault="00FE23CB" w:rsidP="00FE23CB">
      <w:pPr>
        <w:bidi w:val="0"/>
        <w:jc w:val="both"/>
        <w:rPr>
          <w:rFonts w:asciiTheme="majorBidi" w:hAnsiTheme="majorBidi" w:cstheme="majorBidi"/>
          <w:b/>
          <w:bCs/>
          <w:sz w:val="25"/>
          <w:szCs w:val="25"/>
        </w:rPr>
      </w:pPr>
    </w:p>
    <w:p w:rsidR="00FE23CB" w:rsidRPr="00FE23CB" w:rsidRDefault="00FE23CB" w:rsidP="00FE23CB">
      <w:pPr>
        <w:bidi w:val="0"/>
        <w:jc w:val="both"/>
        <w:rPr>
          <w:rFonts w:asciiTheme="majorBidi" w:hAnsiTheme="majorBidi" w:cstheme="majorBidi"/>
          <w:b/>
          <w:bCs/>
          <w:sz w:val="25"/>
          <w:szCs w:val="25"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</w:rPr>
        <w:t>Rise in enrollment rate of females in high schools compared to males</w:t>
      </w:r>
    </w:p>
    <w:p w:rsidR="00FE23CB" w:rsidRPr="00E34A36" w:rsidRDefault="00FE23CB" w:rsidP="00FE23CB">
      <w:pPr>
        <w:bidi w:val="0"/>
        <w:jc w:val="both"/>
        <w:rPr>
          <w:rFonts w:asciiTheme="majorBidi" w:hAnsiTheme="majorBidi" w:cstheme="majorBidi"/>
          <w:sz w:val="21"/>
          <w:szCs w:val="21"/>
          <w:rtl/>
        </w:rPr>
      </w:pPr>
      <w:r w:rsidRPr="00E34A36">
        <w:rPr>
          <w:rFonts w:asciiTheme="majorBidi" w:hAnsiTheme="majorBidi" w:cstheme="majorBidi"/>
          <w:sz w:val="21"/>
          <w:szCs w:val="21"/>
        </w:rPr>
        <w:t xml:space="preserve">Data showed that male enrollment in high schools </w:t>
      </w:r>
      <w:r>
        <w:rPr>
          <w:rFonts w:asciiTheme="majorBidi" w:hAnsiTheme="majorBidi" w:cstheme="majorBidi"/>
          <w:sz w:val="21"/>
          <w:szCs w:val="21"/>
        </w:rPr>
        <w:t xml:space="preserve">was </w:t>
      </w:r>
      <w:r w:rsidRPr="00E34A36">
        <w:rPr>
          <w:rFonts w:asciiTheme="majorBidi" w:hAnsiTheme="majorBidi" w:cstheme="majorBidi"/>
          <w:sz w:val="21"/>
          <w:szCs w:val="21"/>
        </w:rPr>
        <w:t>58.7%,</w:t>
      </w:r>
      <w:r>
        <w:rPr>
          <w:rFonts w:asciiTheme="majorBidi" w:hAnsiTheme="majorBidi" w:cstheme="majorBidi"/>
          <w:sz w:val="21"/>
          <w:szCs w:val="21"/>
        </w:rPr>
        <w:t xml:space="preserve"> compared to female enrollment which was</w:t>
      </w:r>
      <w:r w:rsidRPr="00E34A36">
        <w:rPr>
          <w:rFonts w:asciiTheme="majorBidi" w:hAnsiTheme="majorBidi" w:cstheme="majorBidi"/>
          <w:sz w:val="21"/>
          <w:szCs w:val="21"/>
        </w:rPr>
        <w:t xml:space="preserve"> 78.6% for the year 2015-2016.</w:t>
      </w:r>
    </w:p>
    <w:p w:rsidR="00FE23CB" w:rsidRPr="00FE23CB" w:rsidRDefault="00FE23CB" w:rsidP="00FE23CB">
      <w:pPr>
        <w:bidi w:val="0"/>
        <w:rPr>
          <w:rFonts w:asciiTheme="majorBidi" w:hAnsiTheme="majorBidi" w:cstheme="majorBidi"/>
          <w:sz w:val="16"/>
          <w:szCs w:val="16"/>
          <w:lang w:eastAsia="ar-SA"/>
        </w:rPr>
      </w:pPr>
    </w:p>
    <w:p w:rsidR="00A8312C" w:rsidRDefault="00FE23CB" w:rsidP="00FE23CB">
      <w:pPr>
        <w:bidi w:val="0"/>
        <w:jc w:val="center"/>
        <w:rPr>
          <w:rFonts w:asciiTheme="majorBidi" w:hAnsiTheme="majorBidi" w:cstheme="majorBidi"/>
          <w:b/>
          <w:bCs/>
          <w:sz w:val="25"/>
          <w:szCs w:val="25"/>
          <w:lang w:eastAsia="ar-SA"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  <w:lang w:eastAsia="ar-SA"/>
        </w:rPr>
        <w:t>Percentage of men and women participation in the labor</w:t>
      </w:r>
    </w:p>
    <w:p w:rsidR="00A8312C" w:rsidRDefault="00FE23CB" w:rsidP="00A8312C">
      <w:pPr>
        <w:bidi w:val="0"/>
        <w:jc w:val="center"/>
        <w:rPr>
          <w:rFonts w:asciiTheme="majorBidi" w:hAnsiTheme="majorBidi" w:cstheme="majorBidi"/>
          <w:b/>
          <w:bCs/>
          <w:sz w:val="25"/>
          <w:szCs w:val="25"/>
          <w:lang w:eastAsia="ar-SA"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  <w:lang w:eastAsia="ar-SA"/>
        </w:rPr>
        <w:t xml:space="preserve"> force aged 15 years and above, </w:t>
      </w:r>
      <w:r w:rsidR="00A8312C" w:rsidRPr="00FE23CB">
        <w:rPr>
          <w:rFonts w:asciiTheme="majorBidi" w:hAnsiTheme="majorBidi" w:cstheme="majorBidi"/>
          <w:b/>
          <w:bCs/>
          <w:sz w:val="25"/>
          <w:szCs w:val="25"/>
          <w:lang w:eastAsia="ar-SA"/>
        </w:rPr>
        <w:t>2001-2016</w:t>
      </w:r>
    </w:p>
    <w:p w:rsidR="00FE23CB" w:rsidRPr="00FE23CB" w:rsidRDefault="00FE23CB" w:rsidP="00FE23CB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eastAsia="ar-SA"/>
        </w:rPr>
      </w:pPr>
    </w:p>
    <w:p w:rsidR="00FE23CB" w:rsidRPr="00E34A36" w:rsidRDefault="00FE23CB" w:rsidP="00FE23CB">
      <w:pPr>
        <w:widowControl w:val="0"/>
        <w:jc w:val="center"/>
        <w:rPr>
          <w:rFonts w:asciiTheme="majorBidi" w:hAnsiTheme="majorBidi" w:cstheme="majorBidi"/>
          <w:b/>
          <w:bCs/>
          <w:sz w:val="21"/>
          <w:szCs w:val="21"/>
          <w:rtl/>
        </w:rPr>
      </w:pPr>
      <w:r w:rsidRPr="00FE23CB">
        <w:rPr>
          <w:rFonts w:asciiTheme="majorBidi" w:hAnsiTheme="majorBidi" w:cstheme="majorBidi"/>
          <w:b/>
          <w:bCs/>
          <w:noProof/>
          <w:sz w:val="21"/>
          <w:szCs w:val="21"/>
          <w:bdr w:val="single" w:sz="8" w:space="0" w:color="000000"/>
        </w:rPr>
        <w:drawing>
          <wp:inline distT="0" distB="0" distL="0" distR="0">
            <wp:extent cx="4791075" cy="1809750"/>
            <wp:effectExtent l="0" t="0" r="0" b="0"/>
            <wp:docPr id="8" name="Char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23CB" w:rsidRDefault="00FE23CB" w:rsidP="00FE23CB">
      <w:pPr>
        <w:bidi w:val="0"/>
        <w:ind w:left="142"/>
        <w:jc w:val="both"/>
        <w:rPr>
          <w:rFonts w:asciiTheme="majorBidi" w:hAnsiTheme="majorBidi" w:cstheme="majorBidi"/>
          <w:b/>
          <w:bCs/>
          <w:sz w:val="25"/>
          <w:szCs w:val="25"/>
        </w:rPr>
      </w:pPr>
    </w:p>
    <w:p w:rsidR="00FE23CB" w:rsidRPr="00FE23CB" w:rsidRDefault="00FE23CB" w:rsidP="00FE23CB">
      <w:pPr>
        <w:bidi w:val="0"/>
        <w:ind w:left="142"/>
        <w:jc w:val="both"/>
        <w:rPr>
          <w:rFonts w:asciiTheme="majorBidi" w:hAnsiTheme="majorBidi" w:cstheme="majorBidi"/>
          <w:b/>
          <w:bCs/>
          <w:sz w:val="25"/>
          <w:szCs w:val="25"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</w:rPr>
        <w:t>A gap in the participation rate and average daily wages between men and women</w:t>
      </w:r>
    </w:p>
    <w:p w:rsidR="00FE23CB" w:rsidRPr="00774D45" w:rsidRDefault="00FE23CB" w:rsidP="00A8312C">
      <w:pPr>
        <w:widowControl w:val="0"/>
        <w:bidi w:val="0"/>
        <w:ind w:left="70"/>
        <w:jc w:val="both"/>
        <w:rPr>
          <w:rFonts w:asciiTheme="majorBidi" w:eastAsia="Times New Roman" w:hAnsiTheme="majorBidi" w:cstheme="majorBidi"/>
          <w:sz w:val="21"/>
          <w:szCs w:val="21"/>
          <w:lang w:eastAsia="ar-SA"/>
        </w:rPr>
      </w:pPr>
      <w:r w:rsidRPr="00774D45">
        <w:rPr>
          <w:rFonts w:asciiTheme="majorBidi" w:eastAsia="Times New Roman" w:hAnsiTheme="majorBidi" w:cstheme="majorBidi"/>
          <w:sz w:val="21"/>
          <w:szCs w:val="21"/>
          <w:lang w:eastAsia="ar-SA"/>
        </w:rPr>
        <w:t xml:space="preserve">The female participation rate in the labor force was 19.3% of the total female population at </w:t>
      </w:r>
      <w:r>
        <w:rPr>
          <w:rFonts w:asciiTheme="majorBidi" w:eastAsia="Times New Roman" w:hAnsiTheme="majorBidi" w:cstheme="majorBidi"/>
          <w:sz w:val="21"/>
          <w:szCs w:val="21"/>
          <w:lang w:eastAsia="ar-SA"/>
        </w:rPr>
        <w:t>work age in 2016,</w:t>
      </w:r>
      <w:r w:rsidRPr="00774D45">
        <w:rPr>
          <w:rFonts w:asciiTheme="majorBidi" w:eastAsia="Times New Roman" w:hAnsiTheme="majorBidi" w:cstheme="majorBidi"/>
          <w:sz w:val="21"/>
          <w:szCs w:val="21"/>
          <w:lang w:eastAsia="ar-SA"/>
        </w:rPr>
        <w:t xml:space="preserve"> compared to</w:t>
      </w:r>
      <w:r>
        <w:rPr>
          <w:rFonts w:asciiTheme="majorBidi" w:eastAsia="Times New Roman" w:hAnsiTheme="majorBidi" w:cstheme="majorBidi"/>
          <w:sz w:val="21"/>
          <w:szCs w:val="21"/>
          <w:lang w:eastAsia="ar-SA"/>
        </w:rPr>
        <w:t xml:space="preserve"> 10.3% in 2001, while t</w:t>
      </w:r>
      <w:r w:rsidRPr="00774D45">
        <w:rPr>
          <w:rFonts w:asciiTheme="majorBidi" w:eastAsia="Times New Roman" w:hAnsiTheme="majorBidi" w:cstheme="majorBidi"/>
          <w:sz w:val="21"/>
          <w:szCs w:val="21"/>
          <w:lang w:eastAsia="ar-SA"/>
        </w:rPr>
        <w:t>he male participation rate was 71.6%</w:t>
      </w:r>
      <w:r>
        <w:rPr>
          <w:rFonts w:asciiTheme="majorBidi" w:eastAsia="Times New Roman" w:hAnsiTheme="majorBidi" w:cstheme="majorBidi"/>
          <w:sz w:val="21"/>
          <w:szCs w:val="21"/>
          <w:lang w:eastAsia="ar-SA"/>
        </w:rPr>
        <w:t xml:space="preserve"> in 2016</w:t>
      </w:r>
      <w:r w:rsidRPr="00774D45">
        <w:rPr>
          <w:rFonts w:asciiTheme="majorBidi" w:eastAsia="Times New Roman" w:hAnsiTheme="majorBidi" w:cstheme="majorBidi"/>
          <w:sz w:val="21"/>
          <w:szCs w:val="21"/>
          <w:lang w:eastAsia="ar-SA"/>
        </w:rPr>
        <w:t>. There was also</w:t>
      </w:r>
      <w:r>
        <w:rPr>
          <w:rFonts w:asciiTheme="majorBidi" w:eastAsia="Times New Roman" w:hAnsiTheme="majorBidi" w:cstheme="majorBidi"/>
          <w:sz w:val="21"/>
          <w:szCs w:val="21"/>
          <w:lang w:eastAsia="ar-SA"/>
        </w:rPr>
        <w:t xml:space="preserve"> </w:t>
      </w:r>
      <w:r w:rsidRPr="00774D45">
        <w:rPr>
          <w:rFonts w:asciiTheme="majorBidi" w:eastAsia="Times New Roman" w:hAnsiTheme="majorBidi" w:cstheme="majorBidi"/>
          <w:sz w:val="21"/>
          <w:szCs w:val="21"/>
          <w:lang w:eastAsia="ar-SA"/>
        </w:rPr>
        <w:t>a pay gap in the average daily wages</w:t>
      </w:r>
      <w:r>
        <w:rPr>
          <w:rFonts w:asciiTheme="majorBidi" w:eastAsia="Times New Roman" w:hAnsiTheme="majorBidi" w:cstheme="majorBidi"/>
          <w:sz w:val="21"/>
          <w:szCs w:val="21"/>
          <w:lang w:eastAsia="ar-SA"/>
        </w:rPr>
        <w:t xml:space="preserve"> between males and females</w:t>
      </w:r>
      <w:r w:rsidRPr="00774D45">
        <w:rPr>
          <w:rFonts w:asciiTheme="majorBidi" w:eastAsia="Times New Roman" w:hAnsiTheme="majorBidi" w:cstheme="majorBidi"/>
          <w:sz w:val="21"/>
          <w:szCs w:val="21"/>
          <w:lang w:eastAsia="ar-SA"/>
        </w:rPr>
        <w:t>; the average daily wage for females was NIS 83.3 compared to NIS 114.1 for males.</w:t>
      </w:r>
    </w:p>
    <w:p w:rsidR="00FE23CB" w:rsidRPr="00E71AE5" w:rsidRDefault="00FE23CB" w:rsidP="00FE23CB">
      <w:pPr>
        <w:bidi w:val="0"/>
        <w:jc w:val="lowKashida"/>
        <w:textAlignment w:val="top"/>
        <w:rPr>
          <w:rFonts w:cs="Simplified Arabic"/>
          <w:sz w:val="16"/>
          <w:szCs w:val="16"/>
        </w:rPr>
      </w:pPr>
    </w:p>
    <w:p w:rsidR="00FE23CB" w:rsidRPr="00FE23CB" w:rsidRDefault="00FE23CB" w:rsidP="00FE23CB">
      <w:pPr>
        <w:bidi w:val="0"/>
        <w:jc w:val="both"/>
        <w:rPr>
          <w:rFonts w:asciiTheme="majorBidi" w:hAnsiTheme="majorBidi" w:cstheme="majorBidi"/>
          <w:b/>
          <w:bCs/>
          <w:sz w:val="25"/>
          <w:szCs w:val="25"/>
          <w:rtl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</w:rPr>
        <w:t>About half of women with 13 schooling years and above are unemployed</w:t>
      </w:r>
    </w:p>
    <w:p w:rsidR="00FE23CB" w:rsidRDefault="00FE23CB" w:rsidP="00FE23CB">
      <w:pPr>
        <w:pStyle w:val="BodyText"/>
        <w:widowControl w:val="0"/>
        <w:bidi w:val="0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 xml:space="preserve">The </w:t>
      </w:r>
      <w:r w:rsidRPr="00E34A36">
        <w:rPr>
          <w:rFonts w:asciiTheme="majorBidi" w:hAnsiTheme="majorBidi" w:cstheme="majorBidi"/>
          <w:sz w:val="21"/>
          <w:szCs w:val="21"/>
        </w:rPr>
        <w:t>unemployment</w:t>
      </w:r>
      <w:r>
        <w:rPr>
          <w:rFonts w:asciiTheme="majorBidi" w:hAnsiTheme="majorBidi" w:cstheme="majorBidi"/>
          <w:sz w:val="21"/>
          <w:szCs w:val="21"/>
        </w:rPr>
        <w:t xml:space="preserve"> rate</w:t>
      </w:r>
      <w:r w:rsidRPr="00E34A36">
        <w:rPr>
          <w:rFonts w:asciiTheme="majorBidi" w:hAnsiTheme="majorBidi" w:cstheme="majorBidi"/>
          <w:sz w:val="21"/>
          <w:szCs w:val="21"/>
        </w:rPr>
        <w:t xml:space="preserve"> among women participant in the labor force </w:t>
      </w:r>
      <w:r>
        <w:rPr>
          <w:rFonts w:asciiTheme="majorBidi" w:hAnsiTheme="majorBidi" w:cstheme="majorBidi"/>
          <w:sz w:val="21"/>
          <w:szCs w:val="21"/>
        </w:rPr>
        <w:t>was</w:t>
      </w:r>
      <w:r w:rsidRPr="00E34A36">
        <w:rPr>
          <w:rFonts w:asciiTheme="majorBidi" w:hAnsiTheme="majorBidi" w:cstheme="majorBidi"/>
          <w:sz w:val="21"/>
          <w:szCs w:val="21"/>
        </w:rPr>
        <w:t xml:space="preserve"> 44.7%, compared to 22.2% for males. Unemployment</w:t>
      </w:r>
      <w:r w:rsidRPr="00EA55BF">
        <w:rPr>
          <w:rFonts w:asciiTheme="majorBidi" w:hAnsiTheme="majorBidi" w:cstheme="majorBidi"/>
          <w:sz w:val="21"/>
          <w:szCs w:val="21"/>
        </w:rPr>
        <w:t xml:space="preserve"> </w:t>
      </w:r>
      <w:r>
        <w:rPr>
          <w:rFonts w:asciiTheme="majorBidi" w:hAnsiTheme="majorBidi" w:cstheme="majorBidi"/>
          <w:sz w:val="21"/>
          <w:szCs w:val="21"/>
        </w:rPr>
        <w:t>rate</w:t>
      </w:r>
      <w:r w:rsidRPr="00E34A36">
        <w:rPr>
          <w:rFonts w:asciiTheme="majorBidi" w:hAnsiTheme="majorBidi" w:cstheme="majorBidi"/>
          <w:sz w:val="21"/>
          <w:szCs w:val="21"/>
        </w:rPr>
        <w:t xml:space="preserve"> among women with 13 school years </w:t>
      </w:r>
      <w:r w:rsidRPr="000415FD">
        <w:rPr>
          <w:sz w:val="22"/>
          <w:szCs w:val="22"/>
        </w:rPr>
        <w:t>and above</w:t>
      </w:r>
      <w:r w:rsidRPr="00E34A36">
        <w:rPr>
          <w:rFonts w:asciiTheme="majorBidi" w:hAnsiTheme="majorBidi" w:cstheme="majorBidi"/>
          <w:sz w:val="21"/>
          <w:szCs w:val="21"/>
        </w:rPr>
        <w:t xml:space="preserve"> </w:t>
      </w:r>
      <w:r>
        <w:rPr>
          <w:sz w:val="22"/>
          <w:szCs w:val="22"/>
        </w:rPr>
        <w:t xml:space="preserve">standing at </w:t>
      </w:r>
      <w:r w:rsidRPr="00E34A36">
        <w:rPr>
          <w:rFonts w:asciiTheme="majorBidi" w:hAnsiTheme="majorBidi" w:cstheme="majorBidi"/>
          <w:sz w:val="21"/>
          <w:szCs w:val="21"/>
        </w:rPr>
        <w:t>50.6% of women in this group.</w:t>
      </w:r>
    </w:p>
    <w:p w:rsidR="00FE23CB" w:rsidRPr="00E71AE5" w:rsidRDefault="00FE23CB" w:rsidP="00FE23CB">
      <w:pPr>
        <w:pStyle w:val="BodyText"/>
        <w:widowControl w:val="0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FE23CB" w:rsidRDefault="00FE23CB" w:rsidP="00FE23CB">
      <w:pPr>
        <w:bidi w:val="0"/>
        <w:jc w:val="center"/>
        <w:rPr>
          <w:rFonts w:asciiTheme="majorBidi" w:hAnsiTheme="majorBidi" w:cstheme="majorBidi"/>
          <w:b/>
          <w:bCs/>
          <w:sz w:val="25"/>
          <w:szCs w:val="25"/>
          <w:lang w:eastAsia="ar-SA"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  <w:lang w:eastAsia="ar-SA"/>
        </w:rPr>
        <w:t>Unemployment rate among men and women 15 years and above 2001-2016</w:t>
      </w:r>
    </w:p>
    <w:p w:rsidR="00FE23CB" w:rsidRPr="00FE23CB" w:rsidRDefault="00FE23CB" w:rsidP="00FE23CB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  <w:lang w:eastAsia="ar-SA"/>
        </w:rPr>
      </w:pPr>
    </w:p>
    <w:p w:rsidR="00FE23CB" w:rsidRPr="00E34A36" w:rsidRDefault="00FE23CB" w:rsidP="00FE23CB">
      <w:pPr>
        <w:jc w:val="center"/>
        <w:rPr>
          <w:rFonts w:asciiTheme="majorBidi" w:hAnsiTheme="majorBidi" w:cstheme="majorBidi"/>
          <w:sz w:val="21"/>
          <w:szCs w:val="21"/>
          <w:rtl/>
          <w:lang w:eastAsia="ar-SA"/>
        </w:rPr>
      </w:pPr>
      <w:r w:rsidRPr="00FE23CB">
        <w:rPr>
          <w:rFonts w:asciiTheme="majorBidi" w:eastAsia="Times New Roman" w:hAnsiTheme="majorBidi" w:cstheme="majorBidi"/>
          <w:b/>
          <w:bCs/>
          <w:noProof/>
          <w:sz w:val="21"/>
          <w:szCs w:val="21"/>
          <w:bdr w:val="single" w:sz="8" w:space="0" w:color="000000"/>
        </w:rPr>
        <w:drawing>
          <wp:inline distT="0" distB="0" distL="0" distR="0">
            <wp:extent cx="5010150" cy="1895475"/>
            <wp:effectExtent l="0" t="0" r="0" b="0"/>
            <wp:docPr id="3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E23CB" w:rsidRPr="009360D6" w:rsidRDefault="00FE23CB" w:rsidP="00FE23CB">
      <w:pPr>
        <w:tabs>
          <w:tab w:val="left" w:pos="70"/>
          <w:tab w:val="left" w:pos="6330"/>
        </w:tabs>
        <w:ind w:left="70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FE23CB" w:rsidRPr="00FE23CB" w:rsidRDefault="00FE23CB" w:rsidP="00FE23CB">
      <w:pPr>
        <w:tabs>
          <w:tab w:val="left" w:pos="70"/>
          <w:tab w:val="left" w:pos="6330"/>
        </w:tabs>
        <w:bidi w:val="0"/>
        <w:ind w:left="70"/>
        <w:jc w:val="both"/>
        <w:rPr>
          <w:rFonts w:asciiTheme="majorBidi" w:hAnsiTheme="majorBidi" w:cstheme="majorBidi"/>
          <w:b/>
          <w:bCs/>
          <w:sz w:val="25"/>
          <w:szCs w:val="25"/>
          <w:rtl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</w:rPr>
        <w:t>Gender gap in favor to males for graduates transition from school to the labor market</w:t>
      </w:r>
      <w:r w:rsidRPr="00FE23CB">
        <w:rPr>
          <w:rStyle w:val="FootnoteReference"/>
          <w:rFonts w:asciiTheme="majorBidi" w:hAnsiTheme="majorBidi" w:cstheme="majorBidi"/>
          <w:b/>
          <w:bCs/>
          <w:sz w:val="25"/>
          <w:szCs w:val="25"/>
        </w:rPr>
        <w:footnoteReference w:id="1"/>
      </w:r>
    </w:p>
    <w:p w:rsidR="00FE23CB" w:rsidRDefault="00FE23CB" w:rsidP="00FE23CB">
      <w:pPr>
        <w:widowControl w:val="0"/>
        <w:bidi w:val="0"/>
        <w:ind w:left="70"/>
        <w:jc w:val="both"/>
        <w:rPr>
          <w:rFonts w:asciiTheme="majorBidi" w:hAnsiTheme="majorBidi" w:cstheme="majorBidi"/>
          <w:sz w:val="21"/>
          <w:szCs w:val="21"/>
        </w:rPr>
      </w:pPr>
      <w:r w:rsidRPr="00E34A36">
        <w:rPr>
          <w:rFonts w:asciiTheme="majorBidi" w:hAnsiTheme="majorBidi" w:cstheme="majorBidi"/>
          <w:sz w:val="21"/>
          <w:szCs w:val="21"/>
        </w:rPr>
        <w:t>Data showed that the rate of female</w:t>
      </w:r>
      <w:r w:rsidR="00A8312C">
        <w:rPr>
          <w:rFonts w:asciiTheme="majorBidi" w:hAnsiTheme="majorBidi" w:cstheme="majorBidi"/>
          <w:sz w:val="21"/>
          <w:szCs w:val="21"/>
        </w:rPr>
        <w:t>s</w:t>
      </w:r>
      <w:r w:rsidRPr="00E34A36">
        <w:rPr>
          <w:rFonts w:asciiTheme="majorBidi" w:hAnsiTheme="majorBidi" w:cstheme="majorBidi"/>
          <w:sz w:val="21"/>
          <w:szCs w:val="21"/>
        </w:rPr>
        <w:t xml:space="preserve"> (aged 15-29) who moved from school to the labor market </w:t>
      </w:r>
      <w:r>
        <w:rPr>
          <w:rFonts w:asciiTheme="majorBidi" w:hAnsiTheme="majorBidi" w:cstheme="majorBidi"/>
          <w:sz w:val="21"/>
          <w:szCs w:val="21"/>
        </w:rPr>
        <w:t>was</w:t>
      </w:r>
      <w:r w:rsidRPr="00E34A36">
        <w:rPr>
          <w:rFonts w:asciiTheme="majorBidi" w:hAnsiTheme="majorBidi" w:cstheme="majorBidi"/>
          <w:sz w:val="21"/>
          <w:szCs w:val="21"/>
        </w:rPr>
        <w:t xml:space="preserve"> 6</w:t>
      </w:r>
      <w:r w:rsidR="00A8312C">
        <w:rPr>
          <w:rFonts w:asciiTheme="majorBidi" w:hAnsiTheme="majorBidi" w:cstheme="majorBidi"/>
          <w:sz w:val="21"/>
          <w:szCs w:val="21"/>
        </w:rPr>
        <w:t>.6%, compared to 44.8% of the m</w:t>
      </w:r>
      <w:r w:rsidRPr="00E34A36">
        <w:rPr>
          <w:rFonts w:asciiTheme="majorBidi" w:hAnsiTheme="majorBidi" w:cstheme="majorBidi"/>
          <w:sz w:val="21"/>
          <w:szCs w:val="21"/>
        </w:rPr>
        <w:t>al</w:t>
      </w:r>
      <w:r w:rsidR="00A8312C">
        <w:rPr>
          <w:rFonts w:asciiTheme="majorBidi" w:hAnsiTheme="majorBidi" w:cstheme="majorBidi"/>
          <w:sz w:val="21"/>
          <w:szCs w:val="21"/>
        </w:rPr>
        <w:t>es</w:t>
      </w:r>
      <w:r w:rsidRPr="00E34A36">
        <w:rPr>
          <w:rFonts w:asciiTheme="majorBidi" w:hAnsiTheme="majorBidi" w:cstheme="majorBidi"/>
          <w:sz w:val="21"/>
          <w:szCs w:val="21"/>
        </w:rPr>
        <w:t xml:space="preserve">. Females who have not started the transition constituted 58.5%, compared to 25.0% of males. The percentage of women who went through the transition </w:t>
      </w:r>
      <w:r>
        <w:rPr>
          <w:rFonts w:asciiTheme="majorBidi" w:hAnsiTheme="majorBidi" w:cstheme="majorBidi"/>
          <w:sz w:val="21"/>
          <w:szCs w:val="21"/>
        </w:rPr>
        <w:t>were</w:t>
      </w:r>
      <w:r w:rsidRPr="00E34A36">
        <w:rPr>
          <w:rFonts w:asciiTheme="majorBidi" w:hAnsiTheme="majorBidi" w:cstheme="majorBidi"/>
          <w:sz w:val="21"/>
          <w:szCs w:val="21"/>
        </w:rPr>
        <w:t xml:space="preserve"> 34.9%, compared to 30.2% of males, during the year 2015.</w:t>
      </w:r>
    </w:p>
    <w:p w:rsidR="00FE23CB" w:rsidRDefault="00FE23CB" w:rsidP="00FE23CB">
      <w:pPr>
        <w:widowControl w:val="0"/>
        <w:bidi w:val="0"/>
        <w:ind w:left="70"/>
        <w:jc w:val="both"/>
        <w:rPr>
          <w:rFonts w:asciiTheme="majorBidi" w:hAnsiTheme="majorBidi" w:cstheme="majorBidi"/>
          <w:sz w:val="21"/>
          <w:szCs w:val="21"/>
        </w:rPr>
      </w:pPr>
    </w:p>
    <w:p w:rsidR="00A8312C" w:rsidRDefault="00FE23CB" w:rsidP="00FE23CB">
      <w:pPr>
        <w:tabs>
          <w:tab w:val="left" w:pos="9071"/>
        </w:tabs>
        <w:ind w:left="-1"/>
        <w:jc w:val="center"/>
        <w:rPr>
          <w:rFonts w:asciiTheme="majorBidi" w:hAnsiTheme="majorBidi" w:cstheme="majorBidi"/>
          <w:b/>
          <w:bCs/>
          <w:sz w:val="25"/>
          <w:szCs w:val="25"/>
          <w:lang w:eastAsia="ar-SA"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  <w:lang w:eastAsia="ar-SA"/>
        </w:rPr>
        <w:t>Percentage distribution of individuals (aged 15-29) years by status</w:t>
      </w:r>
    </w:p>
    <w:p w:rsidR="00FE23CB" w:rsidRPr="00FE23CB" w:rsidRDefault="00FE23CB" w:rsidP="00A8312C">
      <w:pPr>
        <w:tabs>
          <w:tab w:val="left" w:pos="9071"/>
        </w:tabs>
        <w:ind w:left="-1"/>
        <w:jc w:val="center"/>
        <w:rPr>
          <w:rFonts w:asciiTheme="majorBidi" w:hAnsiTheme="majorBidi" w:cstheme="majorBidi"/>
          <w:b/>
          <w:bCs/>
          <w:sz w:val="25"/>
          <w:szCs w:val="25"/>
          <w:lang w:eastAsia="ar-SA"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  <w:lang w:eastAsia="ar-SA"/>
        </w:rPr>
        <w:t xml:space="preserve"> of transition from school to the labor market</w:t>
      </w:r>
      <w:r w:rsidRPr="00FE23CB">
        <w:rPr>
          <w:rFonts w:asciiTheme="majorBidi" w:hAnsiTheme="majorBidi" w:cstheme="majorBidi"/>
          <w:b/>
          <w:bCs/>
          <w:lang w:eastAsia="ar-SA"/>
        </w:rPr>
        <w:t xml:space="preserve"> </w:t>
      </w:r>
      <w:r w:rsidRPr="00C06D0D">
        <w:rPr>
          <w:rFonts w:asciiTheme="majorBidi" w:hAnsiTheme="majorBidi" w:cstheme="majorBidi"/>
          <w:b/>
          <w:bCs/>
          <w:lang w:eastAsia="ar-SA"/>
        </w:rPr>
        <w:t xml:space="preserve">and </w:t>
      </w:r>
      <w:r>
        <w:rPr>
          <w:rFonts w:asciiTheme="majorBidi" w:hAnsiTheme="majorBidi" w:cstheme="majorBidi"/>
          <w:b/>
          <w:bCs/>
          <w:lang w:eastAsia="ar-SA"/>
        </w:rPr>
        <w:t>sex</w:t>
      </w:r>
      <w:r w:rsidRPr="00C06D0D">
        <w:rPr>
          <w:rFonts w:asciiTheme="majorBidi" w:hAnsiTheme="majorBidi" w:cstheme="majorBidi"/>
          <w:b/>
          <w:bCs/>
          <w:lang w:eastAsia="ar-SA"/>
        </w:rPr>
        <w:t>, 201</w:t>
      </w:r>
      <w:r>
        <w:rPr>
          <w:rFonts w:asciiTheme="majorBidi" w:hAnsiTheme="majorBidi" w:cstheme="majorBidi"/>
          <w:b/>
          <w:bCs/>
          <w:lang w:eastAsia="ar-SA"/>
        </w:rPr>
        <w:t>5</w:t>
      </w:r>
    </w:p>
    <w:p w:rsidR="00FE23CB" w:rsidRDefault="00FE23CB" w:rsidP="00FE23CB">
      <w:pPr>
        <w:tabs>
          <w:tab w:val="left" w:pos="9071"/>
        </w:tabs>
        <w:rPr>
          <w:rFonts w:asciiTheme="majorBidi" w:hAnsiTheme="majorBidi" w:cstheme="majorBidi"/>
          <w:b/>
          <w:bCs/>
          <w:lang w:eastAsia="ar-SA"/>
        </w:rPr>
      </w:pPr>
    </w:p>
    <w:p w:rsidR="00FE23CB" w:rsidRPr="00E34A36" w:rsidRDefault="00FE23CB" w:rsidP="00FE23CB">
      <w:pPr>
        <w:tabs>
          <w:tab w:val="left" w:pos="9071"/>
        </w:tabs>
        <w:jc w:val="center"/>
        <w:rPr>
          <w:rFonts w:asciiTheme="majorBidi" w:hAnsiTheme="majorBidi" w:cstheme="majorBidi"/>
          <w:b/>
          <w:bCs/>
          <w:sz w:val="21"/>
          <w:szCs w:val="21"/>
          <w:rtl/>
        </w:rPr>
      </w:pPr>
      <w:r w:rsidRPr="00FE23CB">
        <w:rPr>
          <w:rFonts w:asciiTheme="majorBidi" w:hAnsiTheme="majorBidi" w:cstheme="majorBidi"/>
          <w:b/>
          <w:bCs/>
          <w:noProof/>
          <w:sz w:val="21"/>
          <w:szCs w:val="21"/>
          <w:bdr w:val="single" w:sz="4" w:space="0" w:color="auto"/>
          <w:rtl/>
        </w:rPr>
        <w:drawing>
          <wp:inline distT="0" distB="0" distL="0" distR="0">
            <wp:extent cx="4619625" cy="1828800"/>
            <wp:effectExtent l="19050" t="0" r="0" b="0"/>
            <wp:docPr id="6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23CB" w:rsidRPr="009360D6" w:rsidRDefault="00FE23CB" w:rsidP="00FE23CB">
      <w:pPr>
        <w:bidi w:val="0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A8312C" w:rsidRDefault="00A8312C" w:rsidP="00FE23CB">
      <w:pPr>
        <w:bidi w:val="0"/>
        <w:jc w:val="both"/>
        <w:rPr>
          <w:rFonts w:asciiTheme="majorBidi" w:hAnsiTheme="majorBidi" w:cstheme="majorBidi"/>
          <w:b/>
          <w:bCs/>
          <w:sz w:val="25"/>
          <w:szCs w:val="25"/>
        </w:rPr>
      </w:pPr>
    </w:p>
    <w:p w:rsidR="00FE23CB" w:rsidRPr="00FE23CB" w:rsidRDefault="00FE23CB" w:rsidP="00A8312C">
      <w:pPr>
        <w:bidi w:val="0"/>
        <w:jc w:val="both"/>
        <w:rPr>
          <w:rFonts w:asciiTheme="majorBidi" w:hAnsiTheme="majorBidi" w:cstheme="majorBidi"/>
          <w:b/>
          <w:bCs/>
          <w:sz w:val="25"/>
          <w:szCs w:val="25"/>
          <w:rtl/>
        </w:rPr>
      </w:pPr>
      <w:r w:rsidRPr="00FE23CB">
        <w:rPr>
          <w:rFonts w:asciiTheme="majorBidi" w:hAnsiTheme="majorBidi" w:cstheme="majorBidi"/>
          <w:b/>
          <w:bCs/>
          <w:sz w:val="25"/>
          <w:szCs w:val="25"/>
        </w:rPr>
        <w:t>Palestinian Women in Public Life</w:t>
      </w:r>
    </w:p>
    <w:p w:rsidR="00A8312C" w:rsidRDefault="00FE23CB" w:rsidP="00A8312C">
      <w:pPr>
        <w:bidi w:val="0"/>
        <w:ind w:right="142"/>
        <w:jc w:val="both"/>
        <w:rPr>
          <w:rFonts w:asciiTheme="majorBidi" w:hAnsiTheme="majorBidi" w:cstheme="majorBidi" w:hint="cs"/>
          <w:sz w:val="24"/>
          <w:szCs w:val="24"/>
          <w:rtl/>
        </w:rPr>
      </w:pPr>
      <w:r w:rsidRPr="00FE23CB">
        <w:rPr>
          <w:rFonts w:asciiTheme="majorBidi" w:hAnsiTheme="majorBidi" w:cstheme="majorBidi"/>
          <w:sz w:val="24"/>
          <w:szCs w:val="24"/>
        </w:rPr>
        <w:t xml:space="preserve">In 2015, 82.8% of judges were male, compared to 17.2% female, while 77.5% of registered lawyers were male, compared to 22.5% female and 83.3% of members of the public prosecution staff were male, compared to 16.7% female. Furthermore, Palestinian female ambassadors represented 5.8% compared to 94.2% male.  Females represented 21.1% of registered engineers with the Union of Engineers while male represented 78.9%. On the other hand, in 2015, 23.2% of members of students councils in West Bank universities were females, compared to 76.8% </w:t>
      </w:r>
      <w:proofErr w:type="spellStart"/>
      <w:r w:rsidRPr="00FE23CB">
        <w:rPr>
          <w:rFonts w:asciiTheme="majorBidi" w:hAnsiTheme="majorBidi" w:cstheme="majorBidi"/>
          <w:sz w:val="24"/>
          <w:szCs w:val="24"/>
        </w:rPr>
        <w:t>males.In</w:t>
      </w:r>
      <w:proofErr w:type="spellEnd"/>
      <w:r w:rsidRPr="00FE23CB">
        <w:rPr>
          <w:rFonts w:asciiTheme="majorBidi" w:hAnsiTheme="majorBidi" w:cstheme="majorBidi"/>
          <w:sz w:val="24"/>
          <w:szCs w:val="24"/>
        </w:rPr>
        <w:t xml:space="preserve"> the public sector, females was 42.6% of posts, compared to 57.4% males. In the civil sector, females represented 11.7% of the directors general, compared to 88.3% of males in the same post.</w:t>
      </w:r>
    </w:p>
    <w:p w:rsidR="00A8312C" w:rsidRPr="00FE23CB" w:rsidRDefault="00A8312C" w:rsidP="00A8312C">
      <w:pPr>
        <w:bidi w:val="0"/>
        <w:ind w:right="142"/>
        <w:jc w:val="both"/>
        <w:rPr>
          <w:rFonts w:asciiTheme="majorBidi" w:hAnsiTheme="majorBidi" w:cstheme="majorBidi"/>
          <w:sz w:val="24"/>
          <w:szCs w:val="24"/>
          <w:rtl/>
        </w:rPr>
        <w:sectPr w:rsidR="00A8312C" w:rsidRPr="00FE23CB" w:rsidSect="00FE23CB">
          <w:footerReference w:type="default" r:id="rId13"/>
          <w:pgSz w:w="11906" w:h="16838" w:code="9"/>
          <w:pgMar w:top="720" w:right="720" w:bottom="720" w:left="720" w:header="709" w:footer="709" w:gutter="0"/>
          <w:cols w:space="706"/>
          <w:rtlGutter/>
          <w:docGrid w:linePitch="360"/>
        </w:sectPr>
      </w:pPr>
    </w:p>
    <w:p w:rsidR="00FF3BFF" w:rsidRDefault="00FF3BFF">
      <w:pPr>
        <w:rPr>
          <w:rFonts w:hint="cs"/>
          <w:rtl/>
        </w:rPr>
      </w:pPr>
    </w:p>
    <w:sectPr w:rsidR="00FF3BFF" w:rsidSect="00FE23CB">
      <w:type w:val="continuous"/>
      <w:pgSz w:w="11906" w:h="16838" w:code="9"/>
      <w:pgMar w:top="170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57D" w:rsidRDefault="00A8457D" w:rsidP="00FE23CB">
      <w:r>
        <w:separator/>
      </w:r>
    </w:p>
  </w:endnote>
  <w:endnote w:type="continuationSeparator" w:id="0">
    <w:p w:rsidR="00A8457D" w:rsidRDefault="00A8457D" w:rsidP="00FE2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CB" w:rsidRDefault="001733B3" w:rsidP="00FE5188">
    <w:pPr>
      <w:pStyle w:val="Footer"/>
      <w:jc w:val="center"/>
    </w:pPr>
    <w:fldSimple w:instr=" PAGE   \* MERGEFORMAT ">
      <w:r w:rsidR="00A8312C">
        <w:rPr>
          <w:noProof/>
          <w:rtl/>
        </w:rPr>
        <w:t>3</w:t>
      </w:r>
    </w:fldSimple>
  </w:p>
  <w:p w:rsidR="00FE23CB" w:rsidRDefault="00FE23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57D" w:rsidRDefault="00A8457D" w:rsidP="00FE23CB">
      <w:r>
        <w:separator/>
      </w:r>
    </w:p>
  </w:footnote>
  <w:footnote w:type="continuationSeparator" w:id="0">
    <w:p w:rsidR="00A8457D" w:rsidRDefault="00A8457D" w:rsidP="00FE23CB">
      <w:r>
        <w:continuationSeparator/>
      </w:r>
    </w:p>
  </w:footnote>
  <w:footnote w:id="1">
    <w:p w:rsidR="00FE23CB" w:rsidRPr="00FE23CB" w:rsidRDefault="00FE23CB" w:rsidP="00FE23CB">
      <w:pPr>
        <w:pStyle w:val="FootnoteText"/>
        <w:bidi w:val="0"/>
        <w:ind w:left="212"/>
        <w:rPr>
          <w:rFonts w:asciiTheme="majorBidi" w:hAnsiTheme="majorBidi" w:cstheme="majorBidi"/>
        </w:rPr>
      </w:pPr>
      <w:r w:rsidRPr="00FE23CB">
        <w:rPr>
          <w:rFonts w:asciiTheme="majorBidi" w:hAnsiTheme="majorBidi" w:cstheme="majorBidi"/>
        </w:rPr>
        <w:t>1 Transition from school to the labor market. This refers to the youth transitional period (15-29 years) as they move from their last school year to a satisfactory and stable job (in terms of job contract and duration). The shift is divided into the following categories:</w:t>
      </w:r>
    </w:p>
    <w:p w:rsidR="00FE23CB" w:rsidRPr="00FE23CB" w:rsidRDefault="00FE23CB" w:rsidP="00FE23CB">
      <w:pPr>
        <w:pStyle w:val="FootnoteText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FE23CB">
        <w:rPr>
          <w:rFonts w:asciiTheme="majorBidi" w:hAnsiTheme="majorBidi" w:cstheme="majorBidi"/>
          <w:b/>
          <w:bCs/>
        </w:rPr>
        <w:t xml:space="preserve">Have not started the transition: </w:t>
      </w:r>
      <w:r w:rsidRPr="00FE23CB">
        <w:rPr>
          <w:rFonts w:asciiTheme="majorBidi" w:hAnsiTheme="majorBidi" w:cstheme="majorBidi"/>
        </w:rPr>
        <w:t>includes youth who are currently inactive and are not enrolled in educational establishment and have no desire to work.</w:t>
      </w:r>
    </w:p>
    <w:p w:rsidR="00FE23CB" w:rsidRPr="00FE23CB" w:rsidRDefault="00FE23CB" w:rsidP="00FE23CB">
      <w:pPr>
        <w:pStyle w:val="FootnoteText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FE23CB">
        <w:rPr>
          <w:rFonts w:asciiTheme="majorBidi" w:hAnsiTheme="majorBidi" w:cstheme="majorBidi"/>
          <w:b/>
          <w:bCs/>
        </w:rPr>
        <w:t>Going through the transition:</w:t>
      </w:r>
      <w:r w:rsidRPr="00FE23CB">
        <w:rPr>
          <w:rFonts w:asciiTheme="majorBidi" w:hAnsiTheme="majorBidi" w:cstheme="majorBidi"/>
        </w:rPr>
        <w:t xml:space="preserve"> includes youth who not working currently or are in temporary or unsatisfactory </w:t>
      </w:r>
    </w:p>
    <w:p w:rsidR="00FE23CB" w:rsidRPr="00FE23CB" w:rsidRDefault="00FE23CB" w:rsidP="00FE23CB">
      <w:pPr>
        <w:pStyle w:val="FootnoteText"/>
        <w:bidi w:val="0"/>
        <w:ind w:left="717"/>
        <w:rPr>
          <w:rFonts w:asciiTheme="majorBidi" w:hAnsiTheme="majorBidi" w:cstheme="majorBidi"/>
        </w:rPr>
      </w:pPr>
      <w:r w:rsidRPr="00FE23CB">
        <w:rPr>
          <w:rFonts w:asciiTheme="majorBidi" w:hAnsiTheme="majorBidi" w:cstheme="majorBidi"/>
        </w:rPr>
        <w:t>jobs.</w:t>
      </w:r>
    </w:p>
    <w:p w:rsidR="00FE23CB" w:rsidRPr="00FE23CB" w:rsidRDefault="00FE23CB" w:rsidP="00FE23CB">
      <w:pPr>
        <w:pStyle w:val="FootnoteText"/>
        <w:numPr>
          <w:ilvl w:val="0"/>
          <w:numId w:val="1"/>
        </w:numPr>
        <w:bidi w:val="0"/>
        <w:rPr>
          <w:rFonts w:asciiTheme="majorBidi" w:hAnsiTheme="majorBidi" w:cstheme="majorBidi"/>
          <w:rtl/>
        </w:rPr>
      </w:pPr>
      <w:r w:rsidRPr="00FE23CB">
        <w:rPr>
          <w:rFonts w:asciiTheme="majorBidi" w:hAnsiTheme="majorBidi" w:cstheme="majorBidi"/>
          <w:b/>
          <w:bCs/>
        </w:rPr>
        <w:t>Completed the transition:</w:t>
      </w:r>
      <w:r w:rsidRPr="00FE23CB">
        <w:rPr>
          <w:rFonts w:asciiTheme="majorBidi" w:hAnsiTheme="majorBidi" w:cstheme="majorBidi"/>
        </w:rPr>
        <w:t xml:space="preserve"> includes youth who are currently in stable or fixed positions.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919FB"/>
    <w:multiLevelType w:val="hybridMultilevel"/>
    <w:tmpl w:val="D49C1C3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3CB"/>
    <w:rsid w:val="001733B3"/>
    <w:rsid w:val="003E739D"/>
    <w:rsid w:val="009B6204"/>
    <w:rsid w:val="00A8312C"/>
    <w:rsid w:val="00A8457D"/>
    <w:rsid w:val="00BD1620"/>
    <w:rsid w:val="00FE23CB"/>
    <w:rsid w:val="00FF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3CB"/>
    <w:pPr>
      <w:bidi/>
      <w:spacing w:after="0" w:line="240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FE23CB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FE23CB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23CB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FE23CB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FE23CB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E23CB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FE23CB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E23CB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FE23CB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23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3CB"/>
    <w:rPr>
      <w:rFonts w:ascii="Calibri" w:eastAsia="Calibri" w:hAnsi="Calibri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23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23CB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23C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C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2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809228814051917"/>
          <c:y val="3.9932573083537051E-2"/>
          <c:w val="0.81395641065021063"/>
          <c:h val="0.68146493269539865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men</c:v>
                </c:pt>
              </c:strCache>
            </c:strRef>
          </c:tx>
          <c:spPr>
            <a:ln w="12695"/>
          </c:spPr>
          <c:marker>
            <c:symbol val="diamond"/>
            <c:size val="4"/>
          </c:marker>
          <c:dLbls>
            <c:dLbl>
              <c:idx val="0"/>
              <c:layout>
                <c:manualLayout>
                  <c:x val="-3.6246986354583496E-2"/>
                  <c:y val="7.570413612091740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B7E-4FCF-995A-71F63BB512DA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B7E-4FCF-995A-71F63BB512DA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B7E-4FCF-995A-71F63BB512DA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B7E-4FCF-995A-71F63BB512DA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B7E-4FCF-995A-71F63BB512DA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B7E-4FCF-995A-71F63BB512DA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B7E-4FCF-995A-71F63BB512DA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B7E-4FCF-995A-71F63BB512DA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B7E-4FCF-995A-71F63BB512DA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B7E-4FCF-995A-71F63BB512DA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B7E-4FCF-995A-71F63BB512DA}"/>
                </c:ext>
              </c:extLst>
            </c:dLbl>
            <c:dLbl>
              <c:idx val="1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B7E-4FCF-995A-71F63BB512DA}"/>
                </c:ext>
              </c:extLst>
            </c:dLbl>
            <c:dLbl>
              <c:idx val="1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B7E-4FCF-995A-71F63BB512DA}"/>
                </c:ext>
              </c:extLst>
            </c:dLbl>
            <c:dLbl>
              <c:idx val="1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B7E-4FCF-995A-71F63BB512DA}"/>
                </c:ext>
              </c:extLst>
            </c:dLbl>
            <c:dLbl>
              <c:idx val="1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B7E-4FCF-995A-71F63BB512DA}"/>
                </c:ext>
              </c:extLst>
            </c:dLbl>
            <c:dLbl>
              <c:idx val="15"/>
              <c:layout>
                <c:manualLayout>
                  <c:x val="-1.6782198412881793E-2"/>
                  <c:y val="-2.797448706008524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B7E-4FCF-995A-71F63BB512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Sheet1!$A$2:$A$17</c:f>
              <c:numCache>
                <c:formatCode>General</c:formatCode>
                <c:ptCount val="16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</c:numCache>
            </c:numRef>
          </c:cat>
          <c:val>
            <c:numRef>
              <c:f>Sheet1!$B$2:$B$17</c:f>
              <c:numCache>
                <c:formatCode>General</c:formatCode>
                <c:ptCount val="16"/>
                <c:pt idx="0">
                  <c:v>95.3</c:v>
                </c:pt>
                <c:pt idx="1">
                  <c:v>95.7</c:v>
                </c:pt>
                <c:pt idx="2">
                  <c:v>96.3</c:v>
                </c:pt>
                <c:pt idx="3">
                  <c:v>96.5</c:v>
                </c:pt>
                <c:pt idx="4">
                  <c:v>96.9</c:v>
                </c:pt>
                <c:pt idx="5">
                  <c:v>97.1</c:v>
                </c:pt>
                <c:pt idx="6">
                  <c:v>97.2</c:v>
                </c:pt>
                <c:pt idx="7">
                  <c:v>97.1</c:v>
                </c:pt>
                <c:pt idx="8">
                  <c:v>97.4</c:v>
                </c:pt>
                <c:pt idx="9">
                  <c:v>97.6</c:v>
                </c:pt>
                <c:pt idx="10">
                  <c:v>97.9</c:v>
                </c:pt>
                <c:pt idx="11">
                  <c:v>98.2</c:v>
                </c:pt>
                <c:pt idx="12">
                  <c:v>98.4</c:v>
                </c:pt>
                <c:pt idx="13">
                  <c:v>98.4</c:v>
                </c:pt>
                <c:pt idx="14">
                  <c:v>98.5</c:v>
                </c:pt>
                <c:pt idx="15">
                  <c:v>98.6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1B7E-4FCF-995A-71F63BB512D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women</c:v>
                </c:pt>
              </c:strCache>
            </c:strRef>
          </c:tx>
          <c:spPr>
            <a:ln w="12695"/>
          </c:spPr>
          <c:marker>
            <c:symbol val="square"/>
            <c:size val="4"/>
          </c:marker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B7E-4FCF-995A-71F63BB512DA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B7E-4FCF-995A-71F63BB512DA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B7E-4FCF-995A-71F63BB512DA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B7E-4FCF-995A-71F63BB512DA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B7E-4FCF-995A-71F63BB512DA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B7E-4FCF-995A-71F63BB512DA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B7E-4FCF-995A-71F63BB512DA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1B7E-4FCF-995A-71F63BB512DA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1B7E-4FCF-995A-71F63BB512DA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1B7E-4FCF-995A-71F63BB512DA}"/>
                </c:ext>
              </c:extLst>
            </c:dLbl>
            <c:dLbl>
              <c:idx val="1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1B7E-4FCF-995A-71F63BB512DA}"/>
                </c:ext>
              </c:extLst>
            </c:dLbl>
            <c:dLbl>
              <c:idx val="1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1B7E-4FCF-995A-71F63BB512DA}"/>
                </c:ext>
              </c:extLst>
            </c:dLbl>
            <c:dLbl>
              <c:idx val="1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1B7E-4FCF-995A-71F63BB512DA}"/>
                </c:ext>
              </c:extLst>
            </c:dLbl>
            <c:dLbl>
              <c:idx val="1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1B7E-4FCF-995A-71F63BB512DA}"/>
                </c:ext>
              </c:extLst>
            </c:dLbl>
            <c:dLbl>
              <c:idx val="15"/>
              <c:layout>
                <c:manualLayout>
                  <c:x val="-2.0692266839079279E-2"/>
                  <c:y val="5.8047018316258851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1B7E-4FCF-995A-71F63BB512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Sheet1!$A$2:$A$17</c:f>
              <c:numCache>
                <c:formatCode>General</c:formatCode>
                <c:ptCount val="16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</c:numCache>
            </c:numRef>
          </c:cat>
          <c:val>
            <c:numRef>
              <c:f>Sheet1!$C$2:$C$17</c:f>
              <c:numCache>
                <c:formatCode>General</c:formatCode>
                <c:ptCount val="16"/>
                <c:pt idx="0">
                  <c:v>84.7</c:v>
                </c:pt>
                <c:pt idx="1">
                  <c:v>86.4</c:v>
                </c:pt>
                <c:pt idx="2">
                  <c:v>87.4</c:v>
                </c:pt>
                <c:pt idx="3" formatCode="0.0">
                  <c:v>88</c:v>
                </c:pt>
                <c:pt idx="4">
                  <c:v>88.9</c:v>
                </c:pt>
                <c:pt idx="5">
                  <c:v>89.8</c:v>
                </c:pt>
                <c:pt idx="6">
                  <c:v>90.5</c:v>
                </c:pt>
                <c:pt idx="7">
                  <c:v>90.9</c:v>
                </c:pt>
                <c:pt idx="8">
                  <c:v>91.7</c:v>
                </c:pt>
                <c:pt idx="9">
                  <c:v>92.2</c:v>
                </c:pt>
                <c:pt idx="10">
                  <c:v>92.6</c:v>
                </c:pt>
                <c:pt idx="11">
                  <c:v>93.6</c:v>
                </c:pt>
                <c:pt idx="12">
                  <c:v>94.1</c:v>
                </c:pt>
                <c:pt idx="13">
                  <c:v>94.4</c:v>
                </c:pt>
                <c:pt idx="14">
                  <c:v>94.9</c:v>
                </c:pt>
                <c:pt idx="15">
                  <c:v>95.2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1B7E-4FCF-995A-71F63BB512DA}"/>
            </c:ext>
          </c:extLst>
        </c:ser>
        <c:marker val="1"/>
        <c:axId val="84317696"/>
        <c:axId val="84353024"/>
      </c:lineChart>
      <c:catAx>
        <c:axId val="84317696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Year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0.48673565351158687"/>
              <c:y val="0.89405273204485969"/>
            </c:manualLayout>
          </c:layout>
        </c:title>
        <c:numFmt formatCode="General" sourceLinked="1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4353024"/>
        <c:crosses val="autoZero"/>
        <c:auto val="1"/>
        <c:lblAlgn val="ctr"/>
        <c:lblOffset val="100"/>
      </c:catAx>
      <c:valAx>
        <c:axId val="84353024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Rate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1.7111778553454034E-2"/>
              <c:y val="0.21861529558248544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4317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8260817850937"/>
          <c:y val="0.41382009067048692"/>
          <c:w val="0.45850243039861732"/>
          <c:h val="0.13371748985922444"/>
        </c:manualLayout>
      </c:layout>
      <c:spPr>
        <a:ln>
          <a:solidFill>
            <a:srgbClr val="4F81BD"/>
          </a:solidFill>
        </a:ln>
      </c:spPr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9.5137107403845497E-2"/>
          <c:y val="4.4404435558750122E-2"/>
          <c:w val="0.88114207817543444"/>
          <c:h val="0.65585270157550368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Males</c:v>
                </c:pt>
              </c:strCache>
            </c:strRef>
          </c:tx>
          <c:dLbls>
            <c:dLbl>
              <c:idx val="0"/>
              <c:layout>
                <c:manualLayout>
                  <c:x val="-4.9395809114831934E-2"/>
                  <c:y val="-6.614989453554691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CD-413E-BB81-5DE46AE8D6BC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CD-413E-BB81-5DE46AE8D6BC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9CD-413E-BB81-5DE46AE8D6BC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9CD-413E-BB81-5DE46AE8D6BC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9CD-413E-BB81-5DE46AE8D6BC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CD-413E-BB81-5DE46AE8D6BC}"/>
                </c:ext>
              </c:extLst>
            </c:dLbl>
            <c:dLbl>
              <c:idx val="6"/>
              <c:layout>
                <c:manualLayout>
                  <c:x val="-4.9892529295905139E-2"/>
                  <c:y val="-7.17158280785549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9CD-413E-BB81-5DE46AE8D6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2009/2010</c:v>
                </c:pt>
                <c:pt idx="1">
                  <c:v>2010/2011</c:v>
                </c:pt>
                <c:pt idx="2">
                  <c:v>2011/2012</c:v>
                </c:pt>
                <c:pt idx="3">
                  <c:v>2012/2013</c:v>
                </c:pt>
                <c:pt idx="4">
                  <c:v>2013/2014</c:v>
                </c:pt>
                <c:pt idx="5">
                  <c:v>2014/2015</c:v>
                </c:pt>
                <c:pt idx="6">
                  <c:v>2015/2016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72.900000000000006</c:v>
                </c:pt>
                <c:pt idx="1">
                  <c:v>68.3</c:v>
                </c:pt>
                <c:pt idx="2">
                  <c:v>67.900000000000006</c:v>
                </c:pt>
                <c:pt idx="3">
                  <c:v>64.900000000000006</c:v>
                </c:pt>
                <c:pt idx="4">
                  <c:v>61.2</c:v>
                </c:pt>
                <c:pt idx="5">
                  <c:v>60.1</c:v>
                </c:pt>
                <c:pt idx="6">
                  <c:v>58.7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99CD-413E-BB81-5DE46AE8D6B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Females</c:v>
                </c:pt>
              </c:strCache>
            </c:strRef>
          </c:tx>
          <c:spPr>
            <a:ln>
              <a:prstDash val="lgDash"/>
            </a:ln>
          </c:spPr>
          <c:marker>
            <c:spPr>
              <a:ln>
                <a:prstDash val="lgDash"/>
              </a:ln>
            </c:spPr>
          </c:marker>
          <c:dLbls>
            <c:dLbl>
              <c:idx val="0"/>
              <c:layout>
                <c:manualLayout>
                  <c:x val="-5.8427322020273363E-2"/>
                  <c:y val="-6.112622313312432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9CD-413E-BB81-5DE46AE8D6BC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9CD-413E-BB81-5DE46AE8D6BC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9CD-413E-BB81-5DE46AE8D6BC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9CD-413E-BB81-5DE46AE8D6BC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9CD-413E-BB81-5DE46AE8D6BC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9CD-413E-BB81-5DE46AE8D6BC}"/>
                </c:ext>
              </c:extLst>
            </c:dLbl>
            <c:dLbl>
              <c:idx val="6"/>
              <c:layout>
                <c:manualLayout>
                  <c:x val="-3.722958471912835E-2"/>
                  <c:y val="-7.027274679014011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9CD-413E-BB81-5DE46AE8D6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2009/2010</c:v>
                </c:pt>
                <c:pt idx="1">
                  <c:v>2010/2011</c:v>
                </c:pt>
                <c:pt idx="2">
                  <c:v>2011/2012</c:v>
                </c:pt>
                <c:pt idx="3">
                  <c:v>2012/2013</c:v>
                </c:pt>
                <c:pt idx="4">
                  <c:v>2013/2014</c:v>
                </c:pt>
                <c:pt idx="5">
                  <c:v>2014/2015</c:v>
                </c:pt>
                <c:pt idx="6">
                  <c:v>2015/2016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 formatCode="0.0">
                  <c:v>90</c:v>
                </c:pt>
                <c:pt idx="1">
                  <c:v>87.1</c:v>
                </c:pt>
                <c:pt idx="2">
                  <c:v>84.5</c:v>
                </c:pt>
                <c:pt idx="3">
                  <c:v>82.5</c:v>
                </c:pt>
                <c:pt idx="4">
                  <c:v>80.099999999999994</c:v>
                </c:pt>
                <c:pt idx="5">
                  <c:v>78.7</c:v>
                </c:pt>
                <c:pt idx="6">
                  <c:v>78.599999999999994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99CD-413E-BB81-5DE46AE8D6BC}"/>
            </c:ext>
          </c:extLst>
        </c:ser>
        <c:marker val="1"/>
        <c:axId val="85103744"/>
        <c:axId val="94208384"/>
      </c:lineChart>
      <c:catAx>
        <c:axId val="851037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700"/>
            </a:pPr>
            <a:endParaRPr lang="ar-SA"/>
          </a:p>
        </c:txPr>
        <c:crossAx val="94208384"/>
        <c:crosses val="autoZero"/>
        <c:auto val="1"/>
        <c:lblAlgn val="ctr"/>
        <c:lblOffset val="100"/>
      </c:catAx>
      <c:valAx>
        <c:axId val="94208384"/>
        <c:scaling>
          <c:orientation val="minMax"/>
          <c:max val="100"/>
          <c:min val="50"/>
        </c:scaling>
        <c:axPos val="l"/>
        <c:majorGridlines>
          <c:spPr>
            <a:ln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1"/>
        <c:majorTickMark val="none"/>
        <c:tickLblPos val="nextTo"/>
        <c:crossAx val="85103744"/>
        <c:crosses val="autoZero"/>
        <c:crossBetween val="between"/>
        <c:majorUnit val="10"/>
        <c:minorUnit val="5"/>
      </c:valAx>
      <c:spPr>
        <a:ln>
          <a:solidFill>
            <a:schemeClr val="bg1">
              <a:lumMod val="85000"/>
            </a:schemeClr>
          </a:solidFill>
        </a:ln>
      </c:spPr>
    </c:plotArea>
    <c:legend>
      <c:legendPos val="t"/>
      <c:layout>
        <c:manualLayout>
          <c:xMode val="edge"/>
          <c:yMode val="edge"/>
          <c:x val="0.36757293399419616"/>
          <c:y val="5.7556699593414112E-2"/>
          <c:w val="0.58325322385741329"/>
          <c:h val="9.4587407109881547E-2"/>
        </c:manualLayout>
      </c:layout>
      <c:spPr>
        <a:ln w="6350">
          <a:solidFill>
            <a:sysClr val="window" lastClr="FFFFFF">
              <a:lumMod val="65000"/>
            </a:sysClr>
          </a:solidFill>
        </a:ln>
      </c:spPr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800"/>
      </a:pPr>
      <a:endParaRPr lang="ar-S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3383802173833639"/>
          <c:y val="3.7930190852840245E-2"/>
          <c:w val="0.82776099309653883"/>
          <c:h val="0.59398022216919866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men</c:v>
                </c:pt>
              </c:strCache>
            </c:strRef>
          </c:tx>
          <c:spPr>
            <a:ln w="12700"/>
          </c:spPr>
          <c:marker>
            <c:symbol val="diamond"/>
            <c:size val="4"/>
          </c:marker>
          <c:dLbls>
            <c:dLbl>
              <c:idx val="0"/>
              <c:layout>
                <c:manualLayout>
                  <c:x val="-5.6587161539821323E-2"/>
                  <c:y val="8.508307502286195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F9-4C6D-B2A7-09DD9A78220E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F9-4C6D-B2A7-09DD9A78220E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F9-4C6D-B2A7-09DD9A78220E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F9-4C6D-B2A7-09DD9A78220E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3F9-4C6D-B2A7-09DD9A78220E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F9-4C6D-B2A7-09DD9A78220E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3F9-4C6D-B2A7-09DD9A78220E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F9-4C6D-B2A7-09DD9A78220E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3F9-4C6D-B2A7-09DD9A78220E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3F9-4C6D-B2A7-09DD9A78220E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3F9-4C6D-B2A7-09DD9A78220E}"/>
                </c:ext>
              </c:extLst>
            </c:dLbl>
            <c:dLbl>
              <c:idx val="1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3F9-4C6D-B2A7-09DD9A78220E}"/>
                </c:ext>
              </c:extLst>
            </c:dLbl>
            <c:dLbl>
              <c:idx val="1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3F9-4C6D-B2A7-09DD9A78220E}"/>
                </c:ext>
              </c:extLst>
            </c:dLbl>
            <c:dLbl>
              <c:idx val="1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3F9-4C6D-B2A7-09DD9A78220E}"/>
                </c:ext>
              </c:extLst>
            </c:dLbl>
            <c:dLbl>
              <c:idx val="1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3F9-4C6D-B2A7-09DD9A7822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ar-SA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Sheet1!$A$2:$A$17</c:f>
              <c:numCache>
                <c:formatCode>General</c:formatCode>
                <c:ptCount val="16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</c:numCache>
            </c:numRef>
          </c:cat>
          <c:val>
            <c:numRef>
              <c:f>Sheet1!$B$2:$B$17</c:f>
              <c:numCache>
                <c:formatCode>0.0</c:formatCode>
                <c:ptCount val="16"/>
                <c:pt idx="0">
                  <c:v>66.8</c:v>
                </c:pt>
                <c:pt idx="1">
                  <c:v>65.5</c:v>
                </c:pt>
                <c:pt idx="2">
                  <c:v>67.5</c:v>
                </c:pt>
                <c:pt idx="3" formatCode="General">
                  <c:v>66.900000000000006</c:v>
                </c:pt>
                <c:pt idx="4" formatCode="General">
                  <c:v>67.599999999999994</c:v>
                </c:pt>
                <c:pt idx="5" formatCode="General">
                  <c:v>67.7</c:v>
                </c:pt>
                <c:pt idx="6" formatCode="General">
                  <c:v>67.7</c:v>
                </c:pt>
                <c:pt idx="7" formatCode="General">
                  <c:v>66.8</c:v>
                </c:pt>
                <c:pt idx="8" formatCode="General">
                  <c:v>67</c:v>
                </c:pt>
                <c:pt idx="9" formatCode="General">
                  <c:v>66.8</c:v>
                </c:pt>
                <c:pt idx="10" formatCode="General">
                  <c:v>68.7</c:v>
                </c:pt>
                <c:pt idx="11" formatCode="General">
                  <c:v>69.099999999999994</c:v>
                </c:pt>
                <c:pt idx="12" formatCode="General">
                  <c:v>69.3</c:v>
                </c:pt>
                <c:pt idx="13">
                  <c:v>71.5</c:v>
                </c:pt>
                <c:pt idx="14">
                  <c:v>71.900000000000006</c:v>
                </c:pt>
                <c:pt idx="15">
                  <c:v>71.599999999999994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03F9-4C6D-B2A7-09DD9A78220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women</c:v>
                </c:pt>
              </c:strCache>
            </c:strRef>
          </c:tx>
          <c:spPr>
            <a:ln w="12700">
              <a:solidFill>
                <a:srgbClr val="C0504D">
                  <a:shade val="95000"/>
                  <a:satMod val="105000"/>
                </a:srgbClr>
              </a:solidFill>
              <a:headEnd type="none"/>
              <a:tailEnd w="sm" len="sm"/>
            </a:ln>
          </c:spPr>
          <c:marker>
            <c:symbol val="square"/>
            <c:size val="3"/>
          </c:marker>
          <c:dLbls>
            <c:dLbl>
              <c:idx val="0"/>
              <c:layout>
                <c:manualLayout>
                  <c:x val="-4.8710044564634222E-2"/>
                  <c:y val="-8.508307502286195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3F9-4C6D-B2A7-09DD9A78220E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3F9-4C6D-B2A7-09DD9A78220E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3F9-4C6D-B2A7-09DD9A78220E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3F9-4C6D-B2A7-09DD9A78220E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3F9-4C6D-B2A7-09DD9A78220E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3F9-4C6D-B2A7-09DD9A78220E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3F9-4C6D-B2A7-09DD9A78220E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3F9-4C6D-B2A7-09DD9A78220E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3F9-4C6D-B2A7-09DD9A78220E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3F9-4C6D-B2A7-09DD9A78220E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03F9-4C6D-B2A7-09DD9A78220E}"/>
                </c:ext>
              </c:extLst>
            </c:dLbl>
            <c:dLbl>
              <c:idx val="1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03F9-4C6D-B2A7-09DD9A78220E}"/>
                </c:ext>
              </c:extLst>
            </c:dLbl>
            <c:dLbl>
              <c:idx val="1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03F9-4C6D-B2A7-09DD9A78220E}"/>
                </c:ext>
              </c:extLst>
            </c:dLbl>
            <c:dLbl>
              <c:idx val="1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03F9-4C6D-B2A7-09DD9A78220E}"/>
                </c:ext>
              </c:extLst>
            </c:dLbl>
            <c:dLbl>
              <c:idx val="1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03F9-4C6D-B2A7-09DD9A7822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ar-SA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Sheet1!$A$2:$A$17</c:f>
              <c:numCache>
                <c:formatCode>General</c:formatCode>
                <c:ptCount val="16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</c:numCache>
            </c:numRef>
          </c:cat>
          <c:val>
            <c:numRef>
              <c:f>Sheet1!$C$2:$C$17</c:f>
              <c:numCache>
                <c:formatCode>0.0</c:formatCode>
                <c:ptCount val="16"/>
                <c:pt idx="0">
                  <c:v>10.3</c:v>
                </c:pt>
                <c:pt idx="1">
                  <c:v>10.3</c:v>
                </c:pt>
                <c:pt idx="2">
                  <c:v>12.8</c:v>
                </c:pt>
                <c:pt idx="3" formatCode="General">
                  <c:v>13.5</c:v>
                </c:pt>
                <c:pt idx="4" formatCode="General">
                  <c:v>13.4</c:v>
                </c:pt>
                <c:pt idx="5" formatCode="General">
                  <c:v>14.5</c:v>
                </c:pt>
                <c:pt idx="6" formatCode="General">
                  <c:v>15.7</c:v>
                </c:pt>
                <c:pt idx="7" formatCode="General">
                  <c:v>15.2</c:v>
                </c:pt>
                <c:pt idx="8" formatCode="General">
                  <c:v>15.5</c:v>
                </c:pt>
                <c:pt idx="9" formatCode="General">
                  <c:v>14.7</c:v>
                </c:pt>
                <c:pt idx="10" formatCode="General">
                  <c:v>16.600000000000001</c:v>
                </c:pt>
                <c:pt idx="11" formatCode="General">
                  <c:v>17.399999999999999</c:v>
                </c:pt>
                <c:pt idx="12" formatCode="General">
                  <c:v>17.3</c:v>
                </c:pt>
                <c:pt idx="13">
                  <c:v>19.399999999999999</c:v>
                </c:pt>
                <c:pt idx="14">
                  <c:v>19.100000000000001</c:v>
                </c:pt>
                <c:pt idx="15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F-03F9-4C6D-B2A7-09DD9A78220E}"/>
            </c:ext>
          </c:extLst>
        </c:ser>
        <c:marker val="1"/>
        <c:axId val="112384640"/>
        <c:axId val="121291904"/>
      </c:lineChart>
      <c:catAx>
        <c:axId val="112384640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IE"/>
                  <a:t>Year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0.45421925862870671"/>
              <c:y val="0.85095209252689741"/>
            </c:manualLayout>
          </c:layout>
        </c:title>
        <c:numFmt formatCode="General" sourceLinked="1"/>
        <c:tickLblPos val="nextTo"/>
        <c:spPr>
          <a:noFill/>
        </c:spPr>
        <c:txPr>
          <a:bodyPr rot="-5400000" vert="horz"/>
          <a:lstStyle/>
          <a:p>
            <a:pPr>
              <a:defRPr/>
            </a:pPr>
            <a:endParaRPr lang="ar-SA"/>
          </a:p>
        </c:txPr>
        <c:crossAx val="121291904"/>
        <c:crosses val="autoZero"/>
        <c:auto val="1"/>
        <c:lblAlgn val="ctr"/>
        <c:lblOffset val="100"/>
      </c:catAx>
      <c:valAx>
        <c:axId val="121291904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IE"/>
                  <a:t>Rate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6.8774286097120834E-3"/>
              <c:y val="0.25163681462894061"/>
            </c:manualLayout>
          </c:layout>
        </c:title>
        <c:numFmt formatCode="0.0" sourceLinked="1"/>
        <c:tickLblPos val="nextTo"/>
        <c:crossAx val="112384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9072318087898772"/>
          <c:y val="0.27994439051282982"/>
          <c:w val="0.45190085281892967"/>
          <c:h val="0.11295389446182251"/>
        </c:manualLayout>
      </c:layout>
      <c:spPr>
        <a:ln>
          <a:solidFill>
            <a:srgbClr val="4F81BD"/>
          </a:solidFill>
        </a:ln>
      </c:spPr>
    </c:legend>
    <c:plotVisOnly val="1"/>
    <c:dispBlanksAs val="gap"/>
  </c:chart>
  <c:spPr>
    <a:ln>
      <a:noFill/>
    </a:ln>
  </c:spPr>
  <c:txPr>
    <a:bodyPr/>
    <a:lstStyle/>
    <a:p>
      <a:pPr>
        <a:defRPr sz="1050"/>
      </a:pPr>
      <a:endParaRPr lang="ar-SA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720526259138797"/>
          <c:y val="3.9932573083537051E-2"/>
          <c:w val="0.78484347185308601"/>
          <c:h val="0.6854266865290487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men</c:v>
                </c:pt>
              </c:strCache>
            </c:strRef>
          </c:tx>
          <c:spPr>
            <a:ln w="12704"/>
          </c:spPr>
          <c:marker>
            <c:symbol val="diamond"/>
            <c:size val="5"/>
          </c:marker>
          <c:dLbls>
            <c:dLbl>
              <c:idx val="0"/>
              <c:layout>
                <c:manualLayout>
                  <c:x val="-3.6246986354583496E-2"/>
                  <c:y val="7.57041361209169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D9-4E82-B8C5-CF0C0466B466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D9-4E82-B8C5-CF0C0466B466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D9-4E82-B8C5-CF0C0466B466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D9-4E82-B8C5-CF0C0466B466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D9-4E82-B8C5-CF0C0466B466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D9-4E82-B8C5-CF0C0466B466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D9-4E82-B8C5-CF0C0466B466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D9-4E82-B8C5-CF0C0466B466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D9-4E82-B8C5-CF0C0466B466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D9-4E82-B8C5-CF0C0466B466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D9-4E82-B8C5-CF0C0466B466}"/>
                </c:ext>
              </c:extLst>
            </c:dLbl>
            <c:dLbl>
              <c:idx val="1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D9-4E82-B8C5-CF0C0466B466}"/>
                </c:ext>
              </c:extLst>
            </c:dLbl>
            <c:dLbl>
              <c:idx val="1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BD9-4E82-B8C5-CF0C0466B466}"/>
                </c:ext>
              </c:extLst>
            </c:dLbl>
            <c:dLbl>
              <c:idx val="1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D9-4E82-B8C5-CF0C0466B466}"/>
                </c:ext>
              </c:extLst>
            </c:dLbl>
            <c:dLbl>
              <c:idx val="1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D9-4E82-B8C5-CF0C0466B4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Sheet1!$A$2:$A$17</c:f>
              <c:numCache>
                <c:formatCode>General</c:formatCode>
                <c:ptCount val="16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</c:numCache>
            </c:numRef>
          </c:cat>
          <c:val>
            <c:numRef>
              <c:f>Sheet1!$B$2:$B$17</c:f>
              <c:numCache>
                <c:formatCode>0.0</c:formatCode>
                <c:ptCount val="16"/>
                <c:pt idx="0">
                  <c:v>27.1</c:v>
                </c:pt>
                <c:pt idx="1">
                  <c:v>33.5</c:v>
                </c:pt>
                <c:pt idx="2">
                  <c:v>26.9</c:v>
                </c:pt>
                <c:pt idx="3">
                  <c:v>28.1</c:v>
                </c:pt>
                <c:pt idx="4">
                  <c:v>23.7</c:v>
                </c:pt>
                <c:pt idx="5">
                  <c:v>24.2</c:v>
                </c:pt>
                <c:pt idx="6">
                  <c:v>22.1</c:v>
                </c:pt>
                <c:pt idx="7">
                  <c:v>26.5</c:v>
                </c:pt>
                <c:pt idx="8">
                  <c:v>24.1</c:v>
                </c:pt>
                <c:pt idx="9">
                  <c:v>23.1</c:v>
                </c:pt>
                <c:pt idx="10">
                  <c:v>19.2</c:v>
                </c:pt>
                <c:pt idx="11">
                  <c:v>20.5</c:v>
                </c:pt>
                <c:pt idx="12">
                  <c:v>20.6</c:v>
                </c:pt>
                <c:pt idx="13">
                  <c:v>23.9</c:v>
                </c:pt>
                <c:pt idx="14">
                  <c:v>22.5</c:v>
                </c:pt>
                <c:pt idx="15">
                  <c:v>22.2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FBD9-4E82-B8C5-CF0C0466B4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women</c:v>
                </c:pt>
              </c:strCache>
            </c:strRef>
          </c:tx>
          <c:spPr>
            <a:ln w="12704"/>
          </c:spPr>
          <c:marker>
            <c:symbol val="square"/>
            <c:size val="5"/>
          </c:marker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D9-4E82-B8C5-CF0C0466B466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D9-4E82-B8C5-CF0C0466B466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D9-4E82-B8C5-CF0C0466B466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D9-4E82-B8C5-CF0C0466B466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D9-4E82-B8C5-CF0C0466B466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D9-4E82-B8C5-CF0C0466B466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D9-4E82-B8C5-CF0C0466B466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D9-4E82-B8C5-CF0C0466B466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D9-4E82-B8C5-CF0C0466B466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BD9-4E82-B8C5-CF0C0466B466}"/>
                </c:ext>
              </c:extLst>
            </c:dLbl>
            <c:dLbl>
              <c:idx val="1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FBD9-4E82-B8C5-CF0C0466B466}"/>
                </c:ext>
              </c:extLst>
            </c:dLbl>
            <c:dLbl>
              <c:idx val="1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FBD9-4E82-B8C5-CF0C0466B466}"/>
                </c:ext>
              </c:extLst>
            </c:dLbl>
            <c:dLbl>
              <c:idx val="1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FBD9-4E82-B8C5-CF0C0466B466}"/>
                </c:ext>
              </c:extLst>
            </c:dLbl>
            <c:dLbl>
              <c:idx val="1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FBD9-4E82-B8C5-CF0C0466B466}"/>
                </c:ext>
              </c:extLst>
            </c:dLbl>
            <c:dLbl>
              <c:idx val="15"/>
              <c:layout>
                <c:manualLayout>
                  <c:x val="-1.9023558611064913E-2"/>
                  <c:y val="-7.4489134804095566E-2"/>
                </c:manualLayout>
              </c:layout>
              <c:dLblPos val="r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Sheet1!$A$2:$A$17</c:f>
              <c:numCache>
                <c:formatCode>General</c:formatCode>
                <c:ptCount val="16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</c:numCache>
            </c:numRef>
          </c:cat>
          <c:val>
            <c:numRef>
              <c:f>Sheet1!$C$2:$C$17</c:f>
              <c:numCache>
                <c:formatCode>0.0</c:formatCode>
                <c:ptCount val="16"/>
                <c:pt idx="0">
                  <c:v>13.8</c:v>
                </c:pt>
                <c:pt idx="1">
                  <c:v>17</c:v>
                </c:pt>
                <c:pt idx="2">
                  <c:v>18.5</c:v>
                </c:pt>
                <c:pt idx="3">
                  <c:v>20.100000000000001</c:v>
                </c:pt>
                <c:pt idx="4">
                  <c:v>22.3</c:v>
                </c:pt>
                <c:pt idx="5">
                  <c:v>20.5</c:v>
                </c:pt>
                <c:pt idx="6">
                  <c:v>19</c:v>
                </c:pt>
                <c:pt idx="7">
                  <c:v>23.8</c:v>
                </c:pt>
                <c:pt idx="8">
                  <c:v>26.4</c:v>
                </c:pt>
                <c:pt idx="9">
                  <c:v>26.8</c:v>
                </c:pt>
                <c:pt idx="10">
                  <c:v>28.4</c:v>
                </c:pt>
                <c:pt idx="11">
                  <c:v>32.9</c:v>
                </c:pt>
                <c:pt idx="12">
                  <c:v>35</c:v>
                </c:pt>
                <c:pt idx="13">
                  <c:v>38.4</c:v>
                </c:pt>
                <c:pt idx="14">
                  <c:v>39.200000000000003</c:v>
                </c:pt>
                <c:pt idx="15">
                  <c:v>44.7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E-FBD9-4E82-B8C5-CF0C0466B466}"/>
            </c:ext>
          </c:extLst>
        </c:ser>
        <c:marker val="1"/>
        <c:axId val="199322624"/>
        <c:axId val="199341184"/>
      </c:lineChart>
      <c:catAx>
        <c:axId val="199322624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IE"/>
                  <a:t>Year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0.4867359169680337"/>
              <c:y val="0.89640704002908722"/>
            </c:manualLayout>
          </c:layout>
        </c:title>
        <c:numFmt formatCode="General" sourceLinked="1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99341184"/>
        <c:crosses val="autoZero"/>
        <c:auto val="1"/>
        <c:lblAlgn val="ctr"/>
        <c:lblOffset val="100"/>
      </c:catAx>
      <c:valAx>
        <c:axId val="199341184"/>
        <c:scaling>
          <c:orientation val="minMax"/>
          <c:max val="50"/>
          <c:min val="0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IE"/>
                  <a:t>Rate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8.4211786230303839E-3"/>
              <c:y val="0.29892717955710296"/>
            </c:manualLayout>
          </c:layout>
        </c:title>
        <c:numFmt formatCode="0.0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99322624"/>
        <c:crosses val="autoZero"/>
        <c:crossBetween val="between"/>
        <c:majorUnit val="10"/>
        <c:minorUnit val="10"/>
      </c:valAx>
    </c:plotArea>
    <c:legend>
      <c:legendPos val="r"/>
      <c:layout>
        <c:manualLayout>
          <c:xMode val="edge"/>
          <c:yMode val="edge"/>
          <c:x val="0.28192560522079835"/>
          <c:y val="0.12165188810858099"/>
          <c:w val="0.4585023126180886"/>
          <c:h val="0.1036873093566007"/>
        </c:manualLayout>
      </c:layout>
      <c:spPr>
        <a:ln>
          <a:solidFill>
            <a:srgbClr val="4F81BD"/>
          </a:solidFill>
        </a:ln>
      </c:spPr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</c:chart>
  <c:spPr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1020233421830916"/>
          <c:y val="6.1254746193095365E-2"/>
          <c:w val="0.86788959737381732"/>
          <c:h val="0.6692337934745618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persons who did not start the Transition </c:v>
                </c:pt>
                <c:pt idx="1">
                  <c:v>persons who went through the Transition </c:v>
                </c:pt>
                <c:pt idx="2">
                  <c:v>Persons who Transition  from school to the labor market</c:v>
                </c:pt>
              </c:strCache>
            </c:strRef>
          </c:cat>
          <c:val>
            <c:numRef>
              <c:f>Sheet1!$B$2:$B$4</c:f>
              <c:numCache>
                <c:formatCode>_-* #,##0.0_-;_-* #,##0.0\-;_-* "-"??_-;_-@_-</c:formatCode>
                <c:ptCount val="3"/>
                <c:pt idx="0">
                  <c:v>58.525211308656367</c:v>
                </c:pt>
                <c:pt idx="1">
                  <c:v>34.9</c:v>
                </c:pt>
                <c:pt idx="2">
                  <c:v>6.6307199067327307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19-4602-8B32-FD6F249B353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persons who did not start the Transition </c:v>
                </c:pt>
                <c:pt idx="1">
                  <c:v>persons who went through the Transition </c:v>
                </c:pt>
                <c:pt idx="2">
                  <c:v>Persons who Transition  from school to the labor market</c:v>
                </c:pt>
              </c:strCache>
            </c:strRef>
          </c:cat>
          <c:val>
            <c:numRef>
              <c:f>Sheet1!$C$2:$C$4</c:f>
              <c:numCache>
                <c:formatCode>_-* #,##0.0_-;_-* #,##0.0\-;_-* "-"??_-;_-@_-</c:formatCode>
                <c:ptCount val="3"/>
                <c:pt idx="0">
                  <c:v>25.010467550593162</c:v>
                </c:pt>
                <c:pt idx="1">
                  <c:v>30.160502442428474</c:v>
                </c:pt>
                <c:pt idx="2">
                  <c:v>44.829030006978428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19-4602-8B32-FD6F249B3538}"/>
            </c:ext>
          </c:extLst>
        </c:ser>
        <c:axId val="187939840"/>
        <c:axId val="198099712"/>
      </c:barChart>
      <c:catAx>
        <c:axId val="187939840"/>
        <c:scaling>
          <c:orientation val="minMax"/>
        </c:scaling>
        <c:axPos val="b"/>
        <c:numFmt formatCode="General" sourceLinked="0"/>
        <c:tickLblPos val="nextTo"/>
        <c:crossAx val="198099712"/>
        <c:crosses val="autoZero"/>
        <c:auto val="1"/>
        <c:lblAlgn val="ctr"/>
        <c:lblOffset val="100"/>
      </c:catAx>
      <c:valAx>
        <c:axId val="198099712"/>
        <c:scaling>
          <c:orientation val="minMax"/>
        </c:scaling>
        <c:axPos val="l"/>
        <c:numFmt formatCode="#,##0" sourceLinked="0"/>
        <c:tickLblPos val="nextTo"/>
        <c:crossAx val="187939840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40184729336017488"/>
          <c:y val="5.1468941382327195E-2"/>
          <c:w val="0.38848692555250069"/>
          <c:h val="0.11342481776792332"/>
        </c:manualLayout>
      </c:layout>
      <c:spPr>
        <a:ln>
          <a:solidFill>
            <a:schemeClr val="tx1"/>
          </a:solidFill>
        </a:ln>
      </c:spPr>
    </c:legend>
    <c:plotVisOnly val="1"/>
    <c:dispBlanksAs val="gap"/>
  </c:chart>
  <c:spPr>
    <a:ln>
      <a:noFill/>
    </a:ln>
  </c:spPr>
  <c:txPr>
    <a:bodyPr/>
    <a:lstStyle/>
    <a:p>
      <a:pPr>
        <a:defRPr sz="1100">
          <a:cs typeface="+mj-cs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C0678-BD28-4CC6-AAA3-F2875D33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2017-03-07T09:56:00Z</dcterms:created>
  <dcterms:modified xsi:type="dcterms:W3CDTF">2017-03-07T10:06:00Z</dcterms:modified>
</cp:coreProperties>
</file>