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43C" w:rsidRDefault="00BE743C" w:rsidP="00BE743C">
      <w:pPr>
        <w:pStyle w:val="Header"/>
        <w:jc w:val="center"/>
        <w:rPr>
          <w:b/>
          <w:bCs/>
          <w:sz w:val="28"/>
          <w:szCs w:val="28"/>
        </w:rPr>
      </w:pPr>
    </w:p>
    <w:p w:rsidR="00BE743C" w:rsidRDefault="00BE743C" w:rsidP="00BE743C">
      <w:pPr>
        <w:pStyle w:val="Header"/>
        <w:jc w:val="center"/>
        <w:rPr>
          <w:rFonts w:hint="cs"/>
          <w:b/>
          <w:bCs/>
          <w:sz w:val="28"/>
          <w:szCs w:val="28"/>
          <w:rtl/>
        </w:rPr>
      </w:pPr>
      <w:r w:rsidRPr="00BE743C">
        <w:rPr>
          <w:b/>
          <w:bCs/>
          <w:sz w:val="28"/>
          <w:szCs w:val="28"/>
        </w:rPr>
        <w:t>Palestinian Central Bureau of Statistics (PCBS)</w:t>
      </w:r>
    </w:p>
    <w:p w:rsidR="00BE743C" w:rsidRPr="00BE743C" w:rsidRDefault="00BE743C" w:rsidP="00BE743C">
      <w:pPr>
        <w:pStyle w:val="Header"/>
        <w:jc w:val="center"/>
        <w:rPr>
          <w:rFonts w:hint="cs"/>
          <w:b/>
          <w:bCs/>
          <w:sz w:val="28"/>
          <w:szCs w:val="28"/>
          <w:rtl/>
        </w:rPr>
      </w:pPr>
    </w:p>
    <w:p w:rsidR="00BE743C" w:rsidRDefault="00BE743C" w:rsidP="00B174F0">
      <w:pPr>
        <w:numPr>
          <w:ilvl w:val="12"/>
          <w:numId w:val="0"/>
        </w:numPr>
        <w:bidi w:val="0"/>
        <w:ind w:right="1"/>
        <w:jc w:val="both"/>
        <w:rPr>
          <w:b/>
          <w:bCs/>
          <w:rtl/>
        </w:rPr>
      </w:pPr>
    </w:p>
    <w:p w:rsidR="00EB1374" w:rsidRPr="00B64DAA" w:rsidRDefault="00C24C85" w:rsidP="00BE743C">
      <w:pPr>
        <w:numPr>
          <w:ilvl w:val="12"/>
          <w:numId w:val="0"/>
        </w:numPr>
        <w:bidi w:val="0"/>
        <w:ind w:right="1"/>
        <w:jc w:val="center"/>
        <w:rPr>
          <w:b/>
          <w:bCs/>
          <w:sz w:val="28"/>
          <w:szCs w:val="28"/>
        </w:rPr>
      </w:pPr>
      <w:r w:rsidRPr="00B64DAA">
        <w:rPr>
          <w:b/>
          <w:bCs/>
          <w:sz w:val="28"/>
          <w:szCs w:val="28"/>
        </w:rPr>
        <w:t>Sharp d</w:t>
      </w:r>
      <w:r w:rsidR="00E60EB3" w:rsidRPr="00B64DAA">
        <w:rPr>
          <w:b/>
          <w:bCs/>
          <w:sz w:val="28"/>
          <w:szCs w:val="28"/>
        </w:rPr>
        <w:t>e</w:t>
      </w:r>
      <w:r w:rsidR="00EB1374" w:rsidRPr="00B64DAA">
        <w:rPr>
          <w:b/>
          <w:bCs/>
          <w:sz w:val="28"/>
          <w:szCs w:val="28"/>
        </w:rPr>
        <w:t>crease in the number of</w:t>
      </w:r>
      <w:r w:rsidR="00373833" w:rsidRPr="00B64DAA">
        <w:rPr>
          <w:b/>
          <w:bCs/>
          <w:sz w:val="28"/>
          <w:szCs w:val="28"/>
        </w:rPr>
        <w:t xml:space="preserve"> </w:t>
      </w:r>
      <w:r w:rsidR="00EB1374" w:rsidRPr="00B64DAA">
        <w:rPr>
          <w:b/>
          <w:bCs/>
          <w:sz w:val="28"/>
          <w:szCs w:val="28"/>
        </w:rPr>
        <w:t>building licenses</w:t>
      </w:r>
      <w:r w:rsidR="00373833" w:rsidRPr="00B64DAA">
        <w:rPr>
          <w:b/>
          <w:bCs/>
          <w:sz w:val="28"/>
          <w:szCs w:val="28"/>
        </w:rPr>
        <w:t xml:space="preserve"> by </w:t>
      </w:r>
      <w:r w:rsidR="00C4540B" w:rsidRPr="00B64DAA">
        <w:rPr>
          <w:b/>
          <w:bCs/>
          <w:sz w:val="28"/>
          <w:szCs w:val="28"/>
        </w:rPr>
        <w:t>45</w:t>
      </w:r>
      <w:r w:rsidR="00373833" w:rsidRPr="00B64DAA">
        <w:rPr>
          <w:b/>
          <w:bCs/>
          <w:sz w:val="28"/>
          <w:szCs w:val="28"/>
        </w:rPr>
        <w:t>%</w:t>
      </w:r>
      <w:r w:rsidR="00EB1374" w:rsidRPr="00B64DAA">
        <w:rPr>
          <w:b/>
          <w:bCs/>
          <w:sz w:val="28"/>
          <w:szCs w:val="28"/>
        </w:rPr>
        <w:t xml:space="preserve"> in Palestine* </w:t>
      </w:r>
      <w:r w:rsidR="00373833" w:rsidRPr="00B64DAA">
        <w:rPr>
          <w:b/>
          <w:bCs/>
          <w:sz w:val="28"/>
          <w:szCs w:val="28"/>
        </w:rPr>
        <w:t xml:space="preserve">during </w:t>
      </w:r>
      <w:r w:rsidR="00EB1374" w:rsidRPr="00B64DAA">
        <w:rPr>
          <w:b/>
          <w:bCs/>
          <w:sz w:val="28"/>
          <w:szCs w:val="28"/>
        </w:rPr>
        <w:t xml:space="preserve">the </w:t>
      </w:r>
      <w:r w:rsidR="00B174F0" w:rsidRPr="00B64DAA">
        <w:rPr>
          <w:b/>
          <w:bCs/>
          <w:sz w:val="28"/>
          <w:szCs w:val="28"/>
        </w:rPr>
        <w:t>second</w:t>
      </w:r>
      <w:r w:rsidR="00EB1374" w:rsidRPr="00B64DAA">
        <w:rPr>
          <w:b/>
          <w:bCs/>
          <w:sz w:val="28"/>
          <w:szCs w:val="28"/>
        </w:rPr>
        <w:t xml:space="preserve"> quarter of 20</w:t>
      </w:r>
      <w:r w:rsidR="002B118B" w:rsidRPr="00B64DAA">
        <w:rPr>
          <w:b/>
          <w:bCs/>
          <w:sz w:val="28"/>
          <w:szCs w:val="28"/>
        </w:rPr>
        <w:t>20</w:t>
      </w:r>
      <w:r w:rsidR="00B6558A" w:rsidRPr="00B64DAA">
        <w:rPr>
          <w:b/>
          <w:bCs/>
          <w:sz w:val="28"/>
          <w:szCs w:val="28"/>
        </w:rPr>
        <w:t xml:space="preserve">, </w:t>
      </w:r>
      <w:r w:rsidR="00C4540B" w:rsidRPr="00B64DAA">
        <w:rPr>
          <w:b/>
          <w:bCs/>
          <w:sz w:val="28"/>
          <w:szCs w:val="28"/>
        </w:rPr>
        <w:t>during</w:t>
      </w:r>
      <w:r w:rsidR="00B6558A" w:rsidRPr="00B64DAA">
        <w:rPr>
          <w:b/>
          <w:bCs/>
          <w:sz w:val="28"/>
          <w:szCs w:val="28"/>
        </w:rPr>
        <w:t xml:space="preserve"> with the C</w:t>
      </w:r>
      <w:r w:rsidR="00363227" w:rsidRPr="00B64DAA">
        <w:rPr>
          <w:b/>
          <w:bCs/>
          <w:sz w:val="28"/>
          <w:szCs w:val="28"/>
        </w:rPr>
        <w:t>orona</w:t>
      </w:r>
      <w:r w:rsidR="00B6558A" w:rsidRPr="00B64DAA">
        <w:rPr>
          <w:b/>
          <w:bCs/>
          <w:sz w:val="28"/>
          <w:szCs w:val="28"/>
        </w:rPr>
        <w:t xml:space="preserve"> pandemic</w:t>
      </w:r>
    </w:p>
    <w:p w:rsidR="00EB1374" w:rsidRPr="001163C8" w:rsidRDefault="00EB1374" w:rsidP="00EB1374">
      <w:pPr>
        <w:numPr>
          <w:ilvl w:val="12"/>
          <w:numId w:val="0"/>
        </w:numPr>
        <w:bidi w:val="0"/>
        <w:ind w:right="1"/>
        <w:jc w:val="both"/>
        <w:rPr>
          <w:b/>
          <w:bCs/>
        </w:rPr>
      </w:pPr>
    </w:p>
    <w:p w:rsidR="00EB1374" w:rsidRPr="00B64DAA" w:rsidRDefault="00EB1374" w:rsidP="00825092">
      <w:pPr>
        <w:bidi w:val="0"/>
        <w:ind w:right="-2"/>
        <w:jc w:val="both"/>
        <w:rPr>
          <w:sz w:val="26"/>
          <w:szCs w:val="26"/>
        </w:rPr>
      </w:pPr>
      <w:r w:rsidRPr="00B64DAA">
        <w:rPr>
          <w:rFonts w:cs="Simplified Arabic"/>
          <w:sz w:val="26"/>
          <w:szCs w:val="26"/>
        </w:rPr>
        <w:t>A total</w:t>
      </w:r>
      <w:r w:rsidRPr="00B64DAA">
        <w:rPr>
          <w:rFonts w:cs="Simplified Arabic"/>
          <w:b/>
          <w:bCs/>
          <w:sz w:val="26"/>
          <w:szCs w:val="26"/>
        </w:rPr>
        <w:t xml:space="preserve"> </w:t>
      </w:r>
      <w:r w:rsidRPr="00B64DAA">
        <w:rPr>
          <w:sz w:val="26"/>
          <w:szCs w:val="26"/>
        </w:rPr>
        <w:t xml:space="preserve">of </w:t>
      </w:r>
      <w:r w:rsidR="00C4540B" w:rsidRPr="00B64DAA">
        <w:rPr>
          <w:sz w:val="26"/>
          <w:szCs w:val="26"/>
        </w:rPr>
        <w:t>1</w:t>
      </w:r>
      <w:r w:rsidRPr="00B64DAA">
        <w:rPr>
          <w:sz w:val="26"/>
          <w:szCs w:val="26"/>
        </w:rPr>
        <w:t>,</w:t>
      </w:r>
      <w:r w:rsidR="002B118B" w:rsidRPr="00B64DAA">
        <w:rPr>
          <w:sz w:val="26"/>
          <w:szCs w:val="26"/>
        </w:rPr>
        <w:t>2</w:t>
      </w:r>
      <w:r w:rsidR="00C4540B" w:rsidRPr="00B64DAA">
        <w:rPr>
          <w:sz w:val="26"/>
          <w:szCs w:val="26"/>
        </w:rPr>
        <w:t>17</w:t>
      </w:r>
      <w:r w:rsidRPr="00B64DAA">
        <w:rPr>
          <w:sz w:val="26"/>
          <w:szCs w:val="26"/>
        </w:rPr>
        <w:t xml:space="preserve"> building licenses were issued in the </w:t>
      </w:r>
      <w:r w:rsidR="00C4540B" w:rsidRPr="00B64DAA">
        <w:rPr>
          <w:sz w:val="26"/>
          <w:szCs w:val="26"/>
        </w:rPr>
        <w:t>second</w:t>
      </w:r>
      <w:r w:rsidRPr="00B64DAA">
        <w:rPr>
          <w:sz w:val="26"/>
          <w:szCs w:val="26"/>
        </w:rPr>
        <w:t xml:space="preserve"> quarter of 20</w:t>
      </w:r>
      <w:r w:rsidR="002B118B" w:rsidRPr="00B64DAA">
        <w:rPr>
          <w:sz w:val="26"/>
          <w:szCs w:val="26"/>
        </w:rPr>
        <w:t>20</w:t>
      </w:r>
      <w:r w:rsidRPr="00B64DAA">
        <w:rPr>
          <w:sz w:val="26"/>
          <w:szCs w:val="26"/>
        </w:rPr>
        <w:t xml:space="preserve"> which included </w:t>
      </w:r>
      <w:r w:rsidR="00825092" w:rsidRPr="00B64DAA">
        <w:rPr>
          <w:sz w:val="26"/>
          <w:szCs w:val="26"/>
        </w:rPr>
        <w:t>813</w:t>
      </w:r>
      <w:r w:rsidRPr="00B64DAA">
        <w:rPr>
          <w:sz w:val="26"/>
          <w:szCs w:val="26"/>
        </w:rPr>
        <w:t xml:space="preserve"> for new buildings. </w:t>
      </w:r>
    </w:p>
    <w:p w:rsidR="00EB1374" w:rsidRPr="00B64DAA" w:rsidRDefault="00EB1374" w:rsidP="00B64DAA">
      <w:pPr>
        <w:bidi w:val="0"/>
        <w:jc w:val="center"/>
        <w:rPr>
          <w:color w:val="1F497D"/>
          <w:sz w:val="26"/>
          <w:szCs w:val="26"/>
        </w:rPr>
      </w:pPr>
    </w:p>
    <w:p w:rsidR="00EB1374" w:rsidRPr="00B64DAA" w:rsidRDefault="00EB1374" w:rsidP="009827BF">
      <w:pPr>
        <w:numPr>
          <w:ilvl w:val="12"/>
          <w:numId w:val="0"/>
        </w:numPr>
        <w:bidi w:val="0"/>
        <w:ind w:left="1" w:right="1"/>
        <w:jc w:val="both"/>
        <w:rPr>
          <w:sz w:val="26"/>
          <w:szCs w:val="26"/>
          <w:rtl/>
        </w:rPr>
      </w:pPr>
      <w:r w:rsidRPr="00B64DAA">
        <w:rPr>
          <w:sz w:val="26"/>
          <w:szCs w:val="26"/>
        </w:rPr>
        <w:t xml:space="preserve">The total number of building licenses issued in the </w:t>
      </w:r>
      <w:r w:rsidR="009827BF" w:rsidRPr="00B64DAA">
        <w:rPr>
          <w:sz w:val="26"/>
          <w:szCs w:val="26"/>
        </w:rPr>
        <w:t>second</w:t>
      </w:r>
      <w:r w:rsidRPr="00B64DAA">
        <w:rPr>
          <w:rFonts w:cs="Simplified Arabic"/>
          <w:sz w:val="26"/>
          <w:szCs w:val="26"/>
        </w:rPr>
        <w:t xml:space="preserve"> </w:t>
      </w:r>
      <w:r w:rsidRPr="00B64DAA">
        <w:rPr>
          <w:sz w:val="26"/>
          <w:szCs w:val="26"/>
        </w:rPr>
        <w:t>quarter of 20</w:t>
      </w:r>
      <w:r w:rsidR="004968B5" w:rsidRPr="00B64DAA">
        <w:rPr>
          <w:sz w:val="26"/>
          <w:szCs w:val="26"/>
        </w:rPr>
        <w:t>20</w:t>
      </w:r>
      <w:r w:rsidRPr="00B64DAA">
        <w:rPr>
          <w:sz w:val="26"/>
          <w:szCs w:val="26"/>
        </w:rPr>
        <w:t xml:space="preserve"> </w:t>
      </w:r>
      <w:r w:rsidR="004968B5" w:rsidRPr="00B64DAA">
        <w:rPr>
          <w:sz w:val="26"/>
          <w:szCs w:val="26"/>
        </w:rPr>
        <w:t>de</w:t>
      </w:r>
      <w:r w:rsidRPr="00B64DAA">
        <w:rPr>
          <w:sz w:val="26"/>
          <w:szCs w:val="26"/>
        </w:rPr>
        <w:t xml:space="preserve">creased by </w:t>
      </w:r>
      <w:r w:rsidR="009827BF" w:rsidRPr="00B64DAA">
        <w:rPr>
          <w:sz w:val="26"/>
          <w:szCs w:val="26"/>
        </w:rPr>
        <w:t>45</w:t>
      </w:r>
      <w:r w:rsidRPr="00B64DAA">
        <w:rPr>
          <w:sz w:val="26"/>
          <w:szCs w:val="26"/>
        </w:rPr>
        <w:t xml:space="preserve">% compared with the </w:t>
      </w:r>
      <w:r w:rsidR="004968B5" w:rsidRPr="00B64DAA">
        <w:rPr>
          <w:sz w:val="26"/>
          <w:szCs w:val="26"/>
        </w:rPr>
        <w:t>f</w:t>
      </w:r>
      <w:r w:rsidR="009827BF" w:rsidRPr="00B64DAA">
        <w:rPr>
          <w:sz w:val="26"/>
          <w:szCs w:val="26"/>
        </w:rPr>
        <w:t>irst</w:t>
      </w:r>
      <w:r w:rsidR="004968B5" w:rsidRPr="00B64DAA">
        <w:rPr>
          <w:sz w:val="26"/>
          <w:szCs w:val="26"/>
        </w:rPr>
        <w:t xml:space="preserve"> </w:t>
      </w:r>
      <w:r w:rsidRPr="00B64DAA">
        <w:rPr>
          <w:sz w:val="26"/>
          <w:szCs w:val="26"/>
        </w:rPr>
        <w:t>quarter</w:t>
      </w:r>
      <w:bookmarkStart w:id="0" w:name="OLE_LINK12"/>
      <w:r w:rsidRPr="00B64DAA">
        <w:rPr>
          <w:sz w:val="26"/>
          <w:szCs w:val="26"/>
        </w:rPr>
        <w:t xml:space="preserve"> of 20</w:t>
      </w:r>
      <w:r w:rsidR="009827BF" w:rsidRPr="00B64DAA">
        <w:rPr>
          <w:sz w:val="26"/>
          <w:szCs w:val="26"/>
        </w:rPr>
        <w:t>20</w:t>
      </w:r>
      <w:r w:rsidRPr="00B64DAA">
        <w:rPr>
          <w:sz w:val="26"/>
          <w:szCs w:val="26"/>
        </w:rPr>
        <w:t xml:space="preserve"> </w:t>
      </w:r>
      <w:bookmarkEnd w:id="0"/>
      <w:r w:rsidRPr="00B64DAA">
        <w:rPr>
          <w:sz w:val="26"/>
          <w:szCs w:val="26"/>
        </w:rPr>
        <w:t xml:space="preserve">and </w:t>
      </w:r>
      <w:r w:rsidR="004968B5" w:rsidRPr="00B64DAA">
        <w:rPr>
          <w:sz w:val="26"/>
          <w:szCs w:val="26"/>
        </w:rPr>
        <w:t>de</w:t>
      </w:r>
      <w:r w:rsidRPr="00B64DAA">
        <w:rPr>
          <w:sz w:val="26"/>
          <w:szCs w:val="26"/>
        </w:rPr>
        <w:t xml:space="preserve">creased by </w:t>
      </w:r>
      <w:r w:rsidR="009827BF" w:rsidRPr="00B64DAA">
        <w:rPr>
          <w:sz w:val="26"/>
          <w:szCs w:val="26"/>
        </w:rPr>
        <w:t>46</w:t>
      </w:r>
      <w:r w:rsidRPr="00B64DAA">
        <w:rPr>
          <w:sz w:val="26"/>
          <w:szCs w:val="26"/>
        </w:rPr>
        <w:t xml:space="preserve">% compared with the </w:t>
      </w:r>
      <w:r w:rsidR="009827BF" w:rsidRPr="00B64DAA">
        <w:rPr>
          <w:sz w:val="26"/>
          <w:szCs w:val="26"/>
        </w:rPr>
        <w:t>second</w:t>
      </w:r>
      <w:r w:rsidRPr="00B64DAA">
        <w:rPr>
          <w:rFonts w:cs="Simplified Arabic"/>
          <w:sz w:val="26"/>
          <w:szCs w:val="26"/>
        </w:rPr>
        <w:t xml:space="preserve"> </w:t>
      </w:r>
      <w:r w:rsidRPr="00B64DAA">
        <w:rPr>
          <w:sz w:val="26"/>
          <w:szCs w:val="26"/>
        </w:rPr>
        <w:t>quarter of 201</w:t>
      </w:r>
      <w:r w:rsidR="004968B5" w:rsidRPr="00B64DAA">
        <w:rPr>
          <w:sz w:val="26"/>
          <w:szCs w:val="26"/>
        </w:rPr>
        <w:t>9</w:t>
      </w:r>
      <w:r w:rsidRPr="00B64DAA">
        <w:rPr>
          <w:sz w:val="26"/>
          <w:szCs w:val="26"/>
        </w:rPr>
        <w:t xml:space="preserve">, where the number of new building licenses </w:t>
      </w:r>
      <w:r w:rsidR="004968B5" w:rsidRPr="00B64DAA">
        <w:rPr>
          <w:sz w:val="26"/>
          <w:szCs w:val="26"/>
        </w:rPr>
        <w:t>de</w:t>
      </w:r>
      <w:r w:rsidRPr="00B64DAA">
        <w:rPr>
          <w:sz w:val="26"/>
          <w:szCs w:val="26"/>
        </w:rPr>
        <w:t xml:space="preserve">creased by </w:t>
      </w:r>
      <w:r w:rsidR="009827BF" w:rsidRPr="00B64DAA">
        <w:rPr>
          <w:sz w:val="26"/>
          <w:szCs w:val="26"/>
        </w:rPr>
        <w:t>48</w:t>
      </w:r>
      <w:r w:rsidRPr="00B64DAA">
        <w:rPr>
          <w:sz w:val="26"/>
          <w:szCs w:val="26"/>
        </w:rPr>
        <w:t xml:space="preserve">% compared with the </w:t>
      </w:r>
      <w:r w:rsidR="004968B5" w:rsidRPr="00B64DAA">
        <w:rPr>
          <w:sz w:val="26"/>
          <w:szCs w:val="26"/>
        </w:rPr>
        <w:t>f</w:t>
      </w:r>
      <w:r w:rsidR="009827BF" w:rsidRPr="00B64DAA">
        <w:rPr>
          <w:sz w:val="26"/>
          <w:szCs w:val="26"/>
        </w:rPr>
        <w:t>irst</w:t>
      </w:r>
      <w:r w:rsidR="004968B5" w:rsidRPr="00B64DAA">
        <w:rPr>
          <w:sz w:val="26"/>
          <w:szCs w:val="26"/>
        </w:rPr>
        <w:t xml:space="preserve"> </w:t>
      </w:r>
      <w:r w:rsidRPr="00B64DAA">
        <w:rPr>
          <w:sz w:val="26"/>
          <w:szCs w:val="26"/>
        </w:rPr>
        <w:t>quarter of 20</w:t>
      </w:r>
      <w:r w:rsidR="009827BF" w:rsidRPr="00B64DAA">
        <w:rPr>
          <w:sz w:val="26"/>
          <w:szCs w:val="26"/>
        </w:rPr>
        <w:t>20</w:t>
      </w:r>
      <w:r w:rsidRPr="00B64DAA">
        <w:rPr>
          <w:sz w:val="26"/>
          <w:szCs w:val="26"/>
        </w:rPr>
        <w:t xml:space="preserve"> and </w:t>
      </w:r>
      <w:r w:rsidR="004968B5" w:rsidRPr="00B64DAA">
        <w:rPr>
          <w:sz w:val="26"/>
          <w:szCs w:val="26"/>
        </w:rPr>
        <w:t>de</w:t>
      </w:r>
      <w:r w:rsidRPr="00B64DAA">
        <w:rPr>
          <w:sz w:val="26"/>
          <w:szCs w:val="26"/>
        </w:rPr>
        <w:t xml:space="preserve">creased by </w:t>
      </w:r>
      <w:r w:rsidR="009827BF" w:rsidRPr="00B64DAA">
        <w:rPr>
          <w:sz w:val="26"/>
          <w:szCs w:val="26"/>
        </w:rPr>
        <w:t>40</w:t>
      </w:r>
      <w:r w:rsidRPr="00B64DAA">
        <w:rPr>
          <w:sz w:val="26"/>
          <w:szCs w:val="26"/>
        </w:rPr>
        <w:t xml:space="preserve">% compared with the </w:t>
      </w:r>
      <w:r w:rsidR="009827BF" w:rsidRPr="00B64DAA">
        <w:rPr>
          <w:sz w:val="26"/>
          <w:szCs w:val="26"/>
        </w:rPr>
        <w:t>second</w:t>
      </w:r>
      <w:r w:rsidRPr="00B64DAA">
        <w:rPr>
          <w:sz w:val="26"/>
          <w:szCs w:val="26"/>
        </w:rPr>
        <w:t xml:space="preserve"> quarter of 201</w:t>
      </w:r>
      <w:r w:rsidR="004968B5" w:rsidRPr="00B64DAA">
        <w:rPr>
          <w:sz w:val="26"/>
          <w:szCs w:val="26"/>
        </w:rPr>
        <w:t>9</w:t>
      </w:r>
      <w:r w:rsidRPr="00B64DAA">
        <w:rPr>
          <w:sz w:val="26"/>
          <w:szCs w:val="26"/>
        </w:rPr>
        <w:t>.</w:t>
      </w:r>
    </w:p>
    <w:p w:rsidR="00EB1374" w:rsidRPr="00B64DAA" w:rsidRDefault="00EB1374" w:rsidP="00EB1374">
      <w:pPr>
        <w:numPr>
          <w:ilvl w:val="12"/>
          <w:numId w:val="0"/>
        </w:numPr>
        <w:bidi w:val="0"/>
        <w:ind w:left="1" w:right="1"/>
        <w:jc w:val="both"/>
        <w:rPr>
          <w:sz w:val="26"/>
          <w:szCs w:val="26"/>
        </w:rPr>
      </w:pPr>
    </w:p>
    <w:p w:rsidR="00EB1374" w:rsidRPr="00B64DAA" w:rsidRDefault="00EB1374" w:rsidP="00A04086">
      <w:pPr>
        <w:numPr>
          <w:ilvl w:val="12"/>
          <w:numId w:val="0"/>
        </w:numPr>
        <w:bidi w:val="0"/>
        <w:ind w:left="1" w:right="1"/>
        <w:jc w:val="both"/>
        <w:rPr>
          <w:sz w:val="26"/>
          <w:szCs w:val="26"/>
        </w:rPr>
      </w:pPr>
      <w:r w:rsidRPr="00B64DAA">
        <w:rPr>
          <w:sz w:val="26"/>
          <w:szCs w:val="26"/>
        </w:rPr>
        <w:t xml:space="preserve">The area of licensed buildings (residential and non-residential) totaled </w:t>
      </w:r>
      <w:r w:rsidR="006906E7" w:rsidRPr="00B64DAA">
        <w:rPr>
          <w:sz w:val="26"/>
          <w:szCs w:val="26"/>
        </w:rPr>
        <w:t>46</w:t>
      </w:r>
      <w:r w:rsidR="00A04086" w:rsidRPr="00B64DAA">
        <w:rPr>
          <w:sz w:val="26"/>
          <w:szCs w:val="26"/>
        </w:rPr>
        <w:t>1</w:t>
      </w:r>
      <w:r w:rsidRPr="00B64DAA">
        <w:rPr>
          <w:sz w:val="26"/>
          <w:szCs w:val="26"/>
        </w:rPr>
        <w:t xml:space="preserve"> thousand m</w:t>
      </w:r>
      <w:r w:rsidRPr="00B64DAA">
        <w:rPr>
          <w:sz w:val="26"/>
          <w:szCs w:val="26"/>
          <w:vertAlign w:val="superscript"/>
        </w:rPr>
        <w:t>2</w:t>
      </w:r>
      <w:r w:rsidRPr="00B64DAA">
        <w:rPr>
          <w:sz w:val="26"/>
          <w:szCs w:val="26"/>
        </w:rPr>
        <w:t xml:space="preserve">, of which new buildings made up </w:t>
      </w:r>
      <w:r w:rsidR="00A04086" w:rsidRPr="00B64DAA">
        <w:rPr>
          <w:sz w:val="26"/>
          <w:szCs w:val="26"/>
        </w:rPr>
        <w:t>374</w:t>
      </w:r>
      <w:r w:rsidRPr="00B64DAA">
        <w:rPr>
          <w:sz w:val="26"/>
          <w:szCs w:val="26"/>
        </w:rPr>
        <w:t xml:space="preserve"> thousand m</w:t>
      </w:r>
      <w:r w:rsidRPr="00B64DAA">
        <w:rPr>
          <w:sz w:val="26"/>
          <w:szCs w:val="26"/>
          <w:vertAlign w:val="superscript"/>
        </w:rPr>
        <w:t>2</w:t>
      </w:r>
      <w:r w:rsidRPr="00B64DAA">
        <w:rPr>
          <w:sz w:val="26"/>
          <w:szCs w:val="26"/>
        </w:rPr>
        <w:t xml:space="preserve"> and existing buildings comprised </w:t>
      </w:r>
      <w:r w:rsidR="00A04086" w:rsidRPr="00B64DAA">
        <w:rPr>
          <w:sz w:val="26"/>
          <w:szCs w:val="26"/>
        </w:rPr>
        <w:t>87</w:t>
      </w:r>
      <w:r w:rsidRPr="00B64DAA">
        <w:rPr>
          <w:sz w:val="26"/>
          <w:szCs w:val="26"/>
        </w:rPr>
        <w:t xml:space="preserve"> thousand m</w:t>
      </w:r>
      <w:r w:rsidRPr="00B64DAA">
        <w:rPr>
          <w:sz w:val="26"/>
          <w:szCs w:val="26"/>
          <w:vertAlign w:val="superscript"/>
        </w:rPr>
        <w:t>2</w:t>
      </w:r>
      <w:r w:rsidRPr="00B64DAA">
        <w:rPr>
          <w:sz w:val="26"/>
          <w:szCs w:val="26"/>
        </w:rPr>
        <w:t>.</w:t>
      </w:r>
    </w:p>
    <w:p w:rsidR="00EB1374" w:rsidRPr="00B64DAA" w:rsidRDefault="00EB1374" w:rsidP="00EB1374">
      <w:pPr>
        <w:numPr>
          <w:ilvl w:val="12"/>
          <w:numId w:val="0"/>
        </w:numPr>
        <w:bidi w:val="0"/>
        <w:ind w:left="1" w:right="1"/>
        <w:jc w:val="both"/>
        <w:rPr>
          <w:sz w:val="26"/>
          <w:szCs w:val="26"/>
        </w:rPr>
      </w:pPr>
    </w:p>
    <w:p w:rsidR="00EB1374" w:rsidRPr="00B64DAA" w:rsidRDefault="00EB1374" w:rsidP="004A4FB4">
      <w:pPr>
        <w:numPr>
          <w:ilvl w:val="12"/>
          <w:numId w:val="0"/>
        </w:numPr>
        <w:bidi w:val="0"/>
        <w:ind w:left="1" w:right="1"/>
        <w:jc w:val="both"/>
        <w:rPr>
          <w:sz w:val="26"/>
          <w:szCs w:val="26"/>
          <w:rtl/>
        </w:rPr>
      </w:pPr>
      <w:r w:rsidRPr="00B64DAA">
        <w:rPr>
          <w:sz w:val="26"/>
          <w:szCs w:val="26"/>
        </w:rPr>
        <w:t xml:space="preserve">The total number of licensed dwellings was </w:t>
      </w:r>
      <w:r w:rsidR="00F734FE" w:rsidRPr="00B64DAA">
        <w:rPr>
          <w:sz w:val="26"/>
          <w:szCs w:val="26"/>
        </w:rPr>
        <w:t>2</w:t>
      </w:r>
      <w:r w:rsidRPr="00B64DAA">
        <w:rPr>
          <w:sz w:val="26"/>
          <w:szCs w:val="26"/>
        </w:rPr>
        <w:t>,</w:t>
      </w:r>
      <w:r w:rsidR="00D85188" w:rsidRPr="00B64DAA">
        <w:rPr>
          <w:sz w:val="26"/>
          <w:szCs w:val="26"/>
        </w:rPr>
        <w:t>1</w:t>
      </w:r>
      <w:r w:rsidR="00F734FE" w:rsidRPr="00B64DAA">
        <w:rPr>
          <w:sz w:val="26"/>
          <w:szCs w:val="26"/>
        </w:rPr>
        <w:t>90</w:t>
      </w:r>
      <w:r w:rsidRPr="00B64DAA">
        <w:rPr>
          <w:sz w:val="26"/>
          <w:szCs w:val="26"/>
        </w:rPr>
        <w:t xml:space="preserve"> with a total area of </w:t>
      </w:r>
      <w:r w:rsidR="00F734FE" w:rsidRPr="00B64DAA">
        <w:rPr>
          <w:sz w:val="26"/>
          <w:szCs w:val="26"/>
        </w:rPr>
        <w:t>35</w:t>
      </w:r>
      <w:r w:rsidR="004A4FB4" w:rsidRPr="00B64DAA">
        <w:rPr>
          <w:sz w:val="26"/>
          <w:szCs w:val="26"/>
        </w:rPr>
        <w:t>1</w:t>
      </w:r>
      <w:r w:rsidRPr="00B64DAA">
        <w:rPr>
          <w:sz w:val="26"/>
          <w:szCs w:val="26"/>
        </w:rPr>
        <w:t xml:space="preserve"> thousand m</w:t>
      </w:r>
      <w:r w:rsidRPr="00B64DAA">
        <w:rPr>
          <w:sz w:val="26"/>
          <w:szCs w:val="26"/>
          <w:vertAlign w:val="superscript"/>
        </w:rPr>
        <w:t>2</w:t>
      </w:r>
      <w:r w:rsidRPr="00B64DAA">
        <w:rPr>
          <w:sz w:val="26"/>
          <w:szCs w:val="26"/>
        </w:rPr>
        <w:t xml:space="preserve">, of which </w:t>
      </w:r>
      <w:r w:rsidR="00F734FE" w:rsidRPr="00B64DAA">
        <w:rPr>
          <w:sz w:val="26"/>
          <w:szCs w:val="26"/>
        </w:rPr>
        <w:t>1</w:t>
      </w:r>
      <w:r w:rsidRPr="00B64DAA">
        <w:rPr>
          <w:sz w:val="26"/>
          <w:szCs w:val="26"/>
        </w:rPr>
        <w:t>,</w:t>
      </w:r>
      <w:r w:rsidR="00F734FE" w:rsidRPr="00B64DAA">
        <w:rPr>
          <w:sz w:val="26"/>
          <w:szCs w:val="26"/>
        </w:rPr>
        <w:t>72</w:t>
      </w:r>
      <w:r w:rsidR="003D7794" w:rsidRPr="00B64DAA">
        <w:rPr>
          <w:sz w:val="26"/>
          <w:szCs w:val="26"/>
        </w:rPr>
        <w:t>8</w:t>
      </w:r>
      <w:r w:rsidRPr="00B64DAA">
        <w:rPr>
          <w:rFonts w:eastAsia="Arial Unicode MS"/>
          <w:sz w:val="26"/>
          <w:szCs w:val="26"/>
        </w:rPr>
        <w:t xml:space="preserve"> were </w:t>
      </w:r>
      <w:r w:rsidRPr="00B64DAA">
        <w:rPr>
          <w:sz w:val="26"/>
          <w:szCs w:val="26"/>
        </w:rPr>
        <w:t xml:space="preserve">new dwellings with a total area of </w:t>
      </w:r>
      <w:r w:rsidR="00F734FE" w:rsidRPr="00B64DAA">
        <w:rPr>
          <w:sz w:val="26"/>
          <w:szCs w:val="26"/>
        </w:rPr>
        <w:t>279</w:t>
      </w:r>
      <w:r w:rsidRPr="00B64DAA">
        <w:rPr>
          <w:sz w:val="26"/>
          <w:szCs w:val="26"/>
        </w:rPr>
        <w:t xml:space="preserve"> thousand m</w:t>
      </w:r>
      <w:r w:rsidRPr="00B64DAA">
        <w:rPr>
          <w:sz w:val="26"/>
          <w:szCs w:val="26"/>
          <w:vertAlign w:val="superscript"/>
        </w:rPr>
        <w:t>2</w:t>
      </w:r>
      <w:r w:rsidRPr="00B64DAA">
        <w:rPr>
          <w:sz w:val="26"/>
          <w:szCs w:val="26"/>
        </w:rPr>
        <w:t xml:space="preserve"> and </w:t>
      </w:r>
      <w:r w:rsidR="00F734FE" w:rsidRPr="00B64DAA">
        <w:rPr>
          <w:sz w:val="26"/>
          <w:szCs w:val="26"/>
        </w:rPr>
        <w:t>462</w:t>
      </w:r>
      <w:r w:rsidRPr="00B64DAA">
        <w:rPr>
          <w:sz w:val="26"/>
          <w:szCs w:val="26"/>
        </w:rPr>
        <w:t xml:space="preserve"> were existing dwellings with a total area of </w:t>
      </w:r>
      <w:r w:rsidR="00F734FE" w:rsidRPr="00B64DAA">
        <w:rPr>
          <w:sz w:val="26"/>
          <w:szCs w:val="26"/>
        </w:rPr>
        <w:t>72</w:t>
      </w:r>
      <w:r w:rsidRPr="00B64DAA">
        <w:rPr>
          <w:sz w:val="26"/>
          <w:szCs w:val="26"/>
        </w:rPr>
        <w:t xml:space="preserve"> thousand m</w:t>
      </w:r>
      <w:r w:rsidRPr="00B64DAA">
        <w:rPr>
          <w:sz w:val="26"/>
          <w:szCs w:val="26"/>
          <w:vertAlign w:val="superscript"/>
        </w:rPr>
        <w:t>2</w:t>
      </w:r>
      <w:r w:rsidRPr="00B64DAA">
        <w:rPr>
          <w:sz w:val="26"/>
          <w:szCs w:val="26"/>
        </w:rPr>
        <w:t xml:space="preserve">. </w:t>
      </w:r>
    </w:p>
    <w:p w:rsidR="00EB1374" w:rsidRPr="00B64DAA" w:rsidRDefault="00EB1374" w:rsidP="00EB1374">
      <w:pPr>
        <w:numPr>
          <w:ilvl w:val="12"/>
          <w:numId w:val="0"/>
        </w:numPr>
        <w:bidi w:val="0"/>
        <w:ind w:left="1" w:right="1"/>
        <w:jc w:val="both"/>
        <w:rPr>
          <w:sz w:val="26"/>
          <w:szCs w:val="26"/>
          <w:rtl/>
        </w:rPr>
      </w:pPr>
    </w:p>
    <w:p w:rsidR="00EB1374" w:rsidRPr="00B64DAA" w:rsidRDefault="00EB1374" w:rsidP="00F734FE">
      <w:pPr>
        <w:numPr>
          <w:ilvl w:val="12"/>
          <w:numId w:val="0"/>
        </w:numPr>
        <w:bidi w:val="0"/>
        <w:ind w:left="1" w:right="1"/>
        <w:jc w:val="both"/>
        <w:rPr>
          <w:sz w:val="26"/>
          <w:szCs w:val="26"/>
        </w:rPr>
      </w:pPr>
      <w:r w:rsidRPr="00B64DAA">
        <w:rPr>
          <w:sz w:val="26"/>
          <w:szCs w:val="26"/>
        </w:rPr>
        <w:t xml:space="preserve">The number of new dwellings in the </w:t>
      </w:r>
      <w:r w:rsidR="00F734FE" w:rsidRPr="00B64DAA">
        <w:rPr>
          <w:sz w:val="26"/>
          <w:szCs w:val="26"/>
        </w:rPr>
        <w:t>second</w:t>
      </w:r>
      <w:r w:rsidRPr="00B64DAA">
        <w:rPr>
          <w:sz w:val="26"/>
          <w:szCs w:val="26"/>
        </w:rPr>
        <w:t xml:space="preserve"> quarter of 20</w:t>
      </w:r>
      <w:r w:rsidR="00513DCC" w:rsidRPr="00B64DAA">
        <w:rPr>
          <w:sz w:val="26"/>
          <w:szCs w:val="26"/>
        </w:rPr>
        <w:t>20</w:t>
      </w:r>
      <w:r w:rsidRPr="00B64DAA">
        <w:rPr>
          <w:sz w:val="26"/>
          <w:szCs w:val="26"/>
        </w:rPr>
        <w:t xml:space="preserve"> </w:t>
      </w:r>
      <w:r w:rsidR="00513DCC" w:rsidRPr="00B64DAA">
        <w:rPr>
          <w:sz w:val="26"/>
          <w:szCs w:val="26"/>
        </w:rPr>
        <w:t>de</w:t>
      </w:r>
      <w:r w:rsidRPr="00B64DAA">
        <w:rPr>
          <w:sz w:val="26"/>
          <w:szCs w:val="26"/>
        </w:rPr>
        <w:t xml:space="preserve">creased by </w:t>
      </w:r>
      <w:r w:rsidR="00F734FE" w:rsidRPr="00B64DAA">
        <w:rPr>
          <w:sz w:val="26"/>
          <w:szCs w:val="26"/>
        </w:rPr>
        <w:t>50</w:t>
      </w:r>
      <w:r w:rsidRPr="00B64DAA">
        <w:rPr>
          <w:sz w:val="26"/>
          <w:szCs w:val="26"/>
        </w:rPr>
        <w:t xml:space="preserve">% compared with the </w:t>
      </w:r>
      <w:r w:rsidR="00513DCC" w:rsidRPr="00B64DAA">
        <w:rPr>
          <w:sz w:val="26"/>
          <w:szCs w:val="26"/>
        </w:rPr>
        <w:t>f</w:t>
      </w:r>
      <w:r w:rsidR="00F734FE" w:rsidRPr="00B64DAA">
        <w:rPr>
          <w:sz w:val="26"/>
          <w:szCs w:val="26"/>
        </w:rPr>
        <w:t>irst</w:t>
      </w:r>
      <w:r w:rsidRPr="00B64DAA">
        <w:rPr>
          <w:sz w:val="26"/>
          <w:szCs w:val="26"/>
        </w:rPr>
        <w:t xml:space="preserve"> quarter of 20</w:t>
      </w:r>
      <w:r w:rsidR="00F734FE" w:rsidRPr="00B64DAA">
        <w:rPr>
          <w:sz w:val="26"/>
          <w:szCs w:val="26"/>
        </w:rPr>
        <w:t>20</w:t>
      </w:r>
      <w:r w:rsidRPr="00B64DAA">
        <w:rPr>
          <w:sz w:val="26"/>
          <w:szCs w:val="26"/>
        </w:rPr>
        <w:t xml:space="preserve"> and </w:t>
      </w:r>
      <w:r w:rsidR="00513DCC" w:rsidRPr="00B64DAA">
        <w:rPr>
          <w:sz w:val="26"/>
          <w:szCs w:val="26"/>
        </w:rPr>
        <w:t>de</w:t>
      </w:r>
      <w:r w:rsidRPr="00B64DAA">
        <w:rPr>
          <w:sz w:val="26"/>
          <w:szCs w:val="26"/>
        </w:rPr>
        <w:t xml:space="preserve">creased by </w:t>
      </w:r>
      <w:r w:rsidR="00F734FE" w:rsidRPr="00B64DAA">
        <w:rPr>
          <w:sz w:val="26"/>
          <w:szCs w:val="26"/>
        </w:rPr>
        <w:t>44</w:t>
      </w:r>
      <w:r w:rsidRPr="00B64DAA">
        <w:rPr>
          <w:sz w:val="26"/>
          <w:szCs w:val="26"/>
        </w:rPr>
        <w:t xml:space="preserve">% compared with the </w:t>
      </w:r>
      <w:r w:rsidR="00F734FE" w:rsidRPr="00B64DAA">
        <w:rPr>
          <w:sz w:val="26"/>
          <w:szCs w:val="26"/>
        </w:rPr>
        <w:t>second</w:t>
      </w:r>
      <w:r w:rsidRPr="00B64DAA">
        <w:rPr>
          <w:sz w:val="26"/>
          <w:szCs w:val="26"/>
        </w:rPr>
        <w:t xml:space="preserve"> quarter of 201</w:t>
      </w:r>
      <w:r w:rsidR="00513DCC" w:rsidRPr="00B64DAA">
        <w:rPr>
          <w:sz w:val="26"/>
          <w:szCs w:val="26"/>
        </w:rPr>
        <w:t>9</w:t>
      </w:r>
      <w:r w:rsidRPr="00B64DAA">
        <w:rPr>
          <w:sz w:val="26"/>
          <w:szCs w:val="26"/>
        </w:rPr>
        <w:t>.</w:t>
      </w:r>
    </w:p>
    <w:p w:rsidR="00EB1374" w:rsidRDefault="00EB1374" w:rsidP="00EB1374">
      <w:pPr>
        <w:bidi w:val="0"/>
        <w:ind w:left="-108"/>
        <w:jc w:val="center"/>
        <w:rPr>
          <w:rFonts w:cs="Simplified Arabic"/>
          <w:snapToGrid w:val="0"/>
          <w:color w:val="000000"/>
          <w:rtl/>
        </w:rPr>
      </w:pPr>
    </w:p>
    <w:p w:rsidR="00EB1374" w:rsidRPr="00B64DAA" w:rsidRDefault="00EB1374" w:rsidP="00F734FE">
      <w:pPr>
        <w:bidi w:val="0"/>
        <w:ind w:left="-108"/>
        <w:jc w:val="center"/>
        <w:rPr>
          <w:b/>
          <w:bCs/>
        </w:rPr>
      </w:pPr>
      <w:r w:rsidRPr="00B64DAA">
        <w:rPr>
          <w:b/>
          <w:bCs/>
        </w:rPr>
        <w:t xml:space="preserve">Number of Building Licenses Issued in Palestine* during the period, </w:t>
      </w:r>
      <w:r w:rsidR="00F734FE" w:rsidRPr="00B64DAA">
        <w:rPr>
          <w:b/>
          <w:bCs/>
        </w:rPr>
        <w:t>Second</w:t>
      </w:r>
      <w:r w:rsidRPr="00B64DAA">
        <w:rPr>
          <w:b/>
          <w:bCs/>
        </w:rPr>
        <w:t xml:space="preserve"> Quarter 201</w:t>
      </w:r>
      <w:r w:rsidR="003B5E7A" w:rsidRPr="00B64DAA">
        <w:rPr>
          <w:b/>
          <w:bCs/>
        </w:rPr>
        <w:t>9</w:t>
      </w:r>
      <w:r w:rsidRPr="00B64DAA">
        <w:rPr>
          <w:b/>
          <w:bCs/>
        </w:rPr>
        <w:t xml:space="preserve"> - </w:t>
      </w:r>
      <w:r w:rsidR="00F734FE" w:rsidRPr="00B64DAA">
        <w:rPr>
          <w:b/>
          <w:bCs/>
        </w:rPr>
        <w:t xml:space="preserve">Second </w:t>
      </w:r>
      <w:r w:rsidRPr="00B64DAA">
        <w:rPr>
          <w:b/>
          <w:bCs/>
        </w:rPr>
        <w:t>Quarter 20</w:t>
      </w:r>
      <w:r w:rsidR="003B5E7A" w:rsidRPr="00B64DAA">
        <w:rPr>
          <w:b/>
          <w:bCs/>
        </w:rPr>
        <w:t>20</w:t>
      </w:r>
    </w:p>
    <w:p w:rsidR="00EB1374" w:rsidRPr="001163C8" w:rsidRDefault="00665669" w:rsidP="00BE743C">
      <w:pPr>
        <w:bidi w:val="0"/>
        <w:jc w:val="center"/>
        <w:rPr>
          <w:sz w:val="20"/>
          <w:szCs w:val="20"/>
          <w:rtl/>
        </w:rPr>
      </w:pPr>
      <w:r>
        <w:rPr>
          <w:noProof/>
          <w:sz w:val="18"/>
          <w:szCs w:val="18"/>
          <w:u w:val="single"/>
          <w:lang w:eastAsia="en-US"/>
        </w:rPr>
        <w:drawing>
          <wp:inline distT="0" distB="0" distL="0" distR="0">
            <wp:extent cx="3434715" cy="2846705"/>
            <wp:effectExtent l="0" t="0" r="0" b="0"/>
            <wp:docPr id="1" name="Chart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E743C" w:rsidRDefault="00BE743C" w:rsidP="00EB1374">
      <w:pPr>
        <w:bidi w:val="0"/>
        <w:jc w:val="lowKashida"/>
        <w:rPr>
          <w:sz w:val="20"/>
          <w:szCs w:val="20"/>
        </w:rPr>
      </w:pPr>
    </w:p>
    <w:p w:rsidR="00BE743C" w:rsidRDefault="00BE743C" w:rsidP="00BE743C">
      <w:pPr>
        <w:bidi w:val="0"/>
        <w:jc w:val="lowKashida"/>
        <w:rPr>
          <w:sz w:val="20"/>
          <w:szCs w:val="20"/>
        </w:rPr>
      </w:pPr>
    </w:p>
    <w:p w:rsidR="00EB1374" w:rsidRPr="00BE743C" w:rsidRDefault="00EB1374" w:rsidP="00BE743C">
      <w:pPr>
        <w:bidi w:val="0"/>
        <w:jc w:val="lowKashida"/>
        <w:rPr>
          <w:b/>
          <w:bCs/>
          <w:sz w:val="20"/>
          <w:szCs w:val="20"/>
        </w:rPr>
      </w:pPr>
      <w:r w:rsidRPr="00BE743C">
        <w:rPr>
          <w:b/>
          <w:bCs/>
          <w:sz w:val="20"/>
          <w:szCs w:val="20"/>
        </w:rPr>
        <w:t>*Data excluded those parts of Jerusalem which were annexed by Israeli occupation in 1967.</w:t>
      </w:r>
    </w:p>
    <w:p w:rsidR="00EB1374" w:rsidRPr="001163C8" w:rsidRDefault="00EB1374" w:rsidP="00EB1374">
      <w:pPr>
        <w:bidi w:val="0"/>
        <w:jc w:val="lowKashida"/>
        <w:rPr>
          <w:rtl/>
        </w:rPr>
      </w:pPr>
    </w:p>
    <w:p w:rsidR="00EB1374" w:rsidRPr="001163C8" w:rsidRDefault="00EB1374" w:rsidP="00EB1374">
      <w:pPr>
        <w:bidi w:val="0"/>
        <w:jc w:val="lowKashida"/>
        <w:rPr>
          <w:rtl/>
        </w:rPr>
      </w:pPr>
    </w:p>
    <w:p w:rsidR="00EB1374" w:rsidRDefault="00EB1374" w:rsidP="00EB1374">
      <w:pPr>
        <w:bidi w:val="0"/>
        <w:spacing w:line="360" w:lineRule="auto"/>
        <w:jc w:val="lowKashida"/>
        <w:rPr>
          <w:b/>
          <w:bCs/>
          <w:color w:val="000000"/>
          <w:sz w:val="20"/>
          <w:szCs w:val="20"/>
        </w:rPr>
      </w:pPr>
    </w:p>
    <w:sectPr w:rsidR="00EB1374" w:rsidSect="00BE743C">
      <w:pgSz w:w="11906" w:h="16838"/>
      <w:pgMar w:top="851" w:right="1134" w:bottom="567" w:left="1134" w:header="709" w:footer="709" w:gutter="0"/>
      <w:cols w:space="709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190F" w:rsidRDefault="00E5190F">
      <w:r>
        <w:separator/>
      </w:r>
    </w:p>
  </w:endnote>
  <w:endnote w:type="continuationSeparator" w:id="0">
    <w:p w:rsidR="00E5190F" w:rsidRDefault="00E519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190F" w:rsidRDefault="00E5190F">
      <w:r>
        <w:separator/>
      </w:r>
    </w:p>
  </w:footnote>
  <w:footnote w:type="continuationSeparator" w:id="0">
    <w:p w:rsidR="00E5190F" w:rsidRDefault="00E519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D86248"/>
    <w:rsid w:val="000006FE"/>
    <w:rsid w:val="00000B52"/>
    <w:rsid w:val="000163DA"/>
    <w:rsid w:val="00020572"/>
    <w:rsid w:val="00020C79"/>
    <w:rsid w:val="00023DE2"/>
    <w:rsid w:val="00030C13"/>
    <w:rsid w:val="000313DF"/>
    <w:rsid w:val="00032795"/>
    <w:rsid w:val="00034874"/>
    <w:rsid w:val="00035929"/>
    <w:rsid w:val="00036426"/>
    <w:rsid w:val="00037678"/>
    <w:rsid w:val="00043C9B"/>
    <w:rsid w:val="00046807"/>
    <w:rsid w:val="00050DDA"/>
    <w:rsid w:val="00052838"/>
    <w:rsid w:val="00053AB0"/>
    <w:rsid w:val="000764A8"/>
    <w:rsid w:val="00076B0B"/>
    <w:rsid w:val="0009543A"/>
    <w:rsid w:val="000C165A"/>
    <w:rsid w:val="000D039E"/>
    <w:rsid w:val="000D39A9"/>
    <w:rsid w:val="000D495D"/>
    <w:rsid w:val="000D7803"/>
    <w:rsid w:val="000D7823"/>
    <w:rsid w:val="000E5797"/>
    <w:rsid w:val="000F2C7F"/>
    <w:rsid w:val="000F4391"/>
    <w:rsid w:val="001019B5"/>
    <w:rsid w:val="0010581E"/>
    <w:rsid w:val="00120017"/>
    <w:rsid w:val="0012134D"/>
    <w:rsid w:val="00132E5C"/>
    <w:rsid w:val="0014132B"/>
    <w:rsid w:val="00141A21"/>
    <w:rsid w:val="00141E39"/>
    <w:rsid w:val="0014507F"/>
    <w:rsid w:val="00145E0C"/>
    <w:rsid w:val="00150FB0"/>
    <w:rsid w:val="00160B4A"/>
    <w:rsid w:val="001672DA"/>
    <w:rsid w:val="0017506D"/>
    <w:rsid w:val="00175CB9"/>
    <w:rsid w:val="00177FF2"/>
    <w:rsid w:val="00182499"/>
    <w:rsid w:val="00187ACA"/>
    <w:rsid w:val="00195DAC"/>
    <w:rsid w:val="00196F0F"/>
    <w:rsid w:val="001A0C03"/>
    <w:rsid w:val="001A41FE"/>
    <w:rsid w:val="001B119F"/>
    <w:rsid w:val="001B2937"/>
    <w:rsid w:val="001B36CF"/>
    <w:rsid w:val="001B3D24"/>
    <w:rsid w:val="001B7FE1"/>
    <w:rsid w:val="001C0DDE"/>
    <w:rsid w:val="001C1C42"/>
    <w:rsid w:val="001C724B"/>
    <w:rsid w:val="001E1151"/>
    <w:rsid w:val="001E5226"/>
    <w:rsid w:val="001F408D"/>
    <w:rsid w:val="001F4777"/>
    <w:rsid w:val="001F5F1F"/>
    <w:rsid w:val="00204B4D"/>
    <w:rsid w:val="0020624F"/>
    <w:rsid w:val="00243761"/>
    <w:rsid w:val="00253712"/>
    <w:rsid w:val="00253E3B"/>
    <w:rsid w:val="002547F3"/>
    <w:rsid w:val="002602B9"/>
    <w:rsid w:val="00267FBF"/>
    <w:rsid w:val="00273F5D"/>
    <w:rsid w:val="0028004F"/>
    <w:rsid w:val="00291073"/>
    <w:rsid w:val="0029128C"/>
    <w:rsid w:val="00291D18"/>
    <w:rsid w:val="002A6DE9"/>
    <w:rsid w:val="002B118B"/>
    <w:rsid w:val="002C09B4"/>
    <w:rsid w:val="002C114E"/>
    <w:rsid w:val="002C4D32"/>
    <w:rsid w:val="002D03F3"/>
    <w:rsid w:val="002D5FBE"/>
    <w:rsid w:val="002E2249"/>
    <w:rsid w:val="002E7471"/>
    <w:rsid w:val="002F0136"/>
    <w:rsid w:val="002F0B3D"/>
    <w:rsid w:val="002F2901"/>
    <w:rsid w:val="0031151F"/>
    <w:rsid w:val="00312005"/>
    <w:rsid w:val="00312F6D"/>
    <w:rsid w:val="003216D0"/>
    <w:rsid w:val="00337A77"/>
    <w:rsid w:val="00341B3A"/>
    <w:rsid w:val="003479F2"/>
    <w:rsid w:val="00347F2B"/>
    <w:rsid w:val="003529F9"/>
    <w:rsid w:val="003551B2"/>
    <w:rsid w:val="00356A43"/>
    <w:rsid w:val="00363227"/>
    <w:rsid w:val="00365356"/>
    <w:rsid w:val="00370D7B"/>
    <w:rsid w:val="00373833"/>
    <w:rsid w:val="00374388"/>
    <w:rsid w:val="0038058A"/>
    <w:rsid w:val="003837C3"/>
    <w:rsid w:val="00385E5D"/>
    <w:rsid w:val="00387B03"/>
    <w:rsid w:val="003933DF"/>
    <w:rsid w:val="003A0268"/>
    <w:rsid w:val="003A2496"/>
    <w:rsid w:val="003A6B6E"/>
    <w:rsid w:val="003B47FE"/>
    <w:rsid w:val="003B5366"/>
    <w:rsid w:val="003B5E7A"/>
    <w:rsid w:val="003C5040"/>
    <w:rsid w:val="003C5F57"/>
    <w:rsid w:val="003D7794"/>
    <w:rsid w:val="003E0581"/>
    <w:rsid w:val="003F3077"/>
    <w:rsid w:val="00401345"/>
    <w:rsid w:val="00403EF2"/>
    <w:rsid w:val="00405B7D"/>
    <w:rsid w:val="00406C22"/>
    <w:rsid w:val="00422AEE"/>
    <w:rsid w:val="004337F9"/>
    <w:rsid w:val="00433A7F"/>
    <w:rsid w:val="00441CDE"/>
    <w:rsid w:val="00444C89"/>
    <w:rsid w:val="0046044B"/>
    <w:rsid w:val="00462153"/>
    <w:rsid w:val="004643E0"/>
    <w:rsid w:val="0046477F"/>
    <w:rsid w:val="004735A5"/>
    <w:rsid w:val="0047578D"/>
    <w:rsid w:val="00480D6B"/>
    <w:rsid w:val="004968B5"/>
    <w:rsid w:val="004A0549"/>
    <w:rsid w:val="004A12D7"/>
    <w:rsid w:val="004A1F6A"/>
    <w:rsid w:val="004A4FB4"/>
    <w:rsid w:val="004B580F"/>
    <w:rsid w:val="004B6789"/>
    <w:rsid w:val="004C0D0A"/>
    <w:rsid w:val="004D0324"/>
    <w:rsid w:val="004D1609"/>
    <w:rsid w:val="004D6AF1"/>
    <w:rsid w:val="004E2D1F"/>
    <w:rsid w:val="004E675A"/>
    <w:rsid w:val="004E6848"/>
    <w:rsid w:val="004F7160"/>
    <w:rsid w:val="00506034"/>
    <w:rsid w:val="00510EF5"/>
    <w:rsid w:val="00513DCC"/>
    <w:rsid w:val="00516634"/>
    <w:rsid w:val="005202DE"/>
    <w:rsid w:val="00520D18"/>
    <w:rsid w:val="005230D2"/>
    <w:rsid w:val="0052785D"/>
    <w:rsid w:val="005340E0"/>
    <w:rsid w:val="00536F80"/>
    <w:rsid w:val="00551864"/>
    <w:rsid w:val="00552521"/>
    <w:rsid w:val="00560204"/>
    <w:rsid w:val="005622FF"/>
    <w:rsid w:val="00565DA3"/>
    <w:rsid w:val="005804DA"/>
    <w:rsid w:val="00590B27"/>
    <w:rsid w:val="00592588"/>
    <w:rsid w:val="005932C2"/>
    <w:rsid w:val="0059347A"/>
    <w:rsid w:val="00595F82"/>
    <w:rsid w:val="005A47EF"/>
    <w:rsid w:val="005A5719"/>
    <w:rsid w:val="005B180D"/>
    <w:rsid w:val="005B1DFB"/>
    <w:rsid w:val="005B4216"/>
    <w:rsid w:val="005C0E77"/>
    <w:rsid w:val="005C4BE6"/>
    <w:rsid w:val="005C598C"/>
    <w:rsid w:val="005D181C"/>
    <w:rsid w:val="005D2593"/>
    <w:rsid w:val="005D3BAF"/>
    <w:rsid w:val="005E7D59"/>
    <w:rsid w:val="005F1C2E"/>
    <w:rsid w:val="005F7F8D"/>
    <w:rsid w:val="00610D6E"/>
    <w:rsid w:val="00621306"/>
    <w:rsid w:val="006260E0"/>
    <w:rsid w:val="00631315"/>
    <w:rsid w:val="00635210"/>
    <w:rsid w:val="00640B2B"/>
    <w:rsid w:val="00641D78"/>
    <w:rsid w:val="00642E36"/>
    <w:rsid w:val="00643B50"/>
    <w:rsid w:val="0064473D"/>
    <w:rsid w:val="00646A8E"/>
    <w:rsid w:val="00650419"/>
    <w:rsid w:val="006531D5"/>
    <w:rsid w:val="00665669"/>
    <w:rsid w:val="00667427"/>
    <w:rsid w:val="006766F4"/>
    <w:rsid w:val="0068020A"/>
    <w:rsid w:val="00681617"/>
    <w:rsid w:val="0068360D"/>
    <w:rsid w:val="006874DB"/>
    <w:rsid w:val="006906E7"/>
    <w:rsid w:val="00694385"/>
    <w:rsid w:val="006A6095"/>
    <w:rsid w:val="006B2AA7"/>
    <w:rsid w:val="006B41B1"/>
    <w:rsid w:val="006B6F77"/>
    <w:rsid w:val="006C0264"/>
    <w:rsid w:val="006C3CC9"/>
    <w:rsid w:val="006C5B09"/>
    <w:rsid w:val="006F0009"/>
    <w:rsid w:val="006F5950"/>
    <w:rsid w:val="00700FD0"/>
    <w:rsid w:val="007129EF"/>
    <w:rsid w:val="007172C8"/>
    <w:rsid w:val="00720671"/>
    <w:rsid w:val="0072178E"/>
    <w:rsid w:val="00721A7F"/>
    <w:rsid w:val="007263DE"/>
    <w:rsid w:val="0073046D"/>
    <w:rsid w:val="007379D0"/>
    <w:rsid w:val="0074025D"/>
    <w:rsid w:val="00744B7E"/>
    <w:rsid w:val="0074751A"/>
    <w:rsid w:val="0075032D"/>
    <w:rsid w:val="00774C9D"/>
    <w:rsid w:val="00777AC6"/>
    <w:rsid w:val="00780C2F"/>
    <w:rsid w:val="0078489B"/>
    <w:rsid w:val="00784DFC"/>
    <w:rsid w:val="00785266"/>
    <w:rsid w:val="00786B8F"/>
    <w:rsid w:val="00795B7A"/>
    <w:rsid w:val="00796010"/>
    <w:rsid w:val="007978E6"/>
    <w:rsid w:val="007B03F4"/>
    <w:rsid w:val="007C7B9A"/>
    <w:rsid w:val="007D1287"/>
    <w:rsid w:val="007D2039"/>
    <w:rsid w:val="007D3654"/>
    <w:rsid w:val="007F04E7"/>
    <w:rsid w:val="007F1E2B"/>
    <w:rsid w:val="007F255B"/>
    <w:rsid w:val="007F4B9B"/>
    <w:rsid w:val="007F4E05"/>
    <w:rsid w:val="008005E4"/>
    <w:rsid w:val="00801F29"/>
    <w:rsid w:val="008020F1"/>
    <w:rsid w:val="00813DB1"/>
    <w:rsid w:val="00823658"/>
    <w:rsid w:val="00825092"/>
    <w:rsid w:val="00837CEF"/>
    <w:rsid w:val="008450FB"/>
    <w:rsid w:val="00853CE4"/>
    <w:rsid w:val="00854F43"/>
    <w:rsid w:val="00863720"/>
    <w:rsid w:val="00891B38"/>
    <w:rsid w:val="00892C87"/>
    <w:rsid w:val="008973FE"/>
    <w:rsid w:val="008A2309"/>
    <w:rsid w:val="008B022A"/>
    <w:rsid w:val="008B0374"/>
    <w:rsid w:val="008B0AD7"/>
    <w:rsid w:val="008B1864"/>
    <w:rsid w:val="008C64B6"/>
    <w:rsid w:val="008D32E0"/>
    <w:rsid w:val="008D6A47"/>
    <w:rsid w:val="008F03A6"/>
    <w:rsid w:val="009019C7"/>
    <w:rsid w:val="00910ABD"/>
    <w:rsid w:val="009207FA"/>
    <w:rsid w:val="009209F6"/>
    <w:rsid w:val="00933027"/>
    <w:rsid w:val="009338E7"/>
    <w:rsid w:val="00935FD6"/>
    <w:rsid w:val="009373CB"/>
    <w:rsid w:val="0094467D"/>
    <w:rsid w:val="00944E10"/>
    <w:rsid w:val="0095694E"/>
    <w:rsid w:val="00961942"/>
    <w:rsid w:val="00962A2F"/>
    <w:rsid w:val="00962F80"/>
    <w:rsid w:val="009677F4"/>
    <w:rsid w:val="009820C8"/>
    <w:rsid w:val="009827BF"/>
    <w:rsid w:val="00993951"/>
    <w:rsid w:val="0099789E"/>
    <w:rsid w:val="00997DEE"/>
    <w:rsid w:val="009A02E9"/>
    <w:rsid w:val="009A1EAD"/>
    <w:rsid w:val="009A5B12"/>
    <w:rsid w:val="009A7FF6"/>
    <w:rsid w:val="009B18EC"/>
    <w:rsid w:val="009B4622"/>
    <w:rsid w:val="009B52E1"/>
    <w:rsid w:val="009D06AA"/>
    <w:rsid w:val="009E1040"/>
    <w:rsid w:val="009E23B1"/>
    <w:rsid w:val="009F2099"/>
    <w:rsid w:val="009F3075"/>
    <w:rsid w:val="00A04086"/>
    <w:rsid w:val="00A07A15"/>
    <w:rsid w:val="00A07A22"/>
    <w:rsid w:val="00A15F8A"/>
    <w:rsid w:val="00A20C19"/>
    <w:rsid w:val="00A32AE5"/>
    <w:rsid w:val="00A4700B"/>
    <w:rsid w:val="00A518DE"/>
    <w:rsid w:val="00A52CAE"/>
    <w:rsid w:val="00A71F7C"/>
    <w:rsid w:val="00A74822"/>
    <w:rsid w:val="00A808BD"/>
    <w:rsid w:val="00A81FCC"/>
    <w:rsid w:val="00A8699E"/>
    <w:rsid w:val="00A937FB"/>
    <w:rsid w:val="00A94114"/>
    <w:rsid w:val="00A9633C"/>
    <w:rsid w:val="00AA10AD"/>
    <w:rsid w:val="00AA11D1"/>
    <w:rsid w:val="00AB2851"/>
    <w:rsid w:val="00AB4905"/>
    <w:rsid w:val="00AB547D"/>
    <w:rsid w:val="00AC22E4"/>
    <w:rsid w:val="00AC3619"/>
    <w:rsid w:val="00AD75AA"/>
    <w:rsid w:val="00AD77DD"/>
    <w:rsid w:val="00AD786E"/>
    <w:rsid w:val="00AE1C18"/>
    <w:rsid w:val="00AE6A0B"/>
    <w:rsid w:val="00AF6273"/>
    <w:rsid w:val="00B14ED9"/>
    <w:rsid w:val="00B16912"/>
    <w:rsid w:val="00B174F0"/>
    <w:rsid w:val="00B3008C"/>
    <w:rsid w:val="00B4056E"/>
    <w:rsid w:val="00B40FDB"/>
    <w:rsid w:val="00B41703"/>
    <w:rsid w:val="00B44515"/>
    <w:rsid w:val="00B445AE"/>
    <w:rsid w:val="00B52A61"/>
    <w:rsid w:val="00B63903"/>
    <w:rsid w:val="00B64DAA"/>
    <w:rsid w:val="00B64F97"/>
    <w:rsid w:val="00B6558A"/>
    <w:rsid w:val="00B803BD"/>
    <w:rsid w:val="00B807B0"/>
    <w:rsid w:val="00B81378"/>
    <w:rsid w:val="00B85638"/>
    <w:rsid w:val="00B85A0A"/>
    <w:rsid w:val="00B956AE"/>
    <w:rsid w:val="00B95768"/>
    <w:rsid w:val="00BA0C72"/>
    <w:rsid w:val="00BB0952"/>
    <w:rsid w:val="00BB2A6F"/>
    <w:rsid w:val="00BB5057"/>
    <w:rsid w:val="00BC2F03"/>
    <w:rsid w:val="00BC41A0"/>
    <w:rsid w:val="00BE743C"/>
    <w:rsid w:val="00BF20C5"/>
    <w:rsid w:val="00BF2CDC"/>
    <w:rsid w:val="00BF4F6B"/>
    <w:rsid w:val="00C013D5"/>
    <w:rsid w:val="00C24261"/>
    <w:rsid w:val="00C24288"/>
    <w:rsid w:val="00C24C85"/>
    <w:rsid w:val="00C2707F"/>
    <w:rsid w:val="00C4072A"/>
    <w:rsid w:val="00C417D1"/>
    <w:rsid w:val="00C42F50"/>
    <w:rsid w:val="00C4540B"/>
    <w:rsid w:val="00C463E5"/>
    <w:rsid w:val="00C50ABD"/>
    <w:rsid w:val="00C533F4"/>
    <w:rsid w:val="00C70BB8"/>
    <w:rsid w:val="00C74991"/>
    <w:rsid w:val="00C75768"/>
    <w:rsid w:val="00C761AC"/>
    <w:rsid w:val="00C8594D"/>
    <w:rsid w:val="00C90B00"/>
    <w:rsid w:val="00C9245F"/>
    <w:rsid w:val="00C96A00"/>
    <w:rsid w:val="00CB32F3"/>
    <w:rsid w:val="00CD074D"/>
    <w:rsid w:val="00CD68FC"/>
    <w:rsid w:val="00CE0118"/>
    <w:rsid w:val="00CF01F3"/>
    <w:rsid w:val="00CF15D3"/>
    <w:rsid w:val="00D100EF"/>
    <w:rsid w:val="00D125DA"/>
    <w:rsid w:val="00D172ED"/>
    <w:rsid w:val="00D20D98"/>
    <w:rsid w:val="00D23462"/>
    <w:rsid w:val="00D23D24"/>
    <w:rsid w:val="00D245FA"/>
    <w:rsid w:val="00D26636"/>
    <w:rsid w:val="00D3095B"/>
    <w:rsid w:val="00D36FC3"/>
    <w:rsid w:val="00D41653"/>
    <w:rsid w:val="00D41F1B"/>
    <w:rsid w:val="00D438FA"/>
    <w:rsid w:val="00D50387"/>
    <w:rsid w:val="00D62490"/>
    <w:rsid w:val="00D642DE"/>
    <w:rsid w:val="00D65A05"/>
    <w:rsid w:val="00D666AA"/>
    <w:rsid w:val="00D80C7D"/>
    <w:rsid w:val="00D85188"/>
    <w:rsid w:val="00D86248"/>
    <w:rsid w:val="00D8653D"/>
    <w:rsid w:val="00DA3CBE"/>
    <w:rsid w:val="00DB419C"/>
    <w:rsid w:val="00DC166D"/>
    <w:rsid w:val="00DD1C5E"/>
    <w:rsid w:val="00DD5B05"/>
    <w:rsid w:val="00DE2A73"/>
    <w:rsid w:val="00DE7D3F"/>
    <w:rsid w:val="00DF3D51"/>
    <w:rsid w:val="00DF3FF4"/>
    <w:rsid w:val="00DF4A99"/>
    <w:rsid w:val="00DF73E2"/>
    <w:rsid w:val="00E0060C"/>
    <w:rsid w:val="00E026CB"/>
    <w:rsid w:val="00E0483D"/>
    <w:rsid w:val="00E13F91"/>
    <w:rsid w:val="00E17F88"/>
    <w:rsid w:val="00E20884"/>
    <w:rsid w:val="00E22EFE"/>
    <w:rsid w:val="00E3440E"/>
    <w:rsid w:val="00E35EAB"/>
    <w:rsid w:val="00E36BC0"/>
    <w:rsid w:val="00E4140B"/>
    <w:rsid w:val="00E46993"/>
    <w:rsid w:val="00E51619"/>
    <w:rsid w:val="00E5190F"/>
    <w:rsid w:val="00E51943"/>
    <w:rsid w:val="00E60EB3"/>
    <w:rsid w:val="00E64508"/>
    <w:rsid w:val="00E67CF4"/>
    <w:rsid w:val="00E73BBA"/>
    <w:rsid w:val="00E76177"/>
    <w:rsid w:val="00E7702A"/>
    <w:rsid w:val="00E80943"/>
    <w:rsid w:val="00E82A14"/>
    <w:rsid w:val="00EA1E77"/>
    <w:rsid w:val="00EA6AFF"/>
    <w:rsid w:val="00EA78FD"/>
    <w:rsid w:val="00EB1374"/>
    <w:rsid w:val="00EB18B0"/>
    <w:rsid w:val="00EB516A"/>
    <w:rsid w:val="00EC2E67"/>
    <w:rsid w:val="00EC459A"/>
    <w:rsid w:val="00EC610B"/>
    <w:rsid w:val="00EC7822"/>
    <w:rsid w:val="00ED224B"/>
    <w:rsid w:val="00ED69B8"/>
    <w:rsid w:val="00ED7CEB"/>
    <w:rsid w:val="00EF1853"/>
    <w:rsid w:val="00F0458C"/>
    <w:rsid w:val="00F066E3"/>
    <w:rsid w:val="00F1019D"/>
    <w:rsid w:val="00F2310E"/>
    <w:rsid w:val="00F31F7E"/>
    <w:rsid w:val="00F375E0"/>
    <w:rsid w:val="00F50468"/>
    <w:rsid w:val="00F6352E"/>
    <w:rsid w:val="00F734FE"/>
    <w:rsid w:val="00F754E1"/>
    <w:rsid w:val="00F879C2"/>
    <w:rsid w:val="00F87CE3"/>
    <w:rsid w:val="00F94F2D"/>
    <w:rsid w:val="00FA3E37"/>
    <w:rsid w:val="00FB0039"/>
    <w:rsid w:val="00FB0886"/>
    <w:rsid w:val="00FB2AF6"/>
    <w:rsid w:val="00FC13D6"/>
    <w:rsid w:val="00FC25A3"/>
    <w:rsid w:val="00FC3803"/>
    <w:rsid w:val="00FD19BF"/>
    <w:rsid w:val="00FD3943"/>
    <w:rsid w:val="00FD5515"/>
    <w:rsid w:val="00FD7AD3"/>
    <w:rsid w:val="00FF3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581"/>
    <w:pPr>
      <w:bidi/>
    </w:pPr>
    <w:rPr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A32AE5"/>
    <w:pPr>
      <w:keepNext/>
      <w:bidi w:val="0"/>
      <w:ind w:left="318" w:hanging="318"/>
      <w:jc w:val="center"/>
      <w:outlineLvl w:val="1"/>
    </w:pPr>
    <w:rPr>
      <w:rFonts w:cs="Traditional Arabic"/>
      <w:b/>
      <w:bCs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ongtext">
    <w:name w:val="long_text"/>
    <w:basedOn w:val="DefaultParagraphFont"/>
    <w:rsid w:val="003E0581"/>
  </w:style>
  <w:style w:type="paragraph" w:styleId="BodyText">
    <w:name w:val="Body Text"/>
    <w:basedOn w:val="Normal"/>
    <w:semiHidden/>
    <w:rsid w:val="003E0581"/>
    <w:pPr>
      <w:bidi w:val="0"/>
      <w:ind w:right="720"/>
      <w:jc w:val="lowKashida"/>
    </w:pPr>
    <w:rPr>
      <w:b/>
      <w:bCs/>
    </w:rPr>
  </w:style>
  <w:style w:type="paragraph" w:styleId="BalloonText">
    <w:name w:val="Balloon Text"/>
    <w:basedOn w:val="Normal"/>
    <w:semiHidden/>
    <w:unhideWhenUsed/>
    <w:rsid w:val="003E05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3E058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3E0581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semiHidden/>
    <w:rsid w:val="003E0581"/>
    <w:pPr>
      <w:bidi w:val="0"/>
      <w:jc w:val="lowKashida"/>
    </w:pPr>
    <w:rPr>
      <w:color w:val="000000"/>
      <w:shd w:val="clear" w:color="auto" w:fill="FFFFFF"/>
    </w:rPr>
  </w:style>
  <w:style w:type="table" w:styleId="TableGrid">
    <w:name w:val="Table Grid"/>
    <w:basedOn w:val="TableNormal"/>
    <w:uiPriority w:val="59"/>
    <w:rsid w:val="009209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BodyText3Char"/>
    <w:semiHidden/>
    <w:rsid w:val="00A32AE5"/>
    <w:pPr>
      <w:numPr>
        <w:ilvl w:val="12"/>
      </w:numPr>
      <w:bidi w:val="0"/>
      <w:jc w:val="lowKashida"/>
    </w:pPr>
    <w:rPr>
      <w:rFonts w:cs="Simplified Arabic"/>
      <w:b/>
      <w:bCs/>
    </w:rPr>
  </w:style>
  <w:style w:type="character" w:customStyle="1" w:styleId="BodyText3Char">
    <w:name w:val="Body Text 3 Char"/>
    <w:basedOn w:val="DefaultParagraphFont"/>
    <w:link w:val="BodyText3"/>
    <w:semiHidden/>
    <w:rsid w:val="00A32AE5"/>
    <w:rPr>
      <w:rFonts w:cs="Simplified Arabic"/>
      <w:b/>
      <w:bCs/>
      <w:sz w:val="24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rsid w:val="00A32AE5"/>
    <w:rPr>
      <w:rFonts w:cs="Traditional Arabic"/>
      <w:b/>
      <w:bCs/>
      <w:sz w:val="24"/>
    </w:rPr>
  </w:style>
  <w:style w:type="character" w:styleId="Hyperlink">
    <w:name w:val="Hyperlink"/>
    <w:uiPriority w:val="99"/>
    <w:unhideWhenUsed/>
    <w:rsid w:val="00DB419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F31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1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311E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1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311E"/>
    <w:rPr>
      <w:b/>
      <w:bCs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3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Office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plotArea>
      <c:layout>
        <c:manualLayout>
          <c:layoutTarget val="inner"/>
          <c:xMode val="edge"/>
          <c:yMode val="edge"/>
          <c:x val="0.17955111016528341"/>
          <c:y val="2.5506874336632627E-2"/>
          <c:w val="0.81609675817549865"/>
          <c:h val="0.75054953554003356"/>
        </c:manualLayout>
      </c:layout>
      <c:lineChart>
        <c:grouping val="standard"/>
        <c:ser>
          <c:idx val="0"/>
          <c:order val="0"/>
          <c:tx>
            <c:strRef>
              <c:f>Sheet1!$B$1</c:f>
              <c:strCache>
                <c:ptCount val="1"/>
                <c:pt idx="0">
                  <c:v>New Additions to Licensed Buildings </c:v>
                </c:pt>
              </c:strCache>
            </c:strRef>
          </c:tx>
          <c:cat>
            <c:strRef>
              <c:f>Sheet1!$A$2:$A$6</c:f>
              <c:strCache>
                <c:ptCount val="5"/>
                <c:pt idx="0">
                  <c:v>Q II 2019</c:v>
                </c:pt>
                <c:pt idx="1">
                  <c:v>Q III 2019</c:v>
                </c:pt>
                <c:pt idx="2">
                  <c:v> Q IV 2019</c:v>
                </c:pt>
                <c:pt idx="3">
                  <c:v> Q I 2020</c:v>
                </c:pt>
                <c:pt idx="4">
                  <c:v> Q II 2020</c:v>
                </c:pt>
              </c:strCache>
            </c:strRef>
          </c:cat>
          <c:val>
            <c:numRef>
              <c:f>Sheet1!$B$2:$B$6</c:f>
              <c:numCache>
                <c:formatCode>#,##0</c:formatCode>
                <c:ptCount val="5"/>
                <c:pt idx="0">
                  <c:v>215</c:v>
                </c:pt>
                <c:pt idx="1">
                  <c:v>203</c:v>
                </c:pt>
                <c:pt idx="2">
                  <c:v>267</c:v>
                </c:pt>
                <c:pt idx="3">
                  <c:v>244</c:v>
                </c:pt>
                <c:pt idx="4">
                  <c:v>125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New Buildings</c:v>
                </c:pt>
              </c:strCache>
            </c:strRef>
          </c:tx>
          <c:cat>
            <c:strRef>
              <c:f>Sheet1!$A$2:$A$6</c:f>
              <c:strCache>
                <c:ptCount val="5"/>
                <c:pt idx="0">
                  <c:v>Q II 2019</c:v>
                </c:pt>
                <c:pt idx="1">
                  <c:v>Q III 2019</c:v>
                </c:pt>
                <c:pt idx="2">
                  <c:v> Q IV 2019</c:v>
                </c:pt>
                <c:pt idx="3">
                  <c:v> Q I 2020</c:v>
                </c:pt>
                <c:pt idx="4">
                  <c:v> Q II 2020</c:v>
                </c:pt>
              </c:strCache>
            </c:strRef>
          </c:cat>
          <c:val>
            <c:numRef>
              <c:f>Sheet1!$C$2:$C$6</c:f>
              <c:numCache>
                <c:formatCode>#,##0</c:formatCode>
                <c:ptCount val="5"/>
                <c:pt idx="0">
                  <c:v>1358</c:v>
                </c:pt>
                <c:pt idx="1">
                  <c:v>1451</c:v>
                </c:pt>
                <c:pt idx="2">
                  <c:v>2007</c:v>
                </c:pt>
                <c:pt idx="3">
                  <c:v>1551</c:v>
                </c:pt>
                <c:pt idx="4">
                  <c:v>813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Total Building Licenses</c:v>
                </c:pt>
              </c:strCache>
            </c:strRef>
          </c:tx>
          <c:marker>
            <c:symbol val="none"/>
          </c:marker>
          <c:cat>
            <c:strRef>
              <c:f>Sheet1!$A$2:$A$6</c:f>
              <c:strCache>
                <c:ptCount val="5"/>
                <c:pt idx="0">
                  <c:v>Q II 2019</c:v>
                </c:pt>
                <c:pt idx="1">
                  <c:v>Q III 2019</c:v>
                </c:pt>
                <c:pt idx="2">
                  <c:v> Q IV 2019</c:v>
                </c:pt>
                <c:pt idx="3">
                  <c:v> Q I 2020</c:v>
                </c:pt>
                <c:pt idx="4">
                  <c:v> Q II 2020</c:v>
                </c:pt>
              </c:strCache>
            </c:strRef>
          </c:cat>
          <c:val>
            <c:numRef>
              <c:f>Sheet1!$D$2:$D$6</c:f>
              <c:numCache>
                <c:formatCode>#,##0</c:formatCode>
                <c:ptCount val="5"/>
                <c:pt idx="0">
                  <c:v>2241</c:v>
                </c:pt>
                <c:pt idx="1">
                  <c:v>2205</c:v>
                </c:pt>
                <c:pt idx="2">
                  <c:v>2654</c:v>
                </c:pt>
                <c:pt idx="3">
                  <c:v>2211</c:v>
                </c:pt>
                <c:pt idx="4">
                  <c:v>1217</c:v>
                </c:pt>
              </c:numCache>
            </c:numRef>
          </c:val>
        </c:ser>
        <c:marker val="1"/>
        <c:axId val="63810560"/>
        <c:axId val="64422656"/>
      </c:lineChart>
      <c:catAx>
        <c:axId val="63810560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900"/>
            </a:pPr>
            <a:endParaRPr lang="ar-SA"/>
          </a:p>
        </c:txPr>
        <c:crossAx val="64422656"/>
        <c:crosses val="autoZero"/>
        <c:auto val="1"/>
        <c:lblAlgn val="ctr"/>
        <c:lblOffset val="100"/>
      </c:catAx>
      <c:valAx>
        <c:axId val="64422656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t>Number of Licenses</a:t>
                </a:r>
              </a:p>
            </c:rich>
          </c:tx>
          <c:layout>
            <c:manualLayout>
              <c:xMode val="edge"/>
              <c:yMode val="edge"/>
              <c:x val="7.2070933826681467E-3"/>
              <c:y val="0.22323709536307959"/>
            </c:manualLayout>
          </c:layout>
        </c:title>
        <c:numFmt formatCode="#,##0" sourceLinked="0"/>
        <c:tickLblPos val="nextTo"/>
        <c:crossAx val="63810560"/>
        <c:crosses val="autoZero"/>
        <c:crossBetween val="between"/>
      </c:valAx>
    </c:plotArea>
    <c:legend>
      <c:legendPos val="b"/>
      <c:layout>
        <c:manualLayout>
          <c:xMode val="edge"/>
          <c:yMode val="edge"/>
          <c:wMode val="edge"/>
          <c:hMode val="edge"/>
          <c:x val="0"/>
          <c:y val="0.84788641003207954"/>
          <c:w val="0.81671697914551511"/>
          <c:h val="1"/>
        </c:manualLayout>
      </c:layout>
      <c:spPr>
        <a:ln>
          <a:noFill/>
        </a:ln>
      </c:spPr>
    </c:legend>
    <c:plotVisOnly val="1"/>
    <c:dispBlanksAs val="gap"/>
  </c:chart>
  <c:spPr>
    <a:noFill/>
  </c:spPr>
  <c:externalData r:id="rId2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E50E3-6FF3-4CF1-8957-7A76B988C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First monthly  news release on the Palestinian registered external trade on goods for December/ 2010</vt:lpstr>
    </vt:vector>
  </TitlesOfParts>
  <Company>pcbs</Company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First monthly  news release on the Palestinian registered external trade on goods for December/ 2010</dc:title>
  <dc:creator>husamkh</dc:creator>
  <cp:lastModifiedBy>adwikat</cp:lastModifiedBy>
  <cp:revision>2</cp:revision>
  <cp:lastPrinted>2020-09-03T09:26:00Z</cp:lastPrinted>
  <dcterms:created xsi:type="dcterms:W3CDTF">2020-09-07T08:15:00Z</dcterms:created>
  <dcterms:modified xsi:type="dcterms:W3CDTF">2020-09-07T08:15:00Z</dcterms:modified>
</cp:coreProperties>
</file>