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3A" w:rsidRPr="00464E3A" w:rsidRDefault="00464E3A" w:rsidP="00464E3A">
      <w:pPr>
        <w:pStyle w:val="Heading5"/>
        <w:spacing w:line="240" w:lineRule="auto"/>
        <w:jc w:val="center"/>
        <w:rPr>
          <w:rFonts w:asciiTheme="majorBidi" w:hAnsiTheme="majorBidi" w:cstheme="majorBidi"/>
          <w:color w:val="000000" w:themeColor="text1"/>
          <w:sz w:val="32"/>
          <w:szCs w:val="32"/>
          <w:u w:val="none"/>
        </w:rPr>
      </w:pPr>
      <w:r w:rsidRPr="00464E3A">
        <w:rPr>
          <w:rFonts w:asciiTheme="majorBidi" w:hAnsiTheme="majorBidi" w:cstheme="majorBidi"/>
          <w:color w:val="000000" w:themeColor="text1"/>
          <w:sz w:val="32"/>
          <w:szCs w:val="32"/>
          <w:u w:val="none"/>
        </w:rPr>
        <w:t>Palestinian Central Bureau of Statistics (PCBS)</w:t>
      </w:r>
    </w:p>
    <w:p w:rsidR="008D37A5" w:rsidRPr="00464E3A" w:rsidRDefault="008D37A5" w:rsidP="008D37A5">
      <w:pPr>
        <w:rPr>
          <w:rFonts w:asciiTheme="majorBidi" w:hAnsiTheme="majorBidi" w:cstheme="majorBidi"/>
          <w:sz w:val="20"/>
          <w:szCs w:val="20"/>
        </w:rPr>
      </w:pPr>
    </w:p>
    <w:p w:rsidR="006D5E0C" w:rsidRPr="00464E3A" w:rsidRDefault="006D5E0C" w:rsidP="003B783D">
      <w:pPr>
        <w:pStyle w:val="Heading5"/>
        <w:spacing w:line="24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u w:val="none"/>
        </w:rPr>
      </w:pPr>
      <w:r w:rsidRPr="00464E3A">
        <w:rPr>
          <w:rFonts w:asciiTheme="majorBidi" w:hAnsiTheme="majorBidi" w:cstheme="majorBidi"/>
          <w:color w:val="000000" w:themeColor="text1"/>
          <w:sz w:val="28"/>
          <w:szCs w:val="28"/>
          <w:u w:val="none"/>
        </w:rPr>
        <w:t xml:space="preserve">About </w:t>
      </w:r>
      <w:r w:rsidR="003B783D" w:rsidRPr="00464E3A">
        <w:rPr>
          <w:rFonts w:asciiTheme="majorBidi" w:hAnsiTheme="majorBidi" w:cstheme="majorBidi"/>
          <w:color w:val="000000" w:themeColor="text1"/>
          <w:sz w:val="28"/>
          <w:szCs w:val="28"/>
          <w:u w:val="none"/>
          <w:rtl/>
        </w:rPr>
        <w:t>13.5</w:t>
      </w:r>
      <w:r w:rsidRPr="00464E3A">
        <w:rPr>
          <w:rFonts w:asciiTheme="majorBidi" w:hAnsiTheme="majorBidi" w:cstheme="majorBidi"/>
          <w:color w:val="000000" w:themeColor="text1"/>
          <w:sz w:val="28"/>
          <w:szCs w:val="28"/>
          <w:u w:val="none"/>
        </w:rPr>
        <w:t xml:space="preserve"> </w:t>
      </w:r>
      <w:r w:rsidR="005C18C4" w:rsidRPr="00464E3A">
        <w:rPr>
          <w:rFonts w:asciiTheme="majorBidi" w:hAnsiTheme="majorBidi" w:cstheme="majorBidi"/>
          <w:color w:val="000000" w:themeColor="text1"/>
          <w:sz w:val="28"/>
          <w:szCs w:val="28"/>
          <w:u w:val="none"/>
        </w:rPr>
        <w:t xml:space="preserve">Million </w:t>
      </w:r>
      <w:r w:rsidRPr="00464E3A">
        <w:rPr>
          <w:rFonts w:asciiTheme="majorBidi" w:hAnsiTheme="majorBidi" w:cstheme="majorBidi"/>
          <w:color w:val="000000" w:themeColor="text1"/>
          <w:sz w:val="28"/>
          <w:szCs w:val="28"/>
          <w:u w:val="none"/>
        </w:rPr>
        <w:t>Palestinians in the Historical Palestine and Diaspora</w:t>
      </w:r>
    </w:p>
    <w:p w:rsidR="008D37A5" w:rsidRPr="00464E3A" w:rsidRDefault="008D37A5" w:rsidP="008D37A5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854A3D" w:rsidRPr="00464E3A" w:rsidRDefault="00854A3D" w:rsidP="00854A3D">
      <w:pPr>
        <w:bidi w:val="0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:rsidR="008D37A5" w:rsidRPr="00ED3D2B" w:rsidRDefault="008D37A5" w:rsidP="005C18C4">
      <w:pPr>
        <w:pStyle w:val="Heading6"/>
        <w:rPr>
          <w:rFonts w:hint="cs"/>
          <w:color w:val="000000" w:themeColor="text1"/>
          <w:sz w:val="32"/>
          <w:szCs w:val="32"/>
          <w:rtl/>
        </w:rPr>
      </w:pPr>
      <w:r w:rsidRPr="00464E3A">
        <w:rPr>
          <w:rFonts w:asciiTheme="majorBidi" w:hAnsiTheme="majorBidi" w:cstheme="majorBidi"/>
          <w:color w:val="000000" w:themeColor="text1"/>
          <w:sz w:val="32"/>
          <w:szCs w:val="32"/>
        </w:rPr>
        <w:t>On the</w:t>
      </w:r>
      <w:r w:rsidR="0089334E" w:rsidRPr="00464E3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5C18C4" w:rsidRPr="00464E3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Occasion </w:t>
      </w:r>
      <w:r w:rsidRPr="00464E3A">
        <w:rPr>
          <w:rFonts w:asciiTheme="majorBidi" w:hAnsiTheme="majorBidi" w:cstheme="majorBidi"/>
          <w:color w:val="000000" w:themeColor="text1"/>
          <w:sz w:val="32"/>
          <w:szCs w:val="32"/>
        </w:rPr>
        <w:t>of the International Population Day 11/</w:t>
      </w:r>
      <w:r w:rsidR="00003FFC">
        <w:rPr>
          <w:rFonts w:asciiTheme="majorBidi" w:hAnsiTheme="majorBidi" w:cstheme="majorBidi"/>
          <w:color w:val="000000" w:themeColor="text1"/>
          <w:sz w:val="32"/>
          <w:szCs w:val="32"/>
        </w:rPr>
        <w:t>0</w:t>
      </w:r>
      <w:r w:rsidRPr="00464E3A">
        <w:rPr>
          <w:rFonts w:asciiTheme="majorBidi" w:hAnsiTheme="majorBidi" w:cstheme="majorBidi"/>
          <w:color w:val="000000" w:themeColor="text1"/>
          <w:sz w:val="32"/>
          <w:szCs w:val="32"/>
        </w:rPr>
        <w:t>7/</w:t>
      </w:r>
      <w:r w:rsidR="00CE1260" w:rsidRPr="00464E3A">
        <w:rPr>
          <w:rFonts w:asciiTheme="majorBidi" w:hAnsiTheme="majorBidi" w:cstheme="majorBidi"/>
          <w:color w:val="000000" w:themeColor="text1"/>
          <w:sz w:val="32"/>
          <w:szCs w:val="32"/>
        </w:rPr>
        <w:t>2020</w:t>
      </w:r>
    </w:p>
    <w:p w:rsidR="00854A3D" w:rsidRPr="000063A3" w:rsidRDefault="00854A3D" w:rsidP="00854A3D">
      <w:pPr>
        <w:bidi w:val="0"/>
        <w:rPr>
          <w:color w:val="000000" w:themeColor="text1"/>
          <w:sz w:val="18"/>
          <w:szCs w:val="18"/>
        </w:rPr>
      </w:pPr>
    </w:p>
    <w:p w:rsidR="00E60850" w:rsidRPr="00146ECF" w:rsidRDefault="00905D31" w:rsidP="003B783D">
      <w:pPr>
        <w:pStyle w:val="BodyText2"/>
        <w:jc w:val="both"/>
        <w:rPr>
          <w:color w:val="000000" w:themeColor="text1"/>
          <w:sz w:val="24"/>
          <w:szCs w:val="24"/>
        </w:rPr>
      </w:pPr>
      <w:bookmarkStart w:id="0" w:name="OLE_LINK1"/>
      <w:r w:rsidRPr="00146ECF">
        <w:rPr>
          <w:color w:val="000000" w:themeColor="text1"/>
          <w:sz w:val="24"/>
          <w:szCs w:val="24"/>
        </w:rPr>
        <w:t>Based on</w:t>
      </w:r>
      <w:r w:rsidR="00A81BEB" w:rsidRPr="00146ECF">
        <w:rPr>
          <w:color w:val="000000" w:themeColor="text1"/>
          <w:sz w:val="24"/>
          <w:szCs w:val="24"/>
        </w:rPr>
        <w:t xml:space="preserve"> </w:t>
      </w:r>
      <w:r w:rsidRPr="00146ECF">
        <w:rPr>
          <w:color w:val="000000" w:themeColor="text1"/>
          <w:sz w:val="24"/>
          <w:szCs w:val="24"/>
        </w:rPr>
        <w:t>PCBS</w:t>
      </w:r>
      <w:r w:rsidR="003B783D" w:rsidRPr="003B783D">
        <w:rPr>
          <w:color w:val="000000" w:themeColor="text1"/>
          <w:sz w:val="24"/>
          <w:szCs w:val="24"/>
        </w:rPr>
        <w:t xml:space="preserve"> </w:t>
      </w:r>
      <w:r w:rsidR="003B783D" w:rsidRPr="00146ECF">
        <w:rPr>
          <w:color w:val="000000" w:themeColor="text1"/>
          <w:sz w:val="24"/>
          <w:szCs w:val="24"/>
        </w:rPr>
        <w:t>estimates</w:t>
      </w:r>
      <w:r w:rsidR="00A81BEB" w:rsidRPr="00146ECF">
        <w:rPr>
          <w:color w:val="000000" w:themeColor="text1"/>
          <w:sz w:val="24"/>
          <w:szCs w:val="24"/>
        </w:rPr>
        <w:t>, t</w:t>
      </w:r>
      <w:r w:rsidR="004155EB" w:rsidRPr="00146ECF">
        <w:rPr>
          <w:color w:val="000000" w:themeColor="text1"/>
          <w:sz w:val="24"/>
          <w:szCs w:val="24"/>
        </w:rPr>
        <w:t xml:space="preserve">here are about </w:t>
      </w:r>
      <w:r w:rsidR="00CE1260" w:rsidRPr="00146ECF">
        <w:rPr>
          <w:color w:val="000000" w:themeColor="text1"/>
          <w:sz w:val="24"/>
          <w:szCs w:val="24"/>
        </w:rPr>
        <w:t>13.5</w:t>
      </w:r>
      <w:r w:rsidR="004155EB" w:rsidRPr="00146ECF">
        <w:rPr>
          <w:color w:val="000000" w:themeColor="text1"/>
          <w:sz w:val="24"/>
          <w:szCs w:val="24"/>
        </w:rPr>
        <w:t xml:space="preserve"> million Palestinians in the world, of whom about </w:t>
      </w:r>
      <w:r w:rsidR="00CE1260" w:rsidRPr="00146ECF">
        <w:rPr>
          <w:color w:val="000000" w:themeColor="text1"/>
          <w:sz w:val="24"/>
          <w:szCs w:val="24"/>
        </w:rPr>
        <w:t>5.1</w:t>
      </w:r>
      <w:r w:rsidR="004155EB" w:rsidRPr="00146ECF">
        <w:rPr>
          <w:color w:val="000000" w:themeColor="text1"/>
          <w:sz w:val="24"/>
          <w:szCs w:val="24"/>
        </w:rPr>
        <w:t xml:space="preserve"> million in the State of Palestine</w:t>
      </w:r>
      <w:r w:rsidRPr="00146ECF">
        <w:rPr>
          <w:color w:val="000000" w:themeColor="text1"/>
          <w:sz w:val="24"/>
          <w:szCs w:val="24"/>
        </w:rPr>
        <w:t xml:space="preserve">; </w:t>
      </w:r>
      <w:bookmarkEnd w:id="0"/>
      <w:r w:rsidR="00CE1260" w:rsidRPr="00146ECF">
        <w:rPr>
          <w:color w:val="000000" w:themeColor="text1"/>
          <w:sz w:val="24"/>
          <w:szCs w:val="24"/>
        </w:rPr>
        <w:t>2.59</w:t>
      </w:r>
      <w:r w:rsidRPr="00146ECF">
        <w:rPr>
          <w:color w:val="000000" w:themeColor="text1"/>
          <w:sz w:val="24"/>
          <w:szCs w:val="24"/>
        </w:rPr>
        <w:t xml:space="preserve"> million males and </w:t>
      </w:r>
      <w:r w:rsidR="00CE1260" w:rsidRPr="00146ECF">
        <w:rPr>
          <w:color w:val="000000" w:themeColor="text1"/>
          <w:sz w:val="24"/>
          <w:szCs w:val="24"/>
        </w:rPr>
        <w:t>2.51</w:t>
      </w:r>
      <w:r w:rsidRPr="00146ECF">
        <w:rPr>
          <w:color w:val="000000" w:themeColor="text1"/>
          <w:sz w:val="24"/>
          <w:szCs w:val="24"/>
        </w:rPr>
        <w:t xml:space="preserve"> million females. The estimated population of </w:t>
      </w:r>
      <w:r w:rsidR="00660945" w:rsidRPr="00146ECF">
        <w:rPr>
          <w:color w:val="000000" w:themeColor="text1"/>
          <w:sz w:val="24"/>
          <w:szCs w:val="24"/>
        </w:rPr>
        <w:t xml:space="preserve">the </w:t>
      </w:r>
      <w:r w:rsidRPr="00146ECF">
        <w:rPr>
          <w:color w:val="000000" w:themeColor="text1"/>
          <w:sz w:val="24"/>
          <w:szCs w:val="24"/>
        </w:rPr>
        <w:t>West Bank was</w:t>
      </w:r>
      <w:r w:rsidR="00CE1260" w:rsidRPr="00146ECF">
        <w:rPr>
          <w:color w:val="000000" w:themeColor="text1"/>
          <w:sz w:val="24"/>
          <w:szCs w:val="24"/>
        </w:rPr>
        <w:t xml:space="preserve"> 3.05</w:t>
      </w:r>
      <w:r w:rsidRPr="00146ECF">
        <w:rPr>
          <w:color w:val="000000" w:themeColor="text1"/>
          <w:sz w:val="24"/>
          <w:szCs w:val="24"/>
        </w:rPr>
        <w:t xml:space="preserve"> million</w:t>
      </w:r>
      <w:r w:rsidR="00A81BEB" w:rsidRPr="00146ECF">
        <w:rPr>
          <w:color w:val="000000" w:themeColor="text1"/>
          <w:sz w:val="24"/>
          <w:szCs w:val="24"/>
        </w:rPr>
        <w:t>;</w:t>
      </w:r>
      <w:r w:rsidRPr="00146ECF">
        <w:rPr>
          <w:color w:val="000000" w:themeColor="text1"/>
          <w:sz w:val="24"/>
          <w:szCs w:val="24"/>
        </w:rPr>
        <w:t xml:space="preserve"> of which 1.5</w:t>
      </w:r>
      <w:r w:rsidR="00CE1260" w:rsidRPr="00146ECF">
        <w:rPr>
          <w:color w:val="000000" w:themeColor="text1"/>
          <w:sz w:val="24"/>
          <w:szCs w:val="24"/>
        </w:rPr>
        <w:t xml:space="preserve">5 </w:t>
      </w:r>
      <w:r w:rsidRPr="00146ECF">
        <w:rPr>
          <w:color w:val="000000" w:themeColor="text1"/>
          <w:sz w:val="24"/>
          <w:szCs w:val="24"/>
        </w:rPr>
        <w:t>million males and 1.</w:t>
      </w:r>
      <w:r w:rsidR="00CE1260" w:rsidRPr="00146ECF">
        <w:rPr>
          <w:color w:val="000000" w:themeColor="text1"/>
          <w:sz w:val="24"/>
          <w:szCs w:val="24"/>
        </w:rPr>
        <w:t>50</w:t>
      </w:r>
      <w:r w:rsidRPr="00146ECF">
        <w:rPr>
          <w:color w:val="000000" w:themeColor="text1"/>
          <w:sz w:val="24"/>
          <w:szCs w:val="24"/>
        </w:rPr>
        <w:t xml:space="preserve"> million females. While the estimated population of Gaza Strip </w:t>
      </w:r>
      <w:r w:rsidR="00660945" w:rsidRPr="00146ECF">
        <w:rPr>
          <w:color w:val="000000" w:themeColor="text1"/>
          <w:sz w:val="24"/>
          <w:szCs w:val="24"/>
        </w:rPr>
        <w:t>was</w:t>
      </w:r>
      <w:r w:rsidR="001E2718" w:rsidRPr="00146ECF">
        <w:rPr>
          <w:color w:val="000000" w:themeColor="text1"/>
          <w:sz w:val="24"/>
          <w:szCs w:val="24"/>
        </w:rPr>
        <w:t xml:space="preserve"> </w:t>
      </w:r>
      <w:r w:rsidR="00CE1260" w:rsidRPr="00146ECF">
        <w:rPr>
          <w:color w:val="000000" w:themeColor="text1"/>
          <w:sz w:val="24"/>
          <w:szCs w:val="24"/>
        </w:rPr>
        <w:t>2.05</w:t>
      </w:r>
      <w:r w:rsidRPr="00146ECF">
        <w:rPr>
          <w:color w:val="000000" w:themeColor="text1"/>
          <w:sz w:val="24"/>
          <w:szCs w:val="24"/>
        </w:rPr>
        <w:t xml:space="preserve"> million</w:t>
      </w:r>
      <w:r w:rsidR="00A81BEB" w:rsidRPr="00146ECF">
        <w:rPr>
          <w:color w:val="000000" w:themeColor="text1"/>
          <w:sz w:val="24"/>
          <w:szCs w:val="24"/>
        </w:rPr>
        <w:t>;</w:t>
      </w:r>
      <w:r w:rsidRPr="00146ECF">
        <w:rPr>
          <w:color w:val="000000" w:themeColor="text1"/>
          <w:sz w:val="24"/>
          <w:szCs w:val="24"/>
        </w:rPr>
        <w:t xml:space="preserve"> of which 1.0</w:t>
      </w:r>
      <w:r w:rsidR="00CE1260" w:rsidRPr="00146ECF">
        <w:rPr>
          <w:color w:val="000000" w:themeColor="text1"/>
          <w:sz w:val="24"/>
          <w:szCs w:val="24"/>
        </w:rPr>
        <w:t>4</w:t>
      </w:r>
      <w:r w:rsidRPr="00146ECF">
        <w:rPr>
          <w:color w:val="000000" w:themeColor="text1"/>
          <w:sz w:val="24"/>
          <w:szCs w:val="24"/>
        </w:rPr>
        <w:t xml:space="preserve"> million males and </w:t>
      </w:r>
      <w:r w:rsidR="00CE1260" w:rsidRPr="00146ECF">
        <w:rPr>
          <w:color w:val="000000" w:themeColor="text1"/>
          <w:sz w:val="24"/>
          <w:szCs w:val="24"/>
        </w:rPr>
        <w:t>1.01</w:t>
      </w:r>
      <w:r w:rsidRPr="00146ECF">
        <w:rPr>
          <w:color w:val="000000" w:themeColor="text1"/>
          <w:sz w:val="24"/>
          <w:szCs w:val="24"/>
        </w:rPr>
        <w:t xml:space="preserve"> thousand females.</w:t>
      </w:r>
      <w:r w:rsidR="009B221D" w:rsidRPr="00146ECF">
        <w:rPr>
          <w:color w:val="000000" w:themeColor="text1"/>
          <w:sz w:val="24"/>
          <w:szCs w:val="24"/>
        </w:rPr>
        <w:t xml:space="preserve"> </w:t>
      </w:r>
      <w:r w:rsidR="00E60850" w:rsidRPr="00146ECF">
        <w:rPr>
          <w:color w:val="000000" w:themeColor="text1"/>
          <w:sz w:val="24"/>
          <w:szCs w:val="24"/>
        </w:rPr>
        <w:t xml:space="preserve"> </w:t>
      </w:r>
    </w:p>
    <w:p w:rsidR="004E7AFE" w:rsidRPr="00003FFC" w:rsidRDefault="004E7AFE" w:rsidP="00C637E1">
      <w:pPr>
        <w:pStyle w:val="BodyText3"/>
        <w:rPr>
          <w:rFonts w:asciiTheme="majorBidi" w:hAnsiTheme="majorBidi" w:cstheme="majorBidi"/>
          <w:color w:val="000000" w:themeColor="text1"/>
          <w:sz w:val="16"/>
          <w:szCs w:val="16"/>
          <w:lang w:eastAsia="en-US"/>
        </w:rPr>
      </w:pPr>
    </w:p>
    <w:p w:rsidR="004E7AFE" w:rsidRPr="00003FFC" w:rsidRDefault="004E7AFE" w:rsidP="003B783D">
      <w:pPr>
        <w:bidi w:val="0"/>
        <w:jc w:val="center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Number of </w:t>
      </w:r>
      <w:r w:rsidR="005C18C4" w:rsidRPr="00003FFC">
        <w:rPr>
          <w:b/>
          <w:bCs/>
          <w:color w:val="000000" w:themeColor="text1"/>
          <w:sz w:val="26"/>
          <w:szCs w:val="26"/>
        </w:rPr>
        <w:t xml:space="preserve">the </w:t>
      </w:r>
      <w:r w:rsidRPr="00003FFC">
        <w:rPr>
          <w:b/>
          <w:bCs/>
          <w:color w:val="000000" w:themeColor="text1"/>
          <w:sz w:val="26"/>
          <w:szCs w:val="26"/>
        </w:rPr>
        <w:t xml:space="preserve">Palestinian Population by </w:t>
      </w:r>
      <w:r w:rsidR="003B783D" w:rsidRPr="00003FFC">
        <w:rPr>
          <w:b/>
          <w:bCs/>
          <w:color w:val="000000" w:themeColor="text1"/>
          <w:sz w:val="26"/>
          <w:szCs w:val="26"/>
        </w:rPr>
        <w:t>Place</w:t>
      </w:r>
      <w:r w:rsidRPr="00003FFC">
        <w:rPr>
          <w:b/>
          <w:bCs/>
          <w:color w:val="000000" w:themeColor="text1"/>
          <w:sz w:val="26"/>
          <w:szCs w:val="26"/>
        </w:rPr>
        <w:t xml:space="preserve"> of Residence, Mid </w:t>
      </w:r>
      <w:r w:rsidR="003B783D" w:rsidRPr="00003FFC">
        <w:rPr>
          <w:b/>
          <w:bCs/>
          <w:color w:val="000000" w:themeColor="text1"/>
          <w:sz w:val="26"/>
          <w:szCs w:val="26"/>
        </w:rPr>
        <w:t xml:space="preserve">of </w:t>
      </w:r>
      <w:r w:rsidR="003B783D" w:rsidRPr="00003FFC">
        <w:rPr>
          <w:rFonts w:hint="cs"/>
          <w:b/>
          <w:bCs/>
          <w:color w:val="000000" w:themeColor="text1"/>
          <w:sz w:val="26"/>
          <w:szCs w:val="26"/>
          <w:rtl/>
        </w:rPr>
        <w:t>2020</w:t>
      </w:r>
    </w:p>
    <w:tbl>
      <w:tblPr>
        <w:tblStyle w:val="TableGrid"/>
        <w:tblW w:w="0" w:type="auto"/>
        <w:tblInd w:w="1908" w:type="dxa"/>
        <w:tblLayout w:type="fixed"/>
        <w:tblLook w:val="04A0"/>
      </w:tblPr>
      <w:tblGrid>
        <w:gridCol w:w="7698"/>
      </w:tblGrid>
      <w:tr w:rsidR="004E7AFE" w:rsidRPr="00ED3D2B" w:rsidTr="00464E3A">
        <w:tc>
          <w:tcPr>
            <w:tcW w:w="7698" w:type="dxa"/>
          </w:tcPr>
          <w:p w:rsidR="004E7AFE" w:rsidRPr="00146ECF" w:rsidRDefault="004E7AFE" w:rsidP="004E7AFE">
            <w:pPr>
              <w:pStyle w:val="BodyText3"/>
              <w:jc w:val="center"/>
              <w:rPr>
                <w:rFonts w:asciiTheme="majorBidi" w:hAnsiTheme="majorBidi" w:cstheme="majorBidi"/>
                <w:b/>
                <w:bCs/>
                <w:color w:val="C4BC96" w:themeColor="background2" w:themeShade="BF"/>
                <w:sz w:val="26"/>
                <w:szCs w:val="26"/>
              </w:rPr>
            </w:pPr>
            <w:r w:rsidRPr="00146ECF">
              <w:rPr>
                <w:rFonts w:asciiTheme="majorBidi" w:hAnsiTheme="majorBidi" w:cstheme="majorBidi"/>
                <w:b/>
                <w:bCs/>
                <w:noProof/>
                <w:color w:val="548DD4" w:themeColor="text2" w:themeTint="99"/>
                <w:sz w:val="26"/>
                <w:szCs w:val="26"/>
                <w:lang w:eastAsia="en-US"/>
              </w:rPr>
              <w:drawing>
                <wp:inline distT="0" distB="0" distL="0" distR="0">
                  <wp:extent cx="4743450" cy="215265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E7AFE" w:rsidRPr="00003FFC" w:rsidRDefault="004E7AFE" w:rsidP="004E7AFE">
      <w:pPr>
        <w:pStyle w:val="BodyText3"/>
        <w:jc w:val="center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0B2FCD" w:rsidRPr="00003FFC" w:rsidRDefault="00A81BEB" w:rsidP="00A81BEB">
      <w:pPr>
        <w:pStyle w:val="BodyText3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eastAsia="en-US"/>
        </w:rPr>
      </w:pPr>
      <w:r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The </w:t>
      </w:r>
      <w:r w:rsidR="00445A5A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Palestinian Population </w:t>
      </w:r>
      <w:r w:rsidR="00445022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is Young</w:t>
      </w:r>
      <w:r w:rsidR="000F4450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;</w:t>
      </w:r>
      <w:r w:rsidR="00445022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more than </w:t>
      </w:r>
      <w:r w:rsidR="00CD7153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O</w:t>
      </w:r>
      <w:r w:rsidR="00FB217B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ne-</w:t>
      </w:r>
      <w:r w:rsidR="00445022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third of the Population </w:t>
      </w:r>
      <w:r w:rsidR="00CD7153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is Less </w:t>
      </w:r>
      <w:r w:rsidR="00445022" w:rsidRPr="00003FF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than 15 Years</w:t>
      </w:r>
    </w:p>
    <w:p w:rsidR="00E60850" w:rsidRPr="00146ECF" w:rsidRDefault="00C94EDE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146ECF">
        <w:rPr>
          <w:color w:val="000000" w:themeColor="text1"/>
          <w:sz w:val="24"/>
          <w:szCs w:val="24"/>
        </w:rPr>
        <w:t>T</w:t>
      </w:r>
      <w:r w:rsidR="00E60850" w:rsidRPr="00146ECF">
        <w:rPr>
          <w:color w:val="000000" w:themeColor="text1"/>
          <w:sz w:val="24"/>
          <w:szCs w:val="24"/>
        </w:rPr>
        <w:t>he percentage of individuals aged (0-14)</w:t>
      </w:r>
      <w:r w:rsidR="008D37A5" w:rsidRPr="00146ECF">
        <w:rPr>
          <w:color w:val="000000" w:themeColor="text1"/>
          <w:sz w:val="24"/>
          <w:szCs w:val="24"/>
        </w:rPr>
        <w:t xml:space="preserve"> years</w:t>
      </w:r>
      <w:r w:rsidR="00E60850" w:rsidRPr="00146ECF">
        <w:rPr>
          <w:color w:val="000000" w:themeColor="text1"/>
          <w:sz w:val="24"/>
          <w:szCs w:val="24"/>
        </w:rPr>
        <w:t xml:space="preserve"> constituted</w:t>
      </w:r>
      <w:r w:rsidR="009B221D" w:rsidRPr="00146ECF">
        <w:rPr>
          <w:color w:val="000000" w:themeColor="text1"/>
          <w:sz w:val="24"/>
          <w:szCs w:val="24"/>
        </w:rPr>
        <w:t xml:space="preserve"> </w:t>
      </w:r>
      <w:r w:rsidR="00905D31" w:rsidRPr="00146ECF">
        <w:rPr>
          <w:color w:val="000000" w:themeColor="text1"/>
          <w:sz w:val="24"/>
          <w:szCs w:val="24"/>
        </w:rPr>
        <w:t>38</w:t>
      </w:r>
      <w:r w:rsidR="00E60850" w:rsidRPr="00146ECF">
        <w:rPr>
          <w:color w:val="000000" w:themeColor="text1"/>
          <w:sz w:val="24"/>
          <w:szCs w:val="24"/>
        </w:rPr>
        <w:t xml:space="preserve">% of the total population </w:t>
      </w:r>
      <w:r w:rsidR="00970B89" w:rsidRPr="00146ECF">
        <w:rPr>
          <w:color w:val="000000" w:themeColor="text1"/>
          <w:sz w:val="24"/>
          <w:szCs w:val="24"/>
        </w:rPr>
        <w:t>in mid</w:t>
      </w:r>
      <w:r w:rsidR="00905D31" w:rsidRPr="00146ECF">
        <w:rPr>
          <w:color w:val="000000" w:themeColor="text1"/>
          <w:sz w:val="24"/>
          <w:szCs w:val="24"/>
        </w:rPr>
        <w:t xml:space="preserve"> </w:t>
      </w:r>
      <w:r w:rsidR="00CE1260" w:rsidRPr="00146ECF">
        <w:rPr>
          <w:color w:val="000000" w:themeColor="text1"/>
          <w:sz w:val="24"/>
          <w:szCs w:val="24"/>
        </w:rPr>
        <w:t>2020</w:t>
      </w:r>
      <w:r w:rsidR="00C456B6" w:rsidRPr="00146ECF">
        <w:rPr>
          <w:color w:val="000000" w:themeColor="text1"/>
          <w:sz w:val="24"/>
          <w:szCs w:val="24"/>
        </w:rPr>
        <w:t>;</w:t>
      </w:r>
      <w:r w:rsidR="00905D31" w:rsidRPr="00146ECF">
        <w:rPr>
          <w:color w:val="000000" w:themeColor="text1"/>
          <w:sz w:val="24"/>
          <w:szCs w:val="24"/>
        </w:rPr>
        <w:t xml:space="preserve"> </w:t>
      </w:r>
      <w:r w:rsidR="006C32BC" w:rsidRPr="00146ECF">
        <w:rPr>
          <w:color w:val="000000" w:themeColor="text1"/>
          <w:sz w:val="24"/>
          <w:szCs w:val="24"/>
        </w:rPr>
        <w:t xml:space="preserve">of which </w:t>
      </w:r>
      <w:r w:rsidR="00B405D0" w:rsidRPr="00146ECF">
        <w:rPr>
          <w:color w:val="000000" w:themeColor="text1"/>
          <w:sz w:val="24"/>
          <w:szCs w:val="24"/>
        </w:rPr>
        <w:t>36</w:t>
      </w:r>
      <w:r w:rsidR="00314CB2" w:rsidRPr="00146ECF">
        <w:rPr>
          <w:color w:val="000000" w:themeColor="text1"/>
          <w:sz w:val="24"/>
          <w:szCs w:val="24"/>
        </w:rPr>
        <w:t xml:space="preserve">% in </w:t>
      </w:r>
      <w:r w:rsidR="007B5DF7" w:rsidRPr="00146ECF">
        <w:rPr>
          <w:color w:val="000000" w:themeColor="text1"/>
          <w:sz w:val="24"/>
          <w:szCs w:val="24"/>
        </w:rPr>
        <w:t xml:space="preserve">the </w:t>
      </w:r>
      <w:r w:rsidR="00E60850" w:rsidRPr="00146ECF">
        <w:rPr>
          <w:color w:val="000000" w:themeColor="text1"/>
          <w:sz w:val="24"/>
          <w:szCs w:val="24"/>
        </w:rPr>
        <w:t xml:space="preserve">West Bank and </w:t>
      </w:r>
      <w:r w:rsidR="00CE1260" w:rsidRPr="00146ECF">
        <w:rPr>
          <w:color w:val="000000" w:themeColor="text1"/>
          <w:sz w:val="24"/>
          <w:szCs w:val="24"/>
        </w:rPr>
        <w:t>41</w:t>
      </w:r>
      <w:r w:rsidR="00AC0DD5" w:rsidRPr="00146ECF">
        <w:rPr>
          <w:color w:val="000000" w:themeColor="text1"/>
          <w:sz w:val="24"/>
          <w:szCs w:val="24"/>
        </w:rPr>
        <w:t xml:space="preserve">% in Gaza Strip.  </w:t>
      </w:r>
      <w:r w:rsidR="00E60850" w:rsidRPr="00146ECF">
        <w:rPr>
          <w:color w:val="000000" w:themeColor="text1"/>
          <w:sz w:val="24"/>
          <w:szCs w:val="24"/>
        </w:rPr>
        <w:t xml:space="preserve">The elderly population aged (65 years and </w:t>
      </w:r>
      <w:r w:rsidR="0051753D" w:rsidRPr="00146ECF">
        <w:rPr>
          <w:color w:val="000000" w:themeColor="text1"/>
          <w:sz w:val="24"/>
          <w:szCs w:val="24"/>
        </w:rPr>
        <w:t>above</w:t>
      </w:r>
      <w:r w:rsidR="001C08EC" w:rsidRPr="00146ECF">
        <w:rPr>
          <w:color w:val="000000" w:themeColor="text1"/>
          <w:sz w:val="24"/>
          <w:szCs w:val="24"/>
        </w:rPr>
        <w:t>)</w:t>
      </w:r>
      <w:r w:rsidR="00E60850" w:rsidRPr="00146ECF">
        <w:rPr>
          <w:color w:val="000000" w:themeColor="text1"/>
          <w:sz w:val="24"/>
          <w:szCs w:val="24"/>
        </w:rPr>
        <w:t xml:space="preserve"> constituted </w:t>
      </w:r>
      <w:r w:rsidR="00905D31" w:rsidRPr="00146ECF">
        <w:rPr>
          <w:color w:val="000000" w:themeColor="text1"/>
          <w:sz w:val="24"/>
          <w:szCs w:val="24"/>
        </w:rPr>
        <w:t>3</w:t>
      </w:r>
      <w:r w:rsidR="00E60850" w:rsidRPr="00146ECF">
        <w:rPr>
          <w:color w:val="000000" w:themeColor="text1"/>
          <w:sz w:val="24"/>
          <w:szCs w:val="24"/>
        </w:rPr>
        <w:t>% of the total population</w:t>
      </w:r>
      <w:r w:rsidR="00C456B6" w:rsidRPr="00146ECF">
        <w:rPr>
          <w:color w:val="000000" w:themeColor="text1"/>
          <w:sz w:val="24"/>
          <w:szCs w:val="24"/>
        </w:rPr>
        <w:t>;</w:t>
      </w:r>
      <w:r w:rsidR="00AC0DD5" w:rsidRPr="00146ECF">
        <w:rPr>
          <w:color w:val="000000" w:themeColor="text1"/>
          <w:sz w:val="24"/>
          <w:szCs w:val="24"/>
        </w:rPr>
        <w:t xml:space="preserve"> of which </w:t>
      </w:r>
      <w:r w:rsidR="00905D31" w:rsidRPr="00146ECF">
        <w:rPr>
          <w:color w:val="000000" w:themeColor="text1"/>
          <w:sz w:val="24"/>
          <w:szCs w:val="24"/>
        </w:rPr>
        <w:t>4</w:t>
      </w:r>
      <w:r w:rsidR="00E60850" w:rsidRPr="00146ECF">
        <w:rPr>
          <w:color w:val="000000" w:themeColor="text1"/>
          <w:sz w:val="24"/>
          <w:szCs w:val="24"/>
        </w:rPr>
        <w:t xml:space="preserve">% in the West Bank and </w:t>
      </w:r>
      <w:r w:rsidR="00905D31" w:rsidRPr="00146ECF">
        <w:rPr>
          <w:color w:val="000000" w:themeColor="text1"/>
          <w:sz w:val="24"/>
          <w:szCs w:val="24"/>
        </w:rPr>
        <w:t>3</w:t>
      </w:r>
      <w:r w:rsidR="00E60850" w:rsidRPr="00146ECF">
        <w:rPr>
          <w:color w:val="000000" w:themeColor="text1"/>
          <w:sz w:val="24"/>
          <w:szCs w:val="24"/>
        </w:rPr>
        <w:t xml:space="preserve">% in Gaza </w:t>
      </w:r>
      <w:r w:rsidR="00970B89" w:rsidRPr="00146ECF">
        <w:rPr>
          <w:color w:val="000000" w:themeColor="text1"/>
          <w:sz w:val="24"/>
          <w:szCs w:val="24"/>
        </w:rPr>
        <w:t>Strip</w:t>
      </w:r>
      <w:r w:rsidR="00AF1DEF" w:rsidRPr="00146ECF">
        <w:rPr>
          <w:color w:val="000000" w:themeColor="text1"/>
          <w:sz w:val="24"/>
          <w:szCs w:val="24"/>
        </w:rPr>
        <w:t>.</w:t>
      </w:r>
      <w:r w:rsidR="00E60850" w:rsidRPr="00146ECF">
        <w:rPr>
          <w:color w:val="000000" w:themeColor="text1"/>
          <w:sz w:val="24"/>
          <w:szCs w:val="24"/>
        </w:rPr>
        <w:t> </w:t>
      </w:r>
    </w:p>
    <w:p w:rsidR="007C0466" w:rsidRPr="00003FFC" w:rsidRDefault="007C0466" w:rsidP="00AC0DD5">
      <w:pPr>
        <w:pStyle w:val="BodyText2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FA4BAC" w:rsidRPr="00003FFC" w:rsidRDefault="00FA4BAC" w:rsidP="00A81BEB">
      <w:pPr>
        <w:pStyle w:val="BodyText2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03FFC">
        <w:rPr>
          <w:rFonts w:asciiTheme="majorBidi" w:hAnsiTheme="majorBidi" w:cstheme="majorBidi"/>
          <w:b/>
          <w:bCs/>
          <w:color w:val="000000" w:themeColor="text1"/>
        </w:rPr>
        <w:t xml:space="preserve">About 112 thousand Palestinians in the </w:t>
      </w:r>
      <w:r w:rsidR="00A81BEB" w:rsidRPr="00003FFC">
        <w:rPr>
          <w:rFonts w:asciiTheme="majorBidi" w:hAnsiTheme="majorBidi" w:cstheme="majorBidi"/>
          <w:b/>
          <w:bCs/>
          <w:color w:val="000000" w:themeColor="text1"/>
        </w:rPr>
        <w:t xml:space="preserve">localities </w:t>
      </w:r>
      <w:r w:rsidRPr="00003FFC">
        <w:rPr>
          <w:rFonts w:asciiTheme="majorBidi" w:hAnsiTheme="majorBidi" w:cstheme="majorBidi"/>
          <w:b/>
          <w:bCs/>
          <w:color w:val="000000" w:themeColor="text1"/>
        </w:rPr>
        <w:t xml:space="preserve">intended </w:t>
      </w:r>
      <w:r w:rsidR="00A81BEB" w:rsidRPr="00003FFC">
        <w:rPr>
          <w:rFonts w:asciiTheme="majorBidi" w:hAnsiTheme="majorBidi" w:cstheme="majorBidi"/>
          <w:b/>
          <w:bCs/>
          <w:color w:val="000000" w:themeColor="text1"/>
        </w:rPr>
        <w:t xml:space="preserve">to be annexed </w:t>
      </w:r>
      <w:r w:rsidRPr="00003FFC">
        <w:rPr>
          <w:rFonts w:asciiTheme="majorBidi" w:hAnsiTheme="majorBidi" w:cstheme="majorBidi"/>
          <w:b/>
          <w:bCs/>
          <w:color w:val="000000" w:themeColor="text1"/>
        </w:rPr>
        <w:t>by the Israeli occupation in mid</w:t>
      </w:r>
      <w:r w:rsidR="00A81BEB" w:rsidRPr="00003FFC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003FFC">
        <w:rPr>
          <w:rFonts w:asciiTheme="majorBidi" w:hAnsiTheme="majorBidi" w:cstheme="majorBidi"/>
          <w:b/>
          <w:bCs/>
          <w:color w:val="000000" w:themeColor="text1"/>
        </w:rPr>
        <w:t>2020</w:t>
      </w:r>
    </w:p>
    <w:p w:rsidR="00FA4BAC" w:rsidRPr="00146ECF" w:rsidRDefault="00FA4BAC" w:rsidP="002051F9">
      <w:pPr>
        <w:pStyle w:val="BodyText2"/>
        <w:jc w:val="both"/>
        <w:rPr>
          <w:color w:val="000000" w:themeColor="text1"/>
          <w:sz w:val="24"/>
          <w:szCs w:val="24"/>
        </w:rPr>
      </w:pPr>
      <w:r w:rsidRPr="00146ECF">
        <w:rPr>
          <w:color w:val="000000" w:themeColor="text1"/>
          <w:sz w:val="24"/>
          <w:szCs w:val="24"/>
        </w:rPr>
        <w:t xml:space="preserve">The number of Palestinian </w:t>
      </w:r>
      <w:r w:rsidR="00A81BEB" w:rsidRPr="00146ECF">
        <w:rPr>
          <w:color w:val="000000" w:themeColor="text1"/>
          <w:sz w:val="24"/>
          <w:szCs w:val="24"/>
        </w:rPr>
        <w:t xml:space="preserve">localities </w:t>
      </w:r>
      <w:r w:rsidRPr="00146ECF">
        <w:rPr>
          <w:color w:val="000000" w:themeColor="text1"/>
          <w:sz w:val="24"/>
          <w:szCs w:val="24"/>
        </w:rPr>
        <w:t xml:space="preserve">in the West Bank that the Israeli occupation intends to </w:t>
      </w:r>
      <w:r w:rsidR="00A81BEB" w:rsidRPr="00146ECF">
        <w:rPr>
          <w:color w:val="000000" w:themeColor="text1"/>
          <w:sz w:val="24"/>
          <w:szCs w:val="24"/>
        </w:rPr>
        <w:t xml:space="preserve">annex </w:t>
      </w:r>
      <w:r w:rsidRPr="00146ECF">
        <w:rPr>
          <w:color w:val="000000" w:themeColor="text1"/>
          <w:sz w:val="24"/>
          <w:szCs w:val="24"/>
        </w:rPr>
        <w:t>is 43</w:t>
      </w:r>
      <w:r w:rsidR="00A81BEB" w:rsidRPr="00146ECF">
        <w:rPr>
          <w:color w:val="000000" w:themeColor="text1"/>
          <w:sz w:val="24"/>
          <w:szCs w:val="24"/>
        </w:rPr>
        <w:t xml:space="preserve">; </w:t>
      </w:r>
      <w:r w:rsidRPr="00146ECF">
        <w:rPr>
          <w:color w:val="000000" w:themeColor="text1"/>
          <w:sz w:val="24"/>
          <w:szCs w:val="24"/>
        </w:rPr>
        <w:t xml:space="preserve">distributed as follows: 10 in the </w:t>
      </w:r>
      <w:r w:rsidR="003A1E9B" w:rsidRPr="00146ECF">
        <w:rPr>
          <w:color w:val="000000" w:themeColor="text1"/>
          <w:sz w:val="24"/>
          <w:szCs w:val="24"/>
        </w:rPr>
        <w:t xml:space="preserve">North </w:t>
      </w:r>
      <w:r w:rsidR="00A81BEB" w:rsidRPr="00146ECF">
        <w:rPr>
          <w:color w:val="000000" w:themeColor="text1"/>
          <w:sz w:val="24"/>
          <w:szCs w:val="24"/>
        </w:rPr>
        <w:t xml:space="preserve">of </w:t>
      </w:r>
      <w:r w:rsidR="003A1E9B" w:rsidRPr="00146ECF">
        <w:rPr>
          <w:color w:val="000000" w:themeColor="text1"/>
          <w:sz w:val="24"/>
          <w:szCs w:val="24"/>
        </w:rPr>
        <w:t xml:space="preserve">the </w:t>
      </w:r>
      <w:r w:rsidRPr="00146ECF">
        <w:rPr>
          <w:color w:val="000000" w:themeColor="text1"/>
          <w:sz w:val="24"/>
          <w:szCs w:val="24"/>
        </w:rPr>
        <w:t xml:space="preserve">West Bank, 30 in the </w:t>
      </w:r>
      <w:r w:rsidR="003A1E9B" w:rsidRPr="00146ECF">
        <w:rPr>
          <w:color w:val="000000" w:themeColor="text1"/>
          <w:sz w:val="24"/>
          <w:szCs w:val="24"/>
        </w:rPr>
        <w:t xml:space="preserve">Middle </w:t>
      </w:r>
      <w:r w:rsidR="00A81BEB" w:rsidRPr="00146ECF">
        <w:rPr>
          <w:color w:val="000000" w:themeColor="text1"/>
          <w:sz w:val="24"/>
          <w:szCs w:val="24"/>
        </w:rPr>
        <w:t xml:space="preserve">of </w:t>
      </w:r>
      <w:r w:rsidR="003A1E9B" w:rsidRPr="00146ECF">
        <w:rPr>
          <w:color w:val="000000" w:themeColor="text1"/>
          <w:sz w:val="24"/>
          <w:szCs w:val="24"/>
        </w:rPr>
        <w:t xml:space="preserve">the </w:t>
      </w:r>
      <w:r w:rsidRPr="00146ECF">
        <w:rPr>
          <w:color w:val="000000" w:themeColor="text1"/>
          <w:sz w:val="24"/>
          <w:szCs w:val="24"/>
        </w:rPr>
        <w:t xml:space="preserve">West Bank, 3 in the </w:t>
      </w:r>
      <w:r w:rsidR="003A1E9B" w:rsidRPr="00146ECF">
        <w:rPr>
          <w:color w:val="000000" w:themeColor="text1"/>
          <w:sz w:val="24"/>
          <w:szCs w:val="24"/>
        </w:rPr>
        <w:t>S</w:t>
      </w:r>
      <w:r w:rsidRPr="00146ECF">
        <w:rPr>
          <w:color w:val="000000" w:themeColor="text1"/>
          <w:sz w:val="24"/>
          <w:szCs w:val="24"/>
        </w:rPr>
        <w:t xml:space="preserve">outh </w:t>
      </w:r>
      <w:r w:rsidR="00A81BEB" w:rsidRPr="00146ECF">
        <w:rPr>
          <w:color w:val="000000" w:themeColor="text1"/>
          <w:sz w:val="24"/>
          <w:szCs w:val="24"/>
        </w:rPr>
        <w:t xml:space="preserve">of </w:t>
      </w:r>
      <w:r w:rsidR="003A1E9B" w:rsidRPr="00146ECF">
        <w:rPr>
          <w:color w:val="000000" w:themeColor="text1"/>
          <w:sz w:val="24"/>
          <w:szCs w:val="24"/>
        </w:rPr>
        <w:t xml:space="preserve">the </w:t>
      </w:r>
      <w:r w:rsidRPr="00146ECF">
        <w:rPr>
          <w:color w:val="000000" w:themeColor="text1"/>
          <w:sz w:val="24"/>
          <w:szCs w:val="24"/>
        </w:rPr>
        <w:t xml:space="preserve">West Bank, where the number of Palestinians </w:t>
      </w:r>
      <w:r w:rsidR="00A81BEB" w:rsidRPr="00146ECF">
        <w:rPr>
          <w:color w:val="000000" w:themeColor="text1"/>
          <w:sz w:val="24"/>
          <w:szCs w:val="24"/>
        </w:rPr>
        <w:t>there</w:t>
      </w:r>
      <w:r w:rsidRPr="00146ECF">
        <w:rPr>
          <w:color w:val="000000" w:themeColor="text1"/>
          <w:sz w:val="24"/>
          <w:szCs w:val="24"/>
        </w:rPr>
        <w:t xml:space="preserve"> is 112,427 individuals with a total area of 477.3 km</w:t>
      </w:r>
      <w:r w:rsidR="006D78C6" w:rsidRPr="00137133">
        <w:rPr>
          <w:color w:val="000000" w:themeColor="text1"/>
          <w:sz w:val="24"/>
          <w:szCs w:val="24"/>
          <w:vertAlign w:val="superscript"/>
        </w:rPr>
        <w:t>2</w:t>
      </w:r>
      <w:r w:rsidRPr="00146ECF">
        <w:rPr>
          <w:color w:val="000000" w:themeColor="text1"/>
          <w:sz w:val="24"/>
          <w:szCs w:val="24"/>
        </w:rPr>
        <w:t>.</w:t>
      </w:r>
    </w:p>
    <w:p w:rsidR="00FA4BAC" w:rsidRPr="00EE6165" w:rsidRDefault="00FA4BAC" w:rsidP="002051F9">
      <w:pPr>
        <w:pStyle w:val="BodyText2"/>
        <w:jc w:val="both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0063A3" w:rsidRPr="00003FFC" w:rsidRDefault="000063A3" w:rsidP="002051F9">
      <w:pPr>
        <w:pStyle w:val="BodyText2"/>
        <w:jc w:val="both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EE6165" w:rsidRPr="00003FFC" w:rsidRDefault="000063A3" w:rsidP="003B783D">
      <w:pPr>
        <w:bidi w:val="0"/>
        <w:jc w:val="center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Percentage Distribution of </w:t>
      </w:r>
      <w:r w:rsidR="003A1E9B" w:rsidRPr="00003FFC">
        <w:rPr>
          <w:b/>
          <w:bCs/>
          <w:color w:val="000000" w:themeColor="text1"/>
          <w:sz w:val="26"/>
          <w:szCs w:val="26"/>
        </w:rPr>
        <w:t xml:space="preserve">the Population Numbers </w:t>
      </w:r>
      <w:r w:rsidR="00EE6165" w:rsidRPr="00003FFC">
        <w:rPr>
          <w:b/>
          <w:bCs/>
          <w:color w:val="000000" w:themeColor="text1"/>
          <w:sz w:val="26"/>
          <w:szCs w:val="26"/>
        </w:rPr>
        <w:t xml:space="preserve">in Palestinian </w:t>
      </w:r>
      <w:r w:rsidR="003A1E9B" w:rsidRPr="00003FFC">
        <w:rPr>
          <w:b/>
          <w:bCs/>
          <w:color w:val="000000" w:themeColor="text1"/>
          <w:sz w:val="26"/>
          <w:szCs w:val="26"/>
        </w:rPr>
        <w:t>L</w:t>
      </w:r>
      <w:r w:rsidR="00A81BEB" w:rsidRPr="00003FFC">
        <w:rPr>
          <w:b/>
          <w:bCs/>
          <w:color w:val="000000" w:themeColor="text1"/>
          <w:sz w:val="26"/>
          <w:szCs w:val="26"/>
        </w:rPr>
        <w:t xml:space="preserve">ocalities </w:t>
      </w:r>
      <w:r w:rsidR="00EE6165" w:rsidRPr="00003FFC">
        <w:rPr>
          <w:b/>
          <w:bCs/>
          <w:color w:val="000000" w:themeColor="text1"/>
          <w:sz w:val="26"/>
          <w:szCs w:val="26"/>
        </w:rPr>
        <w:t xml:space="preserve">in the West Bank </w:t>
      </w:r>
      <w:r w:rsidR="00A81BEB" w:rsidRPr="00003FFC">
        <w:rPr>
          <w:b/>
          <w:bCs/>
          <w:color w:val="000000" w:themeColor="text1"/>
          <w:sz w:val="26"/>
          <w:szCs w:val="26"/>
        </w:rPr>
        <w:t xml:space="preserve">that are </w:t>
      </w:r>
      <w:r w:rsidR="003A1E9B" w:rsidRPr="00003FFC">
        <w:rPr>
          <w:b/>
          <w:bCs/>
          <w:color w:val="000000" w:themeColor="text1"/>
          <w:sz w:val="26"/>
          <w:szCs w:val="26"/>
        </w:rPr>
        <w:t xml:space="preserve">Intended </w:t>
      </w:r>
      <w:r w:rsidR="00EE6165" w:rsidRPr="00003FFC">
        <w:rPr>
          <w:b/>
          <w:bCs/>
          <w:color w:val="000000" w:themeColor="text1"/>
          <w:sz w:val="26"/>
          <w:szCs w:val="26"/>
        </w:rPr>
        <w:t xml:space="preserve">to be </w:t>
      </w:r>
      <w:r w:rsidR="003A1E9B" w:rsidRPr="00003FFC">
        <w:rPr>
          <w:b/>
          <w:bCs/>
          <w:color w:val="000000" w:themeColor="text1"/>
          <w:sz w:val="26"/>
          <w:szCs w:val="26"/>
        </w:rPr>
        <w:t xml:space="preserve">Annexed </w:t>
      </w:r>
      <w:r w:rsidR="00EE6165" w:rsidRPr="00003FFC">
        <w:rPr>
          <w:b/>
          <w:bCs/>
          <w:color w:val="000000" w:themeColor="text1"/>
          <w:sz w:val="26"/>
          <w:szCs w:val="26"/>
        </w:rPr>
        <w:t xml:space="preserve">by the Israeli </w:t>
      </w:r>
      <w:r w:rsidR="003A1E9B" w:rsidRPr="00003FFC">
        <w:rPr>
          <w:b/>
          <w:bCs/>
          <w:color w:val="000000" w:themeColor="text1"/>
          <w:sz w:val="26"/>
          <w:szCs w:val="26"/>
        </w:rPr>
        <w:t>Occupation</w:t>
      </w:r>
      <w:r w:rsidR="00EE6165" w:rsidRPr="00003FFC">
        <w:rPr>
          <w:b/>
          <w:bCs/>
          <w:color w:val="000000" w:themeColor="text1"/>
          <w:sz w:val="26"/>
          <w:szCs w:val="26"/>
        </w:rPr>
        <w:t xml:space="preserve">, by </w:t>
      </w:r>
      <w:r w:rsidR="003A1E9B" w:rsidRPr="00003FFC">
        <w:rPr>
          <w:b/>
          <w:bCs/>
          <w:color w:val="000000" w:themeColor="text1"/>
          <w:sz w:val="26"/>
          <w:szCs w:val="26"/>
        </w:rPr>
        <w:t>Region</w:t>
      </w:r>
      <w:r w:rsidR="003B783D" w:rsidRPr="00003FFC">
        <w:rPr>
          <w:b/>
          <w:bCs/>
          <w:color w:val="000000" w:themeColor="text1"/>
          <w:sz w:val="26"/>
          <w:szCs w:val="26"/>
        </w:rPr>
        <w:t xml:space="preserve"> (Mid of 2020)</w:t>
      </w:r>
    </w:p>
    <w:p w:rsidR="00EE6165" w:rsidRPr="00003FFC" w:rsidRDefault="00EE6165" w:rsidP="00EE6165">
      <w:pPr>
        <w:pStyle w:val="BodyText2"/>
        <w:jc w:val="center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1668" w:type="dxa"/>
        <w:tblLook w:val="04A0"/>
      </w:tblPr>
      <w:tblGrid>
        <w:gridCol w:w="8436"/>
      </w:tblGrid>
      <w:tr w:rsidR="000063A3" w:rsidTr="00146ECF">
        <w:tc>
          <w:tcPr>
            <w:tcW w:w="7938" w:type="dxa"/>
          </w:tcPr>
          <w:p w:rsidR="000063A3" w:rsidRDefault="000063A3" w:rsidP="000063A3">
            <w:pPr>
              <w:pStyle w:val="BodyText2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063A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5219700" cy="215265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0063A3" w:rsidRDefault="000063A3" w:rsidP="002A5EA8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</w:pPr>
    </w:p>
    <w:p w:rsidR="003B783D" w:rsidRDefault="003B783D" w:rsidP="002A5EA8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napToGrid/>
          <w:color w:val="000000" w:themeColor="text1"/>
          <w:szCs w:val="24"/>
          <w:lang w:eastAsia="en-US"/>
        </w:rPr>
      </w:pPr>
    </w:p>
    <w:p w:rsidR="00003FFC" w:rsidRDefault="00003FFC" w:rsidP="002A5EA8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</w:pPr>
    </w:p>
    <w:p w:rsidR="00D73D08" w:rsidRPr="00003FFC" w:rsidRDefault="00D73D08" w:rsidP="002A5EA8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</w:pPr>
      <w:r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>Crude Birth</w:t>
      </w:r>
      <w:r w:rsidR="00C456B6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 xml:space="preserve"> </w:t>
      </w:r>
      <w:r w:rsidR="002A5EA8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>R</w:t>
      </w:r>
      <w:r w:rsidR="00BE418B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>ate</w:t>
      </w:r>
      <w:r w:rsidR="00841622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>s</w:t>
      </w:r>
      <w:r w:rsidR="00BE418B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 xml:space="preserve"> </w:t>
      </w:r>
      <w:r w:rsidR="00C456B6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 xml:space="preserve">are Higher in </w:t>
      </w:r>
      <w:r w:rsidR="00BE418B" w:rsidRPr="00003FFC">
        <w:rPr>
          <w:rFonts w:cs="Times New Roman"/>
          <w:b/>
          <w:bCs/>
          <w:snapToGrid/>
          <w:color w:val="000000" w:themeColor="text1"/>
          <w:sz w:val="26"/>
          <w:szCs w:val="26"/>
          <w:lang w:eastAsia="en-US"/>
        </w:rPr>
        <w:t xml:space="preserve">Gaza Strip than in the West Bank </w:t>
      </w:r>
    </w:p>
    <w:p w:rsidR="00431160" w:rsidRPr="00146ECF" w:rsidRDefault="00D73D08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146ECF">
        <w:rPr>
          <w:color w:val="000000" w:themeColor="text1"/>
          <w:sz w:val="24"/>
          <w:szCs w:val="24"/>
        </w:rPr>
        <w:t xml:space="preserve">Population projections </w:t>
      </w:r>
      <w:r w:rsidR="003B783D">
        <w:rPr>
          <w:color w:val="000000" w:themeColor="text1"/>
          <w:sz w:val="24"/>
          <w:szCs w:val="24"/>
        </w:rPr>
        <w:t>showed</w:t>
      </w:r>
      <w:r w:rsidRPr="00146ECF">
        <w:rPr>
          <w:color w:val="000000" w:themeColor="text1"/>
          <w:sz w:val="24"/>
          <w:szCs w:val="24"/>
        </w:rPr>
        <w:t xml:space="preserve"> that crude birth rate in Palestine </w:t>
      </w:r>
      <w:r w:rsidR="00BE418B" w:rsidRPr="00146ECF">
        <w:rPr>
          <w:color w:val="000000" w:themeColor="text1"/>
          <w:sz w:val="24"/>
          <w:szCs w:val="24"/>
        </w:rPr>
        <w:t>was</w:t>
      </w:r>
      <w:r w:rsidRPr="00146ECF">
        <w:rPr>
          <w:color w:val="000000" w:themeColor="text1"/>
          <w:sz w:val="24"/>
          <w:szCs w:val="24"/>
        </w:rPr>
        <w:t xml:space="preserve"> </w:t>
      </w:r>
      <w:r w:rsidR="00CE1260" w:rsidRPr="00146ECF">
        <w:rPr>
          <w:color w:val="000000" w:themeColor="text1"/>
          <w:sz w:val="24"/>
          <w:szCs w:val="24"/>
        </w:rPr>
        <w:t>29.9</w:t>
      </w:r>
      <w:r w:rsidRPr="00146ECF">
        <w:rPr>
          <w:color w:val="000000" w:themeColor="text1"/>
          <w:sz w:val="24"/>
          <w:szCs w:val="24"/>
        </w:rPr>
        <w:t xml:space="preserve"> births </w:t>
      </w:r>
      <w:r w:rsidR="00C456B6" w:rsidRPr="00146ECF">
        <w:rPr>
          <w:color w:val="000000" w:themeColor="text1"/>
          <w:sz w:val="24"/>
          <w:szCs w:val="24"/>
        </w:rPr>
        <w:t>/1000</w:t>
      </w:r>
      <w:r w:rsidRPr="00146ECF">
        <w:rPr>
          <w:color w:val="000000" w:themeColor="text1"/>
          <w:sz w:val="24"/>
          <w:szCs w:val="24"/>
        </w:rPr>
        <w:t xml:space="preserve"> </w:t>
      </w:r>
      <w:r w:rsidR="00531F97" w:rsidRPr="00146ECF">
        <w:rPr>
          <w:color w:val="000000" w:themeColor="text1"/>
          <w:sz w:val="24"/>
          <w:szCs w:val="24"/>
        </w:rPr>
        <w:t>of the</w:t>
      </w:r>
      <w:r w:rsidRPr="00146ECF">
        <w:rPr>
          <w:color w:val="000000" w:themeColor="text1"/>
          <w:sz w:val="24"/>
          <w:szCs w:val="24"/>
        </w:rPr>
        <w:t xml:space="preserve"> population in </w:t>
      </w:r>
      <w:r w:rsidR="00CE1260" w:rsidRPr="00146ECF">
        <w:rPr>
          <w:color w:val="000000" w:themeColor="text1"/>
          <w:sz w:val="24"/>
          <w:szCs w:val="24"/>
        </w:rPr>
        <w:t>2020</w:t>
      </w:r>
      <w:r w:rsidRPr="00146ECF">
        <w:rPr>
          <w:color w:val="000000" w:themeColor="text1"/>
          <w:sz w:val="24"/>
          <w:szCs w:val="24"/>
        </w:rPr>
        <w:t xml:space="preserve">.  </w:t>
      </w:r>
      <w:r w:rsidR="00C456B6" w:rsidRPr="00146ECF">
        <w:rPr>
          <w:color w:val="000000" w:themeColor="text1"/>
          <w:sz w:val="24"/>
          <w:szCs w:val="24"/>
        </w:rPr>
        <w:t xml:space="preserve">The </w:t>
      </w:r>
      <w:r w:rsidR="003B783D">
        <w:rPr>
          <w:color w:val="000000" w:themeColor="text1"/>
          <w:sz w:val="24"/>
          <w:szCs w:val="24"/>
        </w:rPr>
        <w:t>rate</w:t>
      </w:r>
      <w:r w:rsidR="00C456B6" w:rsidRPr="00146ECF">
        <w:rPr>
          <w:color w:val="000000" w:themeColor="text1"/>
          <w:sz w:val="24"/>
          <w:szCs w:val="24"/>
        </w:rPr>
        <w:t xml:space="preserve"> for the</w:t>
      </w:r>
      <w:r w:rsidR="00BE418B" w:rsidRPr="00146ECF">
        <w:rPr>
          <w:color w:val="000000" w:themeColor="text1"/>
          <w:sz w:val="24"/>
          <w:szCs w:val="24"/>
        </w:rPr>
        <w:t xml:space="preserve"> </w:t>
      </w:r>
      <w:r w:rsidR="00431160" w:rsidRPr="00146ECF">
        <w:rPr>
          <w:color w:val="000000" w:themeColor="text1"/>
          <w:sz w:val="24"/>
          <w:szCs w:val="24"/>
        </w:rPr>
        <w:t>W</w:t>
      </w:r>
      <w:r w:rsidR="00BE418B" w:rsidRPr="00146ECF">
        <w:rPr>
          <w:color w:val="000000" w:themeColor="text1"/>
          <w:sz w:val="24"/>
          <w:szCs w:val="24"/>
        </w:rPr>
        <w:t xml:space="preserve">est </w:t>
      </w:r>
      <w:r w:rsidR="00431160" w:rsidRPr="00146ECF">
        <w:rPr>
          <w:color w:val="000000" w:themeColor="text1"/>
          <w:sz w:val="24"/>
          <w:szCs w:val="24"/>
        </w:rPr>
        <w:t>B</w:t>
      </w:r>
      <w:r w:rsidR="00BE418B" w:rsidRPr="00146ECF">
        <w:rPr>
          <w:color w:val="000000" w:themeColor="text1"/>
          <w:sz w:val="24"/>
          <w:szCs w:val="24"/>
        </w:rPr>
        <w:t>ank</w:t>
      </w:r>
      <w:r w:rsidR="00841622" w:rsidRPr="00146ECF">
        <w:rPr>
          <w:color w:val="000000" w:themeColor="text1"/>
          <w:sz w:val="24"/>
          <w:szCs w:val="24"/>
        </w:rPr>
        <w:t xml:space="preserve"> were</w:t>
      </w:r>
      <w:r w:rsidR="00C456B6" w:rsidRPr="00146ECF">
        <w:rPr>
          <w:color w:val="000000" w:themeColor="text1"/>
          <w:sz w:val="24"/>
          <w:szCs w:val="24"/>
        </w:rPr>
        <w:t xml:space="preserve"> </w:t>
      </w:r>
      <w:r w:rsidR="00BE418B" w:rsidRPr="00146ECF">
        <w:rPr>
          <w:color w:val="000000" w:themeColor="text1"/>
          <w:sz w:val="24"/>
          <w:szCs w:val="24"/>
        </w:rPr>
        <w:t>27.</w:t>
      </w:r>
      <w:r w:rsidR="00CE1260" w:rsidRPr="00146ECF">
        <w:rPr>
          <w:color w:val="000000" w:themeColor="text1"/>
          <w:sz w:val="24"/>
          <w:szCs w:val="24"/>
        </w:rPr>
        <w:t>5</w:t>
      </w:r>
      <w:r w:rsidR="00BE418B" w:rsidRPr="00146ECF">
        <w:rPr>
          <w:color w:val="000000" w:themeColor="text1"/>
          <w:sz w:val="24"/>
          <w:szCs w:val="24"/>
        </w:rPr>
        <w:t xml:space="preserve"> compared to 33.</w:t>
      </w:r>
      <w:r w:rsidR="00CE1260" w:rsidRPr="00146ECF">
        <w:rPr>
          <w:color w:val="000000" w:themeColor="text1"/>
          <w:sz w:val="24"/>
          <w:szCs w:val="24"/>
        </w:rPr>
        <w:t>4</w:t>
      </w:r>
      <w:r w:rsidR="00BE418B" w:rsidRPr="00146ECF">
        <w:rPr>
          <w:color w:val="000000" w:themeColor="text1"/>
          <w:sz w:val="24"/>
          <w:szCs w:val="24"/>
        </w:rPr>
        <w:t xml:space="preserve"> in Gaza Strip. The estimated </w:t>
      </w:r>
      <w:r w:rsidR="00431160" w:rsidRPr="00146ECF">
        <w:rPr>
          <w:color w:val="000000" w:themeColor="text1"/>
          <w:sz w:val="24"/>
          <w:szCs w:val="24"/>
        </w:rPr>
        <w:t>c</w:t>
      </w:r>
      <w:r w:rsidR="00BE418B" w:rsidRPr="00146ECF">
        <w:rPr>
          <w:color w:val="000000" w:themeColor="text1"/>
          <w:sz w:val="24"/>
          <w:szCs w:val="24"/>
        </w:rPr>
        <w:t xml:space="preserve">rude </w:t>
      </w:r>
      <w:r w:rsidR="00431160" w:rsidRPr="00146ECF">
        <w:rPr>
          <w:color w:val="000000" w:themeColor="text1"/>
          <w:sz w:val="24"/>
          <w:szCs w:val="24"/>
        </w:rPr>
        <w:t>d</w:t>
      </w:r>
      <w:r w:rsidR="00BE418B" w:rsidRPr="00146ECF">
        <w:rPr>
          <w:color w:val="000000" w:themeColor="text1"/>
          <w:sz w:val="24"/>
          <w:szCs w:val="24"/>
        </w:rPr>
        <w:t>eath rate in Palestine was 3.7 deaths</w:t>
      </w:r>
      <w:r w:rsidR="00841622" w:rsidRPr="00146ECF">
        <w:rPr>
          <w:color w:val="000000" w:themeColor="text1"/>
          <w:sz w:val="24"/>
          <w:szCs w:val="24"/>
        </w:rPr>
        <w:t>/</w:t>
      </w:r>
      <w:r w:rsidR="00531F97" w:rsidRPr="00146ECF">
        <w:rPr>
          <w:color w:val="000000" w:themeColor="text1"/>
          <w:sz w:val="24"/>
          <w:szCs w:val="24"/>
        </w:rPr>
        <w:t>1000 of the</w:t>
      </w:r>
      <w:r w:rsidR="00BE418B" w:rsidRPr="00146ECF">
        <w:rPr>
          <w:color w:val="000000" w:themeColor="text1"/>
          <w:sz w:val="24"/>
          <w:szCs w:val="24"/>
        </w:rPr>
        <w:t xml:space="preserve"> population</w:t>
      </w:r>
      <w:r w:rsidR="00431160" w:rsidRPr="00146ECF">
        <w:rPr>
          <w:color w:val="000000" w:themeColor="text1"/>
          <w:sz w:val="24"/>
          <w:szCs w:val="24"/>
        </w:rPr>
        <w:t>,</w:t>
      </w:r>
      <w:r w:rsidR="00BE418B" w:rsidRPr="00146ECF">
        <w:rPr>
          <w:color w:val="000000" w:themeColor="text1"/>
          <w:sz w:val="24"/>
          <w:szCs w:val="24"/>
        </w:rPr>
        <w:t xml:space="preserve"> </w:t>
      </w:r>
      <w:r w:rsidR="00841622" w:rsidRPr="00146ECF">
        <w:rPr>
          <w:color w:val="000000" w:themeColor="text1"/>
          <w:sz w:val="24"/>
          <w:szCs w:val="24"/>
        </w:rPr>
        <w:t>where</w:t>
      </w:r>
      <w:r w:rsidR="00BE418B" w:rsidRPr="00146ECF">
        <w:rPr>
          <w:color w:val="000000" w:themeColor="text1"/>
          <w:sz w:val="24"/>
          <w:szCs w:val="24"/>
        </w:rPr>
        <w:t xml:space="preserve"> </w:t>
      </w:r>
      <w:r w:rsidR="00A81BEB" w:rsidRPr="00146ECF">
        <w:rPr>
          <w:color w:val="000000" w:themeColor="text1"/>
          <w:sz w:val="24"/>
          <w:szCs w:val="24"/>
        </w:rPr>
        <w:t>this rate in</w:t>
      </w:r>
      <w:r w:rsidR="00BE418B" w:rsidRPr="00146ECF">
        <w:rPr>
          <w:color w:val="000000" w:themeColor="text1"/>
          <w:sz w:val="24"/>
          <w:szCs w:val="24"/>
        </w:rPr>
        <w:t xml:space="preserve"> </w:t>
      </w:r>
      <w:r w:rsidR="00A81BEB" w:rsidRPr="00146ECF">
        <w:rPr>
          <w:color w:val="000000" w:themeColor="text1"/>
          <w:sz w:val="24"/>
          <w:szCs w:val="24"/>
        </w:rPr>
        <w:t xml:space="preserve">the </w:t>
      </w:r>
      <w:r w:rsidR="00BE418B" w:rsidRPr="00146ECF">
        <w:rPr>
          <w:color w:val="000000" w:themeColor="text1"/>
          <w:sz w:val="24"/>
          <w:szCs w:val="24"/>
        </w:rPr>
        <w:t>West Bank</w:t>
      </w:r>
      <w:r w:rsidR="00841622" w:rsidRPr="00146ECF">
        <w:rPr>
          <w:color w:val="000000" w:themeColor="text1"/>
          <w:sz w:val="24"/>
          <w:szCs w:val="24"/>
        </w:rPr>
        <w:t xml:space="preserve"> was</w:t>
      </w:r>
      <w:r w:rsidR="00BE418B" w:rsidRPr="00146ECF">
        <w:rPr>
          <w:color w:val="000000" w:themeColor="text1"/>
          <w:sz w:val="24"/>
          <w:szCs w:val="24"/>
        </w:rPr>
        <w:t xml:space="preserve"> 3.9 </w:t>
      </w:r>
      <w:r w:rsidR="00431160" w:rsidRPr="00146ECF">
        <w:rPr>
          <w:color w:val="000000" w:themeColor="text1"/>
          <w:sz w:val="24"/>
          <w:szCs w:val="24"/>
        </w:rPr>
        <w:t xml:space="preserve">compared </w:t>
      </w:r>
      <w:r w:rsidR="003D3CA9" w:rsidRPr="00146ECF">
        <w:rPr>
          <w:color w:val="000000" w:themeColor="text1"/>
          <w:sz w:val="24"/>
          <w:szCs w:val="24"/>
        </w:rPr>
        <w:t xml:space="preserve">to </w:t>
      </w:r>
      <w:r w:rsidR="00431160" w:rsidRPr="00146ECF">
        <w:rPr>
          <w:color w:val="000000" w:themeColor="text1"/>
          <w:sz w:val="24"/>
          <w:szCs w:val="24"/>
        </w:rPr>
        <w:t>3.</w:t>
      </w:r>
      <w:r w:rsidR="00CE1260" w:rsidRPr="00146ECF">
        <w:rPr>
          <w:color w:val="000000" w:themeColor="text1"/>
          <w:sz w:val="24"/>
          <w:szCs w:val="24"/>
        </w:rPr>
        <w:t xml:space="preserve">4 </w:t>
      </w:r>
      <w:r w:rsidR="00431160" w:rsidRPr="00146ECF">
        <w:rPr>
          <w:color w:val="000000" w:themeColor="text1"/>
          <w:sz w:val="24"/>
          <w:szCs w:val="24"/>
        </w:rPr>
        <w:t>in Gaza Strip.</w:t>
      </w:r>
    </w:p>
    <w:p w:rsidR="00D73D08" w:rsidRPr="00003FFC" w:rsidRDefault="00D73D08" w:rsidP="00BE418B">
      <w:pPr>
        <w:pStyle w:val="BodyText2"/>
        <w:rPr>
          <w:color w:val="000000" w:themeColor="text1"/>
          <w:sz w:val="16"/>
          <w:szCs w:val="16"/>
        </w:rPr>
      </w:pPr>
    </w:p>
    <w:p w:rsidR="00E60850" w:rsidRPr="00003FFC" w:rsidRDefault="002A5EA8" w:rsidP="00244FD5">
      <w:pPr>
        <w:pStyle w:val="BodyText2"/>
        <w:rPr>
          <w:color w:val="000000" w:themeColor="text1"/>
        </w:rPr>
      </w:pPr>
      <w:r w:rsidRPr="00003FFC">
        <w:rPr>
          <w:b/>
          <w:bCs/>
          <w:color w:val="000000" w:themeColor="text1"/>
        </w:rPr>
        <w:t xml:space="preserve">More than 4 Births per </w:t>
      </w:r>
      <w:r w:rsidR="00244FD5" w:rsidRPr="00003FFC">
        <w:rPr>
          <w:b/>
          <w:bCs/>
          <w:color w:val="000000" w:themeColor="text1"/>
        </w:rPr>
        <w:t>1</w:t>
      </w:r>
      <w:r w:rsidR="00A81BEB" w:rsidRPr="00003FFC">
        <w:rPr>
          <w:b/>
          <w:bCs/>
          <w:color w:val="000000" w:themeColor="text1"/>
        </w:rPr>
        <w:t xml:space="preserve"> </w:t>
      </w:r>
      <w:r w:rsidRPr="00003FFC">
        <w:rPr>
          <w:b/>
          <w:bCs/>
          <w:color w:val="000000" w:themeColor="text1"/>
        </w:rPr>
        <w:t>Woman in Palestine</w:t>
      </w:r>
    </w:p>
    <w:p w:rsidR="004547A7" w:rsidRPr="002051F9" w:rsidRDefault="004547A7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 xml:space="preserve">The mean </w:t>
      </w:r>
      <w:r w:rsidR="00A81BEB" w:rsidRPr="002051F9">
        <w:rPr>
          <w:color w:val="000000" w:themeColor="text1"/>
          <w:sz w:val="24"/>
          <w:szCs w:val="24"/>
        </w:rPr>
        <w:t xml:space="preserve">average </w:t>
      </w:r>
      <w:r w:rsidRPr="002051F9">
        <w:rPr>
          <w:color w:val="000000" w:themeColor="text1"/>
          <w:sz w:val="24"/>
          <w:szCs w:val="24"/>
        </w:rPr>
        <w:t xml:space="preserve">of children ever born </w:t>
      </w:r>
      <w:r w:rsidR="003B783D" w:rsidRPr="002051F9">
        <w:rPr>
          <w:color w:val="000000" w:themeColor="text1"/>
          <w:sz w:val="24"/>
          <w:szCs w:val="24"/>
        </w:rPr>
        <w:t>for</w:t>
      </w:r>
      <w:r w:rsidR="003B783D">
        <w:rPr>
          <w:color w:val="000000" w:themeColor="text1"/>
          <w:sz w:val="24"/>
          <w:szCs w:val="24"/>
        </w:rPr>
        <w:t xml:space="preserve"> </w:t>
      </w:r>
      <w:r w:rsidR="003B783D" w:rsidRPr="002051F9">
        <w:rPr>
          <w:color w:val="000000" w:themeColor="text1"/>
          <w:sz w:val="24"/>
          <w:szCs w:val="24"/>
        </w:rPr>
        <w:t xml:space="preserve">ever married </w:t>
      </w:r>
      <w:r w:rsidRPr="002051F9">
        <w:rPr>
          <w:color w:val="000000" w:themeColor="text1"/>
          <w:sz w:val="24"/>
          <w:szCs w:val="24"/>
        </w:rPr>
        <w:t>women in Palestine</w:t>
      </w:r>
      <w:r w:rsidR="00FB52AE" w:rsidRPr="002051F9">
        <w:rPr>
          <w:color w:val="000000" w:themeColor="text1"/>
          <w:sz w:val="24"/>
          <w:szCs w:val="24"/>
        </w:rPr>
        <w:t xml:space="preserve"> in</w:t>
      </w:r>
      <w:r w:rsidRPr="002051F9">
        <w:rPr>
          <w:color w:val="000000" w:themeColor="text1"/>
          <w:sz w:val="24"/>
          <w:szCs w:val="24"/>
        </w:rPr>
        <w:t xml:space="preserve"> 2017 is 4.4</w:t>
      </w:r>
      <w:r w:rsidR="00FB52AE" w:rsidRPr="002051F9">
        <w:rPr>
          <w:color w:val="000000" w:themeColor="text1"/>
          <w:sz w:val="24"/>
          <w:szCs w:val="24"/>
        </w:rPr>
        <w:t xml:space="preserve"> </w:t>
      </w:r>
      <w:r w:rsidRPr="002051F9">
        <w:rPr>
          <w:color w:val="000000" w:themeColor="text1"/>
          <w:sz w:val="24"/>
          <w:szCs w:val="24"/>
        </w:rPr>
        <w:t>births</w:t>
      </w:r>
      <w:r w:rsidR="00C21AF5" w:rsidRPr="002051F9">
        <w:rPr>
          <w:color w:val="000000" w:themeColor="text1"/>
          <w:sz w:val="24"/>
          <w:szCs w:val="24"/>
        </w:rPr>
        <w:t>;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5A4D23" w:rsidRPr="002051F9">
        <w:rPr>
          <w:color w:val="000000" w:themeColor="text1"/>
          <w:sz w:val="24"/>
          <w:szCs w:val="24"/>
        </w:rPr>
        <w:t xml:space="preserve">of which </w:t>
      </w:r>
      <w:r w:rsidRPr="002051F9">
        <w:rPr>
          <w:color w:val="000000" w:themeColor="text1"/>
          <w:sz w:val="24"/>
          <w:szCs w:val="24"/>
        </w:rPr>
        <w:t>4.</w:t>
      </w:r>
      <w:r w:rsidR="00313146" w:rsidRPr="002051F9">
        <w:rPr>
          <w:color w:val="000000" w:themeColor="text1"/>
          <w:sz w:val="24"/>
          <w:szCs w:val="24"/>
        </w:rPr>
        <w:t>3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313146" w:rsidRPr="002051F9">
        <w:rPr>
          <w:color w:val="000000" w:themeColor="text1"/>
          <w:sz w:val="24"/>
          <w:szCs w:val="24"/>
        </w:rPr>
        <w:t xml:space="preserve">births </w:t>
      </w:r>
      <w:r w:rsidRPr="002051F9">
        <w:rPr>
          <w:color w:val="000000" w:themeColor="text1"/>
          <w:sz w:val="24"/>
          <w:szCs w:val="24"/>
        </w:rPr>
        <w:t>for women</w:t>
      </w:r>
      <w:r w:rsidR="00313146" w:rsidRPr="002051F9">
        <w:rPr>
          <w:color w:val="000000" w:themeColor="text1"/>
          <w:sz w:val="24"/>
          <w:szCs w:val="24"/>
        </w:rPr>
        <w:t xml:space="preserve"> living in </w:t>
      </w:r>
      <w:r w:rsidR="005A4D23" w:rsidRPr="002051F9">
        <w:rPr>
          <w:color w:val="000000" w:themeColor="text1"/>
          <w:sz w:val="24"/>
          <w:szCs w:val="24"/>
        </w:rPr>
        <w:t xml:space="preserve">the </w:t>
      </w:r>
      <w:r w:rsidR="00313146" w:rsidRPr="002051F9">
        <w:rPr>
          <w:color w:val="000000" w:themeColor="text1"/>
          <w:sz w:val="24"/>
          <w:szCs w:val="24"/>
        </w:rPr>
        <w:t>West Bank and</w:t>
      </w:r>
      <w:r w:rsidRPr="002051F9">
        <w:rPr>
          <w:color w:val="000000" w:themeColor="text1"/>
          <w:sz w:val="24"/>
          <w:szCs w:val="24"/>
        </w:rPr>
        <w:t xml:space="preserve"> 4.</w:t>
      </w:r>
      <w:r w:rsidR="00FB52AE" w:rsidRPr="002051F9">
        <w:rPr>
          <w:color w:val="000000" w:themeColor="text1"/>
          <w:sz w:val="24"/>
          <w:szCs w:val="24"/>
        </w:rPr>
        <w:t>5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313146" w:rsidRPr="002051F9">
        <w:rPr>
          <w:color w:val="000000" w:themeColor="text1"/>
          <w:sz w:val="24"/>
          <w:szCs w:val="24"/>
        </w:rPr>
        <w:t xml:space="preserve">births </w:t>
      </w:r>
      <w:r w:rsidRPr="002051F9">
        <w:rPr>
          <w:color w:val="000000" w:themeColor="text1"/>
          <w:sz w:val="24"/>
          <w:szCs w:val="24"/>
        </w:rPr>
        <w:t xml:space="preserve">for </w:t>
      </w:r>
      <w:r w:rsidR="00C21AF5" w:rsidRPr="002051F9">
        <w:rPr>
          <w:color w:val="000000" w:themeColor="text1"/>
          <w:sz w:val="24"/>
          <w:szCs w:val="24"/>
        </w:rPr>
        <w:t xml:space="preserve">those living </w:t>
      </w:r>
      <w:r w:rsidR="00313146" w:rsidRPr="002051F9">
        <w:rPr>
          <w:color w:val="000000" w:themeColor="text1"/>
          <w:sz w:val="24"/>
          <w:szCs w:val="24"/>
        </w:rPr>
        <w:t>in Gaza Strip.</w:t>
      </w:r>
    </w:p>
    <w:p w:rsidR="004547A7" w:rsidRPr="00003FFC" w:rsidRDefault="004547A7" w:rsidP="002051F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457B46" w:rsidRPr="00003FFC" w:rsidRDefault="008C560D" w:rsidP="000F3265">
      <w:pPr>
        <w:bidi w:val="0"/>
        <w:jc w:val="lowKashida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>Constant D</w:t>
      </w:r>
      <w:r w:rsidR="00457B46" w:rsidRPr="00003FFC">
        <w:rPr>
          <w:b/>
          <w:bCs/>
          <w:color w:val="000000" w:themeColor="text1"/>
          <w:sz w:val="26"/>
          <w:szCs w:val="26"/>
        </w:rPr>
        <w:t>ecline in the Average Household Size</w:t>
      </w:r>
    </w:p>
    <w:p w:rsidR="00457B46" w:rsidRPr="002051F9" w:rsidRDefault="00457B46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results of the Labor Force Survey</w:t>
      </w:r>
      <w:r w:rsidR="000F3265" w:rsidRPr="002051F9">
        <w:rPr>
          <w:color w:val="000000" w:themeColor="text1"/>
          <w:sz w:val="24"/>
          <w:szCs w:val="24"/>
        </w:rPr>
        <w:t>,</w:t>
      </w:r>
      <w:r w:rsidR="00137133">
        <w:rPr>
          <w:color w:val="000000" w:themeColor="text1"/>
          <w:sz w:val="24"/>
          <w:szCs w:val="24"/>
        </w:rPr>
        <w:t xml:space="preserve"> </w:t>
      </w:r>
      <w:r w:rsidR="00CE1260" w:rsidRPr="002051F9">
        <w:rPr>
          <w:color w:val="000000" w:themeColor="text1"/>
          <w:sz w:val="24"/>
          <w:szCs w:val="24"/>
        </w:rPr>
        <w:t>2019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DF248A" w:rsidRPr="002051F9">
        <w:rPr>
          <w:color w:val="000000" w:themeColor="text1"/>
          <w:sz w:val="24"/>
          <w:szCs w:val="24"/>
        </w:rPr>
        <w:t xml:space="preserve">and the Population, Housing and Establishments Census 2017 </w:t>
      </w:r>
      <w:r w:rsidRPr="002051F9">
        <w:rPr>
          <w:color w:val="000000" w:themeColor="text1"/>
          <w:sz w:val="24"/>
          <w:szCs w:val="24"/>
        </w:rPr>
        <w:t xml:space="preserve">indicated a decline in the average household size in Palestine compared </w:t>
      </w:r>
      <w:r w:rsidR="00732205" w:rsidRPr="002051F9">
        <w:rPr>
          <w:color w:val="000000" w:themeColor="text1"/>
          <w:sz w:val="24"/>
          <w:szCs w:val="24"/>
        </w:rPr>
        <w:t>to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4A14F3" w:rsidRPr="002051F9">
        <w:rPr>
          <w:color w:val="000000" w:themeColor="text1"/>
          <w:sz w:val="24"/>
          <w:szCs w:val="24"/>
        </w:rPr>
        <w:t>2007</w:t>
      </w:r>
      <w:r w:rsidRPr="002051F9">
        <w:rPr>
          <w:color w:val="000000" w:themeColor="text1"/>
          <w:sz w:val="24"/>
          <w:szCs w:val="24"/>
        </w:rPr>
        <w:t>. The average size of the household declined to 5.</w:t>
      </w:r>
      <w:r w:rsidR="00EE6165" w:rsidRPr="002051F9">
        <w:rPr>
          <w:color w:val="000000" w:themeColor="text1"/>
          <w:sz w:val="24"/>
          <w:szCs w:val="24"/>
        </w:rPr>
        <w:t>1</w:t>
      </w:r>
      <w:r w:rsidRPr="002051F9">
        <w:rPr>
          <w:color w:val="000000" w:themeColor="text1"/>
          <w:sz w:val="24"/>
          <w:szCs w:val="24"/>
        </w:rPr>
        <w:t xml:space="preserve"> individuals in </w:t>
      </w:r>
      <w:r w:rsidR="00CE1260" w:rsidRPr="002051F9">
        <w:rPr>
          <w:color w:val="000000" w:themeColor="text1"/>
          <w:sz w:val="24"/>
          <w:szCs w:val="24"/>
        </w:rPr>
        <w:t>2019</w:t>
      </w:r>
      <w:r w:rsidRPr="002051F9">
        <w:rPr>
          <w:color w:val="000000" w:themeColor="text1"/>
          <w:sz w:val="24"/>
          <w:szCs w:val="24"/>
        </w:rPr>
        <w:t xml:space="preserve"> compared to 5.</w:t>
      </w:r>
      <w:r w:rsidR="004A14F3" w:rsidRPr="002051F9">
        <w:rPr>
          <w:color w:val="000000" w:themeColor="text1"/>
          <w:sz w:val="24"/>
          <w:szCs w:val="24"/>
        </w:rPr>
        <w:t>8</w:t>
      </w:r>
      <w:r w:rsidRPr="002051F9">
        <w:rPr>
          <w:color w:val="000000" w:themeColor="text1"/>
          <w:sz w:val="24"/>
          <w:szCs w:val="24"/>
        </w:rPr>
        <w:t xml:space="preserve"> individuals in </w:t>
      </w:r>
      <w:r w:rsidR="004A14F3" w:rsidRPr="002051F9">
        <w:rPr>
          <w:color w:val="000000" w:themeColor="text1"/>
          <w:sz w:val="24"/>
          <w:szCs w:val="24"/>
        </w:rPr>
        <w:t>2007</w:t>
      </w:r>
      <w:r w:rsidRPr="002051F9">
        <w:rPr>
          <w:color w:val="000000" w:themeColor="text1"/>
          <w:sz w:val="24"/>
          <w:szCs w:val="24"/>
        </w:rPr>
        <w:t xml:space="preserve">. </w:t>
      </w:r>
      <w:r w:rsidR="003B783D">
        <w:rPr>
          <w:color w:val="000000" w:themeColor="text1"/>
          <w:sz w:val="24"/>
          <w:szCs w:val="24"/>
        </w:rPr>
        <w:t>Additionally</w:t>
      </w:r>
      <w:r w:rsidRPr="002051F9">
        <w:rPr>
          <w:color w:val="000000" w:themeColor="text1"/>
          <w:sz w:val="24"/>
          <w:szCs w:val="24"/>
        </w:rPr>
        <w:t>, the average household size in the West Bank declined to 4.</w:t>
      </w:r>
      <w:r w:rsidR="00EE6165" w:rsidRPr="002051F9">
        <w:rPr>
          <w:color w:val="000000" w:themeColor="text1"/>
          <w:sz w:val="24"/>
          <w:szCs w:val="24"/>
        </w:rPr>
        <w:t>9</w:t>
      </w:r>
      <w:r w:rsidRPr="002051F9">
        <w:rPr>
          <w:color w:val="000000" w:themeColor="text1"/>
          <w:sz w:val="24"/>
          <w:szCs w:val="24"/>
        </w:rPr>
        <w:t xml:space="preserve"> individuals in </w:t>
      </w:r>
      <w:r w:rsidR="00D37C5B" w:rsidRPr="002051F9">
        <w:rPr>
          <w:color w:val="000000" w:themeColor="text1"/>
          <w:sz w:val="24"/>
          <w:szCs w:val="24"/>
        </w:rPr>
        <w:t>2019</w:t>
      </w:r>
      <w:r w:rsidRPr="002051F9">
        <w:rPr>
          <w:color w:val="000000" w:themeColor="text1"/>
          <w:sz w:val="24"/>
          <w:szCs w:val="24"/>
        </w:rPr>
        <w:t xml:space="preserve"> compared with </w:t>
      </w:r>
      <w:r w:rsidR="004A14F3" w:rsidRPr="002051F9">
        <w:rPr>
          <w:color w:val="000000" w:themeColor="text1"/>
          <w:sz w:val="24"/>
          <w:szCs w:val="24"/>
        </w:rPr>
        <w:t>5.5</w:t>
      </w:r>
      <w:r w:rsidRPr="002051F9">
        <w:rPr>
          <w:color w:val="000000" w:themeColor="text1"/>
          <w:sz w:val="24"/>
          <w:szCs w:val="24"/>
        </w:rPr>
        <w:t xml:space="preserve"> individuals in </w:t>
      </w:r>
      <w:r w:rsidR="004A14F3" w:rsidRPr="002051F9">
        <w:rPr>
          <w:color w:val="000000" w:themeColor="text1"/>
          <w:sz w:val="24"/>
          <w:szCs w:val="24"/>
        </w:rPr>
        <w:t>2007</w:t>
      </w:r>
      <w:r w:rsidRPr="002051F9">
        <w:rPr>
          <w:color w:val="000000" w:themeColor="text1"/>
          <w:sz w:val="24"/>
          <w:szCs w:val="24"/>
        </w:rPr>
        <w:t xml:space="preserve">. In Gaza Strip, </w:t>
      </w:r>
      <w:r w:rsidR="004A14F3" w:rsidRPr="002051F9">
        <w:rPr>
          <w:color w:val="000000" w:themeColor="text1"/>
          <w:sz w:val="24"/>
          <w:szCs w:val="24"/>
        </w:rPr>
        <w:t xml:space="preserve">the average household size </w:t>
      </w:r>
      <w:r w:rsidRPr="002051F9">
        <w:rPr>
          <w:color w:val="000000" w:themeColor="text1"/>
          <w:sz w:val="24"/>
          <w:szCs w:val="24"/>
        </w:rPr>
        <w:t>declined to 5.</w:t>
      </w:r>
      <w:r w:rsidR="00EE6165" w:rsidRPr="002051F9">
        <w:rPr>
          <w:color w:val="000000" w:themeColor="text1"/>
          <w:sz w:val="24"/>
          <w:szCs w:val="24"/>
        </w:rPr>
        <w:t>5</w:t>
      </w:r>
      <w:r w:rsidRPr="002051F9">
        <w:rPr>
          <w:color w:val="000000" w:themeColor="text1"/>
          <w:sz w:val="24"/>
          <w:szCs w:val="24"/>
        </w:rPr>
        <w:t xml:space="preserve"> in </w:t>
      </w:r>
      <w:r w:rsidR="00971727" w:rsidRPr="002051F9">
        <w:rPr>
          <w:color w:val="000000" w:themeColor="text1"/>
          <w:sz w:val="24"/>
          <w:szCs w:val="24"/>
        </w:rPr>
        <w:t>2019</w:t>
      </w:r>
      <w:r w:rsidRPr="002051F9">
        <w:rPr>
          <w:color w:val="000000" w:themeColor="text1"/>
          <w:sz w:val="24"/>
          <w:szCs w:val="24"/>
        </w:rPr>
        <w:t xml:space="preserve"> compared with </w:t>
      </w:r>
      <w:r w:rsidR="004A14F3" w:rsidRPr="002051F9">
        <w:rPr>
          <w:color w:val="000000" w:themeColor="text1"/>
          <w:sz w:val="24"/>
          <w:szCs w:val="24"/>
        </w:rPr>
        <w:t>6.5</w:t>
      </w:r>
      <w:r w:rsidRPr="002051F9">
        <w:rPr>
          <w:color w:val="000000" w:themeColor="text1"/>
          <w:sz w:val="24"/>
          <w:szCs w:val="24"/>
        </w:rPr>
        <w:t xml:space="preserve"> in </w:t>
      </w:r>
      <w:r w:rsidR="004A14F3" w:rsidRPr="002051F9">
        <w:rPr>
          <w:color w:val="000000" w:themeColor="text1"/>
          <w:sz w:val="24"/>
          <w:szCs w:val="24"/>
        </w:rPr>
        <w:t>2007</w:t>
      </w:r>
      <w:r w:rsidRPr="002051F9">
        <w:rPr>
          <w:color w:val="000000" w:themeColor="text1"/>
          <w:sz w:val="24"/>
          <w:szCs w:val="24"/>
        </w:rPr>
        <w:t>.</w:t>
      </w:r>
    </w:p>
    <w:p w:rsidR="00804A00" w:rsidRPr="00003FFC" w:rsidRDefault="00804A00" w:rsidP="00804A00">
      <w:pPr>
        <w:bidi w:val="0"/>
        <w:jc w:val="lowKashida"/>
        <w:rPr>
          <w:color w:val="000000" w:themeColor="text1"/>
          <w:sz w:val="16"/>
          <w:szCs w:val="16"/>
        </w:rPr>
      </w:pPr>
    </w:p>
    <w:p w:rsidR="00804A00" w:rsidRPr="00003FFC" w:rsidRDefault="00804A00" w:rsidP="00137133">
      <w:pPr>
        <w:jc w:val="center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>The Average Household Size in Palestine by Region</w:t>
      </w:r>
      <w:r w:rsidR="001C3E97" w:rsidRPr="00003FFC">
        <w:rPr>
          <w:b/>
          <w:bCs/>
          <w:color w:val="000000" w:themeColor="text1"/>
          <w:sz w:val="26"/>
          <w:szCs w:val="26"/>
        </w:rPr>
        <w:t xml:space="preserve">, </w:t>
      </w:r>
      <w:r w:rsidR="00137133" w:rsidRPr="00003FFC">
        <w:rPr>
          <w:b/>
          <w:bCs/>
          <w:color w:val="000000" w:themeColor="text1"/>
          <w:sz w:val="26"/>
          <w:szCs w:val="26"/>
        </w:rPr>
        <w:t>2007, 2019</w:t>
      </w:r>
    </w:p>
    <w:p w:rsidR="00804A00" w:rsidRPr="00ED3D2B" w:rsidRDefault="00804A00" w:rsidP="00804A00">
      <w:pPr>
        <w:jc w:val="center"/>
        <w:rPr>
          <w:rFonts w:cs="Simplified Arabic"/>
          <w:b/>
          <w:bCs/>
          <w:noProof/>
          <w:color w:val="000000" w:themeColor="text1"/>
          <w:sz w:val="8"/>
          <w:szCs w:val="8"/>
        </w:rPr>
      </w:pPr>
      <w:r w:rsidRPr="00ED3D2B">
        <w:rPr>
          <w:rFonts w:cs="Simplified Arabic"/>
          <w:b/>
          <w:bCs/>
          <w:noProof/>
          <w:color w:val="000000" w:themeColor="text1"/>
          <w:sz w:val="8"/>
          <w:szCs w:val="8"/>
          <w:rtl/>
        </w:rPr>
        <w:t xml:space="preserve"> </w:t>
      </w:r>
    </w:p>
    <w:tbl>
      <w:tblPr>
        <w:tblStyle w:val="TableGrid"/>
        <w:bidiVisual/>
        <w:tblW w:w="0" w:type="auto"/>
        <w:tblInd w:w="1072" w:type="dxa"/>
        <w:tblLook w:val="04A0"/>
      </w:tblPr>
      <w:tblGrid>
        <w:gridCol w:w="7517"/>
      </w:tblGrid>
      <w:tr w:rsidR="00804A00" w:rsidRPr="00ED3D2B" w:rsidTr="00003FFC">
        <w:tc>
          <w:tcPr>
            <w:tcW w:w="7517" w:type="dxa"/>
          </w:tcPr>
          <w:p w:rsidR="00804A00" w:rsidRPr="00ED3D2B" w:rsidRDefault="00804A00" w:rsidP="00804A00">
            <w:pPr>
              <w:jc w:val="center"/>
              <w:rPr>
                <w:rFonts w:cs="Simplified Arabic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ED3D2B">
              <w:rPr>
                <w:rFonts w:cs="Simplified Arabic"/>
                <w:b/>
                <w:bCs/>
                <w:noProof/>
                <w:color w:val="000000" w:themeColor="text1"/>
                <w:sz w:val="12"/>
                <w:szCs w:val="12"/>
                <w:rtl/>
              </w:rPr>
              <w:drawing>
                <wp:inline distT="0" distB="0" distL="0" distR="0">
                  <wp:extent cx="4629150" cy="1905000"/>
                  <wp:effectExtent l="0" t="0" r="0" b="0"/>
                  <wp:docPr id="7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804A00" w:rsidRPr="00003FFC" w:rsidRDefault="00804A00" w:rsidP="00804A00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57B46" w:rsidRPr="00003FFC" w:rsidRDefault="00457B46" w:rsidP="000F3265">
      <w:pPr>
        <w:bidi w:val="0"/>
        <w:jc w:val="lowKashida"/>
        <w:rPr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One Household out of </w:t>
      </w:r>
      <w:r w:rsidR="000F3265" w:rsidRPr="00003FFC">
        <w:rPr>
          <w:b/>
          <w:bCs/>
          <w:color w:val="000000" w:themeColor="text1"/>
          <w:sz w:val="26"/>
          <w:szCs w:val="26"/>
        </w:rPr>
        <w:t xml:space="preserve">Ten </w:t>
      </w:r>
      <w:r w:rsidRPr="00003FFC">
        <w:rPr>
          <w:b/>
          <w:bCs/>
          <w:color w:val="000000" w:themeColor="text1"/>
          <w:sz w:val="26"/>
          <w:szCs w:val="26"/>
        </w:rPr>
        <w:t>is Headed by a Female</w:t>
      </w:r>
    </w:p>
    <w:p w:rsidR="00457B46" w:rsidRPr="002051F9" w:rsidRDefault="00457B46" w:rsidP="002051F9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results of the Labor Force Survey</w:t>
      </w:r>
      <w:r w:rsidR="000F3265" w:rsidRPr="002051F9">
        <w:rPr>
          <w:color w:val="000000" w:themeColor="text1"/>
          <w:sz w:val="24"/>
          <w:szCs w:val="24"/>
        </w:rPr>
        <w:t xml:space="preserve">, </w:t>
      </w:r>
      <w:r w:rsidR="0098753A" w:rsidRPr="002051F9">
        <w:rPr>
          <w:color w:val="000000" w:themeColor="text1"/>
          <w:sz w:val="24"/>
          <w:szCs w:val="24"/>
        </w:rPr>
        <w:t>2019</w:t>
      </w:r>
      <w:r w:rsidRPr="002051F9">
        <w:rPr>
          <w:color w:val="000000" w:themeColor="text1"/>
          <w:sz w:val="24"/>
          <w:szCs w:val="24"/>
        </w:rPr>
        <w:t xml:space="preserve"> showed that 11% of </w:t>
      </w:r>
      <w:r w:rsidR="004D7A59" w:rsidRPr="002051F9">
        <w:rPr>
          <w:color w:val="000000" w:themeColor="text1"/>
          <w:sz w:val="24"/>
          <w:szCs w:val="24"/>
        </w:rPr>
        <w:t xml:space="preserve">the </w:t>
      </w:r>
      <w:r w:rsidRPr="002051F9">
        <w:rPr>
          <w:color w:val="000000" w:themeColor="text1"/>
          <w:sz w:val="24"/>
          <w:szCs w:val="24"/>
        </w:rPr>
        <w:t xml:space="preserve">households were headed by females in </w:t>
      </w:r>
      <w:r w:rsidR="00E71BDA" w:rsidRPr="002051F9">
        <w:rPr>
          <w:color w:val="000000" w:themeColor="text1"/>
          <w:sz w:val="24"/>
          <w:szCs w:val="24"/>
        </w:rPr>
        <w:t>Palestine (</w:t>
      </w:r>
      <w:r w:rsidRPr="002051F9">
        <w:rPr>
          <w:color w:val="000000" w:themeColor="text1"/>
          <w:sz w:val="24"/>
          <w:szCs w:val="24"/>
        </w:rPr>
        <w:t xml:space="preserve">12% </w:t>
      </w:r>
      <w:r w:rsidR="000F3CA9" w:rsidRPr="002051F9">
        <w:rPr>
          <w:color w:val="000000" w:themeColor="text1"/>
          <w:sz w:val="24"/>
          <w:szCs w:val="24"/>
        </w:rPr>
        <w:t xml:space="preserve">in the West Bank </w:t>
      </w:r>
      <w:r w:rsidRPr="002051F9">
        <w:rPr>
          <w:color w:val="000000" w:themeColor="text1"/>
          <w:sz w:val="24"/>
          <w:szCs w:val="24"/>
        </w:rPr>
        <w:t>and 9%</w:t>
      </w:r>
      <w:r w:rsidR="004D7A59" w:rsidRPr="002051F9">
        <w:rPr>
          <w:color w:val="000000" w:themeColor="text1"/>
          <w:sz w:val="24"/>
          <w:szCs w:val="24"/>
        </w:rPr>
        <w:t xml:space="preserve"> </w:t>
      </w:r>
      <w:r w:rsidR="00E86FCD" w:rsidRPr="002051F9">
        <w:rPr>
          <w:color w:val="000000" w:themeColor="text1"/>
          <w:sz w:val="24"/>
          <w:szCs w:val="24"/>
        </w:rPr>
        <w:t xml:space="preserve">in </w:t>
      </w:r>
      <w:r w:rsidRPr="002051F9">
        <w:rPr>
          <w:color w:val="000000" w:themeColor="text1"/>
          <w:sz w:val="24"/>
          <w:szCs w:val="24"/>
        </w:rPr>
        <w:t>Gaza Strip</w:t>
      </w:r>
      <w:r w:rsidR="00E86FCD" w:rsidRPr="002051F9">
        <w:rPr>
          <w:color w:val="000000" w:themeColor="text1"/>
          <w:sz w:val="24"/>
          <w:szCs w:val="24"/>
        </w:rPr>
        <w:t>)</w:t>
      </w:r>
      <w:r w:rsidRPr="002051F9">
        <w:rPr>
          <w:color w:val="000000" w:themeColor="text1"/>
          <w:sz w:val="24"/>
          <w:szCs w:val="24"/>
        </w:rPr>
        <w:t xml:space="preserve">.  </w:t>
      </w:r>
    </w:p>
    <w:p w:rsidR="00F10A80" w:rsidRPr="00003FFC" w:rsidRDefault="00F10A80" w:rsidP="00F10A80">
      <w:pPr>
        <w:bidi w:val="0"/>
        <w:rPr>
          <w:b/>
          <w:bCs/>
          <w:color w:val="000000" w:themeColor="text1"/>
          <w:sz w:val="16"/>
          <w:szCs w:val="16"/>
          <w:lang w:val="en-GB"/>
        </w:rPr>
      </w:pPr>
    </w:p>
    <w:p w:rsidR="00F10A80" w:rsidRPr="00003FFC" w:rsidRDefault="00F10A80" w:rsidP="00F65EC6">
      <w:pPr>
        <w:pStyle w:val="BodyText3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>8 out of 10 Individuals in Palestine have Health Insurance</w:t>
      </w:r>
      <w:r w:rsidR="00F65EC6" w:rsidRPr="00003FFC">
        <w:rPr>
          <w:b/>
          <w:bCs/>
          <w:color w:val="000000" w:themeColor="text1"/>
          <w:sz w:val="26"/>
          <w:szCs w:val="26"/>
        </w:rPr>
        <w:t>*</w:t>
      </w:r>
    </w:p>
    <w:p w:rsidR="00F10A80" w:rsidRPr="002051F9" w:rsidRDefault="00F10A80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Population, Housing and Establishments Census</w:t>
      </w:r>
      <w:r w:rsidR="000F3265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2017 data </w:t>
      </w:r>
      <w:r w:rsidR="003B783D">
        <w:rPr>
          <w:color w:val="000000" w:themeColor="text1"/>
          <w:sz w:val="24"/>
          <w:szCs w:val="24"/>
        </w:rPr>
        <w:t>showed</w:t>
      </w:r>
      <w:r w:rsidRPr="002051F9">
        <w:rPr>
          <w:color w:val="000000" w:themeColor="text1"/>
          <w:sz w:val="24"/>
          <w:szCs w:val="24"/>
        </w:rPr>
        <w:t xml:space="preserve"> that the number of health insured individuals in Palestine reached 3,458,227, constituting 79% of the total Palestinian population. The percentage of individuals with government insurance was 32%, while the percentage of individuals with UNRWA insurance was 15%, 2% with private insurance, 29% of the individuals </w:t>
      </w:r>
      <w:r w:rsidR="000F3265" w:rsidRPr="002051F9">
        <w:rPr>
          <w:color w:val="000000" w:themeColor="text1"/>
          <w:sz w:val="24"/>
          <w:szCs w:val="24"/>
        </w:rPr>
        <w:t xml:space="preserve">have </w:t>
      </w:r>
      <w:r w:rsidRPr="002051F9">
        <w:rPr>
          <w:color w:val="000000" w:themeColor="text1"/>
          <w:sz w:val="24"/>
          <w:szCs w:val="24"/>
        </w:rPr>
        <w:t xml:space="preserve">government and UNRWA insurance, 0.2% </w:t>
      </w:r>
      <w:r w:rsidR="00791110" w:rsidRPr="002051F9">
        <w:rPr>
          <w:color w:val="000000" w:themeColor="text1"/>
          <w:sz w:val="24"/>
          <w:szCs w:val="24"/>
        </w:rPr>
        <w:t>have</w:t>
      </w:r>
      <w:r w:rsidRPr="002051F9">
        <w:rPr>
          <w:color w:val="000000" w:themeColor="text1"/>
          <w:sz w:val="24"/>
          <w:szCs w:val="24"/>
        </w:rPr>
        <w:t xml:space="preserve"> government and private insurance</w:t>
      </w:r>
      <w:r w:rsidR="000F3265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0.7% </w:t>
      </w:r>
      <w:r w:rsidR="000F3265" w:rsidRPr="002051F9">
        <w:rPr>
          <w:color w:val="000000" w:themeColor="text1"/>
          <w:sz w:val="24"/>
          <w:szCs w:val="24"/>
        </w:rPr>
        <w:t xml:space="preserve">have </w:t>
      </w:r>
      <w:r w:rsidRPr="002051F9">
        <w:rPr>
          <w:color w:val="000000" w:themeColor="text1"/>
          <w:sz w:val="24"/>
          <w:szCs w:val="24"/>
        </w:rPr>
        <w:t>UNRWA and private insurance, 0.7% of the total Palestinian population</w:t>
      </w:r>
      <w:r w:rsidRPr="002051F9" w:rsidDel="00BB28DD">
        <w:rPr>
          <w:color w:val="000000" w:themeColor="text1"/>
          <w:sz w:val="24"/>
          <w:szCs w:val="24"/>
        </w:rPr>
        <w:t xml:space="preserve"> </w:t>
      </w:r>
      <w:r w:rsidR="000F3265" w:rsidRPr="002051F9">
        <w:rPr>
          <w:color w:val="000000" w:themeColor="text1"/>
          <w:sz w:val="24"/>
          <w:szCs w:val="24"/>
        </w:rPr>
        <w:t xml:space="preserve">have </w:t>
      </w:r>
      <w:r w:rsidRPr="002051F9">
        <w:rPr>
          <w:color w:val="000000" w:themeColor="text1"/>
          <w:sz w:val="24"/>
          <w:szCs w:val="24"/>
        </w:rPr>
        <w:t xml:space="preserve">Israeli insurance and 0.3% </w:t>
      </w:r>
      <w:r w:rsidR="000F3265" w:rsidRPr="002051F9">
        <w:rPr>
          <w:color w:val="000000" w:themeColor="text1"/>
          <w:sz w:val="24"/>
          <w:szCs w:val="24"/>
        </w:rPr>
        <w:t xml:space="preserve">have </w:t>
      </w:r>
      <w:r w:rsidRPr="002051F9">
        <w:rPr>
          <w:color w:val="000000" w:themeColor="text1"/>
          <w:sz w:val="24"/>
          <w:szCs w:val="24"/>
        </w:rPr>
        <w:t>other insurances.</w:t>
      </w:r>
    </w:p>
    <w:p w:rsidR="00F10A80" w:rsidRPr="00003FFC" w:rsidRDefault="00F10A80" w:rsidP="00F10A80">
      <w:pPr>
        <w:pStyle w:val="BodyText3"/>
        <w:jc w:val="both"/>
        <w:rPr>
          <w:color w:val="000000" w:themeColor="text1"/>
          <w:sz w:val="16"/>
          <w:szCs w:val="16"/>
        </w:rPr>
      </w:pPr>
    </w:p>
    <w:p w:rsidR="00F10A80" w:rsidRPr="00003FFC" w:rsidRDefault="00F10A80" w:rsidP="00791110">
      <w:pPr>
        <w:pStyle w:val="BodyText3"/>
        <w:jc w:val="both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6% of </w:t>
      </w:r>
      <w:r w:rsidR="000F3265" w:rsidRPr="00003FFC">
        <w:rPr>
          <w:b/>
          <w:bCs/>
          <w:color w:val="000000" w:themeColor="text1"/>
          <w:sz w:val="26"/>
          <w:szCs w:val="26"/>
        </w:rPr>
        <w:t xml:space="preserve">Individuals </w:t>
      </w:r>
      <w:r w:rsidRPr="00003FFC">
        <w:rPr>
          <w:b/>
          <w:bCs/>
          <w:color w:val="000000" w:themeColor="text1"/>
          <w:sz w:val="26"/>
          <w:szCs w:val="26"/>
        </w:rPr>
        <w:t xml:space="preserve">in Palestine </w:t>
      </w:r>
      <w:r w:rsidR="00791110" w:rsidRPr="00003FFC">
        <w:rPr>
          <w:b/>
          <w:bCs/>
          <w:color w:val="000000" w:themeColor="text1"/>
          <w:sz w:val="26"/>
          <w:szCs w:val="26"/>
        </w:rPr>
        <w:t xml:space="preserve">Have </w:t>
      </w:r>
      <w:r w:rsidRPr="00003FFC">
        <w:rPr>
          <w:b/>
          <w:bCs/>
          <w:color w:val="000000" w:themeColor="text1"/>
          <w:sz w:val="26"/>
          <w:szCs w:val="26"/>
        </w:rPr>
        <w:t xml:space="preserve">at </w:t>
      </w:r>
      <w:r w:rsidR="00791110" w:rsidRPr="00003FFC">
        <w:rPr>
          <w:b/>
          <w:bCs/>
          <w:color w:val="000000" w:themeColor="text1"/>
          <w:sz w:val="26"/>
          <w:szCs w:val="26"/>
        </w:rPr>
        <w:t xml:space="preserve">Least One Difficulty </w:t>
      </w:r>
      <w:r w:rsidR="00F65EC6" w:rsidRPr="00003FFC">
        <w:rPr>
          <w:b/>
          <w:bCs/>
          <w:color w:val="000000" w:themeColor="text1"/>
          <w:sz w:val="26"/>
          <w:szCs w:val="26"/>
        </w:rPr>
        <w:t>*</w:t>
      </w:r>
    </w:p>
    <w:p w:rsidR="00971727" w:rsidRPr="002051F9" w:rsidRDefault="00F10A80" w:rsidP="002051F9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Population, Housing and Establishments Census 2017 data indicated that</w:t>
      </w:r>
      <w:r w:rsidR="00A26E92" w:rsidRPr="002051F9">
        <w:rPr>
          <w:color w:val="000000" w:themeColor="text1"/>
          <w:sz w:val="24"/>
          <w:szCs w:val="24"/>
        </w:rPr>
        <w:t xml:space="preserve"> 255,228 individuals</w:t>
      </w:r>
      <w:r w:rsidR="000F3265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A26E92" w:rsidRPr="002051F9">
        <w:rPr>
          <w:color w:val="000000" w:themeColor="text1"/>
          <w:sz w:val="24"/>
          <w:szCs w:val="24"/>
        </w:rPr>
        <w:t xml:space="preserve">which is </w:t>
      </w:r>
      <w:r w:rsidRPr="002051F9">
        <w:rPr>
          <w:color w:val="000000" w:themeColor="text1"/>
          <w:sz w:val="24"/>
          <w:szCs w:val="24"/>
        </w:rPr>
        <w:t xml:space="preserve">6% of </w:t>
      </w:r>
      <w:r w:rsidR="000F3265" w:rsidRPr="002051F9">
        <w:rPr>
          <w:color w:val="000000" w:themeColor="text1"/>
          <w:sz w:val="24"/>
          <w:szCs w:val="24"/>
        </w:rPr>
        <w:t xml:space="preserve">the </w:t>
      </w:r>
      <w:r w:rsidRPr="002051F9">
        <w:rPr>
          <w:color w:val="000000" w:themeColor="text1"/>
          <w:sz w:val="24"/>
          <w:szCs w:val="24"/>
        </w:rPr>
        <w:t>individuals in Palestine</w:t>
      </w:r>
      <w:r w:rsidR="000F3265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have at least one difficulty (6% males and 5% females). In terms of the type of </w:t>
      </w:r>
      <w:r w:rsidR="00531F97" w:rsidRPr="002051F9">
        <w:rPr>
          <w:color w:val="000000" w:themeColor="text1"/>
          <w:sz w:val="24"/>
          <w:szCs w:val="24"/>
        </w:rPr>
        <w:t>difficulty</w:t>
      </w:r>
      <w:r w:rsidR="00A26E92" w:rsidRPr="002051F9">
        <w:rPr>
          <w:color w:val="000000" w:themeColor="text1"/>
          <w:sz w:val="24"/>
          <w:szCs w:val="24"/>
        </w:rPr>
        <w:t xml:space="preserve"> (</w:t>
      </w:r>
      <w:r w:rsidR="006D67D3" w:rsidRPr="002051F9">
        <w:rPr>
          <w:color w:val="000000" w:themeColor="text1"/>
          <w:sz w:val="24"/>
          <w:szCs w:val="24"/>
        </w:rPr>
        <w:t>seeing</w:t>
      </w:r>
      <w:r w:rsidR="00A26E92" w:rsidRPr="002051F9">
        <w:rPr>
          <w:color w:val="000000" w:themeColor="text1"/>
          <w:sz w:val="24"/>
          <w:szCs w:val="24"/>
        </w:rPr>
        <w:t xml:space="preserve">, hearing, mobility, </w:t>
      </w:r>
      <w:r w:rsidR="000F3265" w:rsidRPr="002051F9">
        <w:rPr>
          <w:color w:val="000000" w:themeColor="text1"/>
          <w:sz w:val="24"/>
          <w:szCs w:val="24"/>
        </w:rPr>
        <w:t xml:space="preserve">remembering </w:t>
      </w:r>
      <w:r w:rsidR="00A26E92" w:rsidRPr="002051F9">
        <w:rPr>
          <w:color w:val="000000" w:themeColor="text1"/>
          <w:sz w:val="24"/>
          <w:szCs w:val="24"/>
        </w:rPr>
        <w:t>and concentration, communication)</w:t>
      </w:r>
      <w:r w:rsidR="000F3265" w:rsidRPr="002051F9">
        <w:rPr>
          <w:color w:val="000000" w:themeColor="text1"/>
          <w:sz w:val="24"/>
          <w:szCs w:val="24"/>
        </w:rPr>
        <w:t>, where</w:t>
      </w:r>
      <w:r w:rsidR="00531F97" w:rsidRPr="002051F9">
        <w:rPr>
          <w:color w:val="000000" w:themeColor="text1"/>
          <w:sz w:val="24"/>
          <w:szCs w:val="24"/>
        </w:rPr>
        <w:t xml:space="preserve"> mobility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0F3265" w:rsidRPr="002051F9">
        <w:rPr>
          <w:color w:val="000000" w:themeColor="text1"/>
          <w:sz w:val="24"/>
          <w:szCs w:val="24"/>
        </w:rPr>
        <w:t xml:space="preserve">recorded </w:t>
      </w:r>
      <w:r w:rsidRPr="002051F9">
        <w:rPr>
          <w:color w:val="000000" w:themeColor="text1"/>
          <w:sz w:val="24"/>
          <w:szCs w:val="24"/>
        </w:rPr>
        <w:t>the highest</w:t>
      </w:r>
      <w:r w:rsidR="000F3265" w:rsidRPr="002051F9">
        <w:rPr>
          <w:color w:val="000000" w:themeColor="text1"/>
          <w:sz w:val="24"/>
          <w:szCs w:val="24"/>
        </w:rPr>
        <w:t xml:space="preserve"> percentage</w:t>
      </w:r>
      <w:r w:rsidRPr="002051F9">
        <w:rPr>
          <w:color w:val="000000" w:themeColor="text1"/>
          <w:sz w:val="24"/>
          <w:szCs w:val="24"/>
        </w:rPr>
        <w:t xml:space="preserve"> by 3% of the total Palestinian population, </w:t>
      </w:r>
      <w:r w:rsidR="000F3265" w:rsidRPr="002051F9">
        <w:rPr>
          <w:color w:val="000000" w:themeColor="text1"/>
          <w:sz w:val="24"/>
          <w:szCs w:val="24"/>
        </w:rPr>
        <w:t xml:space="preserve">and </w:t>
      </w:r>
      <w:r w:rsidR="00F25D55" w:rsidRPr="002051F9">
        <w:rPr>
          <w:color w:val="000000" w:themeColor="text1"/>
          <w:sz w:val="24"/>
          <w:szCs w:val="24"/>
        </w:rPr>
        <w:t xml:space="preserve">the </w:t>
      </w:r>
      <w:r w:rsidR="000F3265" w:rsidRPr="002051F9">
        <w:rPr>
          <w:color w:val="000000" w:themeColor="text1"/>
          <w:sz w:val="24"/>
          <w:szCs w:val="24"/>
        </w:rPr>
        <w:t xml:space="preserve">communication </w:t>
      </w:r>
      <w:r w:rsidR="00F25D55" w:rsidRPr="002051F9">
        <w:rPr>
          <w:color w:val="000000" w:themeColor="text1"/>
          <w:sz w:val="24"/>
          <w:szCs w:val="24"/>
        </w:rPr>
        <w:t>difficulty</w:t>
      </w:r>
      <w:r w:rsidRPr="002051F9">
        <w:rPr>
          <w:color w:val="000000" w:themeColor="text1"/>
          <w:sz w:val="24"/>
          <w:szCs w:val="24"/>
        </w:rPr>
        <w:t xml:space="preserve"> was the least prevalence among other difficulties with 1% of the total population </w:t>
      </w:r>
      <w:r w:rsidR="000F3265" w:rsidRPr="002051F9">
        <w:rPr>
          <w:color w:val="000000" w:themeColor="text1"/>
          <w:sz w:val="24"/>
          <w:szCs w:val="24"/>
        </w:rPr>
        <w:t xml:space="preserve">in </w:t>
      </w:r>
      <w:r w:rsidRPr="002051F9">
        <w:rPr>
          <w:color w:val="000000" w:themeColor="text1"/>
          <w:sz w:val="24"/>
          <w:szCs w:val="24"/>
        </w:rPr>
        <w:t>Palestine.</w:t>
      </w:r>
    </w:p>
    <w:p w:rsidR="00003FFC" w:rsidRPr="00003FFC" w:rsidRDefault="00003FFC" w:rsidP="002F4A16">
      <w:pPr>
        <w:pStyle w:val="BodyText3"/>
        <w:rPr>
          <w:b/>
          <w:bCs/>
          <w:color w:val="000000" w:themeColor="text1"/>
          <w:sz w:val="16"/>
          <w:szCs w:val="16"/>
        </w:rPr>
      </w:pPr>
    </w:p>
    <w:p w:rsidR="002F4A16" w:rsidRPr="00003FFC" w:rsidRDefault="002F4A16" w:rsidP="002F4A16">
      <w:pPr>
        <w:pStyle w:val="BodyText3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>Low Illiteracy Rate in Palestine</w:t>
      </w:r>
    </w:p>
    <w:p w:rsidR="002F4A16" w:rsidRPr="002051F9" w:rsidRDefault="002F4A16" w:rsidP="002051F9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 xml:space="preserve">The Labor Force Survey </w:t>
      </w:r>
      <w:r w:rsidR="000F3265" w:rsidRPr="002051F9">
        <w:rPr>
          <w:color w:val="000000" w:themeColor="text1"/>
          <w:sz w:val="24"/>
          <w:szCs w:val="24"/>
        </w:rPr>
        <w:t xml:space="preserve">2019 </w:t>
      </w:r>
      <w:r w:rsidRPr="002051F9">
        <w:rPr>
          <w:color w:val="000000" w:themeColor="text1"/>
          <w:sz w:val="24"/>
          <w:szCs w:val="24"/>
        </w:rPr>
        <w:t xml:space="preserve">data showed that </w:t>
      </w:r>
      <w:r w:rsidR="000F3265" w:rsidRPr="002051F9">
        <w:rPr>
          <w:color w:val="000000" w:themeColor="text1"/>
          <w:sz w:val="24"/>
          <w:szCs w:val="24"/>
        </w:rPr>
        <w:t xml:space="preserve">illiteracy </w:t>
      </w:r>
      <w:r w:rsidRPr="002051F9">
        <w:rPr>
          <w:color w:val="000000" w:themeColor="text1"/>
          <w:sz w:val="24"/>
          <w:szCs w:val="24"/>
        </w:rPr>
        <w:t xml:space="preserve">rate among individuals (15 years and above) in Palestine was 2.6%. </w:t>
      </w:r>
      <w:r w:rsidR="000F3265" w:rsidRPr="002051F9">
        <w:rPr>
          <w:color w:val="000000" w:themeColor="text1"/>
          <w:sz w:val="24"/>
          <w:szCs w:val="24"/>
        </w:rPr>
        <w:t>The i</w:t>
      </w:r>
      <w:r w:rsidRPr="002051F9">
        <w:rPr>
          <w:color w:val="000000" w:themeColor="text1"/>
          <w:sz w:val="24"/>
          <w:szCs w:val="24"/>
        </w:rPr>
        <w:t xml:space="preserve">lliteracy gap is significantly noticed among males and females </w:t>
      </w:r>
      <w:r w:rsidR="000F3265" w:rsidRPr="002051F9">
        <w:rPr>
          <w:color w:val="000000" w:themeColor="text1"/>
          <w:sz w:val="24"/>
          <w:szCs w:val="24"/>
        </w:rPr>
        <w:t xml:space="preserve">with percentages of </w:t>
      </w:r>
      <w:r w:rsidR="00C0114B" w:rsidRPr="002051F9">
        <w:rPr>
          <w:color w:val="000000" w:themeColor="text1"/>
          <w:sz w:val="24"/>
          <w:szCs w:val="24"/>
        </w:rPr>
        <w:t>1</w:t>
      </w:r>
      <w:r w:rsidRPr="002051F9">
        <w:rPr>
          <w:color w:val="000000" w:themeColor="text1"/>
          <w:sz w:val="24"/>
          <w:szCs w:val="24"/>
        </w:rPr>
        <w:t>.2% and 4.1%</w:t>
      </w:r>
      <w:r w:rsidR="000F3265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respectively.  </w:t>
      </w:r>
    </w:p>
    <w:p w:rsidR="002F4A16" w:rsidRPr="00003FFC" w:rsidRDefault="002F4A16" w:rsidP="002F4A16">
      <w:pPr>
        <w:bidi w:val="0"/>
        <w:rPr>
          <w:b/>
          <w:bCs/>
          <w:color w:val="000000" w:themeColor="text1"/>
          <w:sz w:val="16"/>
          <w:szCs w:val="16"/>
          <w:rtl/>
        </w:rPr>
      </w:pPr>
    </w:p>
    <w:p w:rsidR="002F4A16" w:rsidRPr="00003FFC" w:rsidRDefault="002F4A16" w:rsidP="002F4A16">
      <w:pPr>
        <w:bidi w:val="0"/>
        <w:rPr>
          <w:b/>
          <w:bCs/>
          <w:color w:val="000000" w:themeColor="text1"/>
          <w:sz w:val="16"/>
          <w:szCs w:val="16"/>
          <w:rtl/>
        </w:rPr>
      </w:pPr>
    </w:p>
    <w:p w:rsidR="00003FFC" w:rsidRDefault="00003FFC" w:rsidP="00003FFC">
      <w:pPr>
        <w:bidi w:val="0"/>
        <w:jc w:val="center"/>
        <w:rPr>
          <w:b/>
          <w:bCs/>
          <w:color w:val="000000" w:themeColor="text1"/>
          <w:sz w:val="26"/>
          <w:szCs w:val="26"/>
        </w:rPr>
      </w:pPr>
    </w:p>
    <w:p w:rsidR="00003FFC" w:rsidRDefault="00003FFC" w:rsidP="00003FFC">
      <w:pPr>
        <w:bidi w:val="0"/>
        <w:jc w:val="center"/>
        <w:rPr>
          <w:b/>
          <w:bCs/>
          <w:color w:val="000000" w:themeColor="text1"/>
          <w:sz w:val="26"/>
          <w:szCs w:val="26"/>
        </w:rPr>
      </w:pPr>
    </w:p>
    <w:p w:rsidR="00003FFC" w:rsidRDefault="002F4A16" w:rsidP="00003FFC">
      <w:pPr>
        <w:bidi w:val="0"/>
        <w:jc w:val="center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Illiteracy </w:t>
      </w:r>
      <w:r w:rsidR="005A620E" w:rsidRPr="00003FFC">
        <w:rPr>
          <w:b/>
          <w:bCs/>
          <w:color w:val="000000" w:themeColor="text1"/>
          <w:sz w:val="26"/>
          <w:szCs w:val="26"/>
        </w:rPr>
        <w:t xml:space="preserve">Rates </w:t>
      </w:r>
      <w:r w:rsidRPr="00003FFC">
        <w:rPr>
          <w:b/>
          <w:bCs/>
          <w:color w:val="000000" w:themeColor="text1"/>
          <w:sz w:val="26"/>
          <w:szCs w:val="26"/>
        </w:rPr>
        <w:t xml:space="preserve">among Palestinian </w:t>
      </w:r>
      <w:r w:rsidR="005A620E" w:rsidRPr="00003FFC">
        <w:rPr>
          <w:b/>
          <w:bCs/>
          <w:color w:val="000000" w:themeColor="text1"/>
          <w:sz w:val="26"/>
          <w:szCs w:val="26"/>
        </w:rPr>
        <w:t xml:space="preserve">Population </w:t>
      </w:r>
      <w:r w:rsidRPr="00003FFC">
        <w:rPr>
          <w:b/>
          <w:bCs/>
          <w:color w:val="000000" w:themeColor="text1"/>
          <w:sz w:val="26"/>
          <w:szCs w:val="26"/>
        </w:rPr>
        <w:t>(15 years and above) in Palestine by</w:t>
      </w:r>
    </w:p>
    <w:p w:rsidR="002F4A16" w:rsidRPr="00003FFC" w:rsidRDefault="002F4A16" w:rsidP="00003FFC">
      <w:pPr>
        <w:bidi w:val="0"/>
        <w:jc w:val="center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 </w:t>
      </w:r>
      <w:r w:rsidR="005A620E" w:rsidRPr="00003FFC">
        <w:rPr>
          <w:b/>
          <w:bCs/>
          <w:color w:val="000000" w:themeColor="text1"/>
          <w:sz w:val="26"/>
          <w:szCs w:val="26"/>
        </w:rPr>
        <w:t>Sex</w:t>
      </w:r>
      <w:r w:rsidR="00137133" w:rsidRPr="00003FFC">
        <w:rPr>
          <w:b/>
          <w:bCs/>
          <w:color w:val="000000" w:themeColor="text1"/>
          <w:sz w:val="26"/>
          <w:szCs w:val="26"/>
        </w:rPr>
        <w:t>,</w:t>
      </w:r>
      <w:r w:rsidRPr="00003FFC">
        <w:rPr>
          <w:b/>
          <w:bCs/>
          <w:color w:val="000000" w:themeColor="text1"/>
          <w:sz w:val="26"/>
          <w:szCs w:val="26"/>
        </w:rPr>
        <w:t xml:space="preserve"> 2000-2019</w:t>
      </w:r>
    </w:p>
    <w:p w:rsidR="001C3E97" w:rsidRPr="00ED3D2B" w:rsidRDefault="001C3E97" w:rsidP="001C3E97">
      <w:pPr>
        <w:pStyle w:val="BodyText3"/>
        <w:jc w:val="center"/>
        <w:rPr>
          <w:b/>
          <w:bCs/>
          <w:color w:val="000000" w:themeColor="text1"/>
          <w:sz w:val="12"/>
          <w:szCs w:val="12"/>
          <w:lang w:eastAsia="en-US"/>
        </w:rPr>
      </w:pPr>
    </w:p>
    <w:tbl>
      <w:tblPr>
        <w:tblStyle w:val="TableGrid"/>
        <w:tblW w:w="0" w:type="auto"/>
        <w:tblInd w:w="1101" w:type="dxa"/>
        <w:tblLook w:val="04A0"/>
      </w:tblPr>
      <w:tblGrid>
        <w:gridCol w:w="8856"/>
      </w:tblGrid>
      <w:tr w:rsidR="001C3E97" w:rsidRPr="00ED3D2B" w:rsidTr="001C3E97">
        <w:tc>
          <w:tcPr>
            <w:tcW w:w="7938" w:type="dxa"/>
          </w:tcPr>
          <w:p w:rsidR="001C3E97" w:rsidRPr="00ED3D2B" w:rsidRDefault="0098753A" w:rsidP="001C3E97">
            <w:pPr>
              <w:pStyle w:val="BodyText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D3D2B">
              <w:rPr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5486400" cy="221932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1C3E97" w:rsidRPr="00003FFC" w:rsidRDefault="001C3E97" w:rsidP="001C3E97">
      <w:pPr>
        <w:pStyle w:val="BodyText3"/>
        <w:jc w:val="center"/>
        <w:rPr>
          <w:b/>
          <w:bCs/>
          <w:color w:val="000000" w:themeColor="text1"/>
          <w:sz w:val="16"/>
          <w:szCs w:val="16"/>
        </w:rPr>
      </w:pPr>
    </w:p>
    <w:p w:rsidR="002876CB" w:rsidRDefault="002876CB" w:rsidP="002F4A16">
      <w:pPr>
        <w:pStyle w:val="BodyText3"/>
        <w:rPr>
          <w:rFonts w:asciiTheme="majorBidi" w:hAnsiTheme="majorBidi" w:cstheme="majorBidi"/>
          <w:b/>
          <w:bCs/>
          <w:color w:val="000000" w:themeColor="text1"/>
          <w:sz w:val="12"/>
          <w:szCs w:val="12"/>
        </w:rPr>
      </w:pPr>
    </w:p>
    <w:p w:rsidR="002F4A16" w:rsidRPr="00003FFC" w:rsidRDefault="002F4A16" w:rsidP="002F4A16">
      <w:pPr>
        <w:pStyle w:val="BodyText3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>16% of Individuals (15 years and above) Have a Bachelor Degree and above</w:t>
      </w:r>
    </w:p>
    <w:p w:rsidR="002F4A16" w:rsidRPr="002051F9" w:rsidRDefault="002F4A16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Labor Force Survey</w:t>
      </w:r>
      <w:r w:rsidR="00D24B67" w:rsidRPr="002051F9">
        <w:rPr>
          <w:color w:val="000000" w:themeColor="text1"/>
          <w:sz w:val="24"/>
          <w:szCs w:val="24"/>
        </w:rPr>
        <w:t xml:space="preserve"> </w:t>
      </w:r>
      <w:r w:rsidR="005A620E" w:rsidRPr="002051F9">
        <w:rPr>
          <w:color w:val="000000" w:themeColor="text1"/>
          <w:sz w:val="24"/>
          <w:szCs w:val="24"/>
        </w:rPr>
        <w:t xml:space="preserve">2019 </w:t>
      </w:r>
      <w:r w:rsidRPr="002051F9">
        <w:rPr>
          <w:color w:val="000000" w:themeColor="text1"/>
          <w:sz w:val="24"/>
          <w:szCs w:val="24"/>
        </w:rPr>
        <w:t xml:space="preserve">data </w:t>
      </w:r>
      <w:r w:rsidR="003B783D">
        <w:rPr>
          <w:color w:val="000000" w:themeColor="text1"/>
          <w:sz w:val="24"/>
          <w:szCs w:val="24"/>
        </w:rPr>
        <w:t>showed</w:t>
      </w:r>
      <w:r w:rsidRPr="002051F9">
        <w:rPr>
          <w:color w:val="000000" w:themeColor="text1"/>
          <w:sz w:val="24"/>
          <w:szCs w:val="24"/>
        </w:rPr>
        <w:t xml:space="preserve"> that the percentage of individuals (15 years and above), who have completed university education (</w:t>
      </w:r>
      <w:r w:rsidR="005A620E" w:rsidRPr="002051F9">
        <w:rPr>
          <w:color w:val="000000" w:themeColor="text1"/>
          <w:sz w:val="24"/>
          <w:szCs w:val="24"/>
        </w:rPr>
        <w:t xml:space="preserve">Bachelor </w:t>
      </w:r>
      <w:r w:rsidRPr="002051F9">
        <w:rPr>
          <w:color w:val="000000" w:themeColor="text1"/>
          <w:sz w:val="24"/>
          <w:szCs w:val="24"/>
        </w:rPr>
        <w:t>degree and above), was 16% while the percentage of individuals who didn't complete any stage of education reached</w:t>
      </w:r>
      <w:r w:rsidR="003B783D">
        <w:rPr>
          <w:color w:val="000000" w:themeColor="text1"/>
          <w:sz w:val="24"/>
          <w:szCs w:val="24"/>
        </w:rPr>
        <w:t xml:space="preserve"> about</w:t>
      </w:r>
      <w:r w:rsidRPr="002051F9">
        <w:rPr>
          <w:color w:val="000000" w:themeColor="text1"/>
          <w:sz w:val="24"/>
          <w:szCs w:val="24"/>
        </w:rPr>
        <w:t xml:space="preserve"> 7%. </w:t>
      </w:r>
    </w:p>
    <w:p w:rsidR="00F10A80" w:rsidRPr="00003FFC" w:rsidRDefault="00F10A80" w:rsidP="00F10A80">
      <w:pPr>
        <w:pStyle w:val="BodyText3"/>
        <w:rPr>
          <w:b/>
          <w:bCs/>
          <w:color w:val="000000" w:themeColor="text1"/>
          <w:sz w:val="16"/>
          <w:szCs w:val="16"/>
        </w:rPr>
      </w:pPr>
    </w:p>
    <w:p w:rsidR="00DB591A" w:rsidRPr="00003FFC" w:rsidRDefault="00DB591A" w:rsidP="00DB591A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color w:val="000000" w:themeColor="text1"/>
          <w:sz w:val="26"/>
          <w:szCs w:val="26"/>
          <w:lang w:eastAsia="en-US"/>
        </w:rPr>
      </w:pPr>
      <w:r w:rsidRPr="00003FFC">
        <w:rPr>
          <w:rFonts w:cs="Times New Roman"/>
          <w:b/>
          <w:bCs/>
          <w:color w:val="000000" w:themeColor="text1"/>
          <w:sz w:val="26"/>
          <w:szCs w:val="26"/>
        </w:rPr>
        <w:t xml:space="preserve">About One Million and a Half </w:t>
      </w:r>
      <w:r w:rsidR="005A620E" w:rsidRPr="00003FFC">
        <w:rPr>
          <w:rFonts w:cs="Times New Roman"/>
          <w:b/>
          <w:bCs/>
          <w:color w:val="000000" w:themeColor="text1"/>
          <w:sz w:val="26"/>
          <w:szCs w:val="26"/>
        </w:rPr>
        <w:t xml:space="preserve">of </w:t>
      </w:r>
      <w:r w:rsidRPr="00003FFC">
        <w:rPr>
          <w:rFonts w:cs="Times New Roman"/>
          <w:b/>
          <w:bCs/>
          <w:color w:val="000000" w:themeColor="text1"/>
          <w:sz w:val="26"/>
          <w:szCs w:val="26"/>
        </w:rPr>
        <w:t xml:space="preserve">Individuals </w:t>
      </w:r>
      <w:r w:rsidR="005A620E" w:rsidRPr="00003FFC">
        <w:rPr>
          <w:rFonts w:cs="Times New Roman"/>
          <w:b/>
          <w:bCs/>
          <w:color w:val="000000" w:themeColor="text1"/>
          <w:sz w:val="26"/>
          <w:szCs w:val="26"/>
        </w:rPr>
        <w:t xml:space="preserve">are </w:t>
      </w:r>
      <w:r w:rsidRPr="00003FFC">
        <w:rPr>
          <w:rFonts w:cs="Times New Roman"/>
          <w:b/>
          <w:bCs/>
          <w:color w:val="000000" w:themeColor="text1"/>
          <w:sz w:val="26"/>
          <w:szCs w:val="26"/>
        </w:rPr>
        <w:t>in the Labour Force</w:t>
      </w:r>
    </w:p>
    <w:p w:rsidR="00DB591A" w:rsidRPr="002051F9" w:rsidRDefault="00DB591A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 xml:space="preserve">The results of </w:t>
      </w:r>
      <w:r w:rsidR="005A620E" w:rsidRPr="002051F9">
        <w:rPr>
          <w:color w:val="000000" w:themeColor="text1"/>
          <w:sz w:val="24"/>
          <w:szCs w:val="24"/>
        </w:rPr>
        <w:t xml:space="preserve">Labour Force Survey </w:t>
      </w:r>
      <w:r w:rsidR="00D24B67" w:rsidRPr="002051F9">
        <w:rPr>
          <w:color w:val="000000" w:themeColor="text1"/>
          <w:sz w:val="24"/>
          <w:szCs w:val="24"/>
        </w:rPr>
        <w:t xml:space="preserve">2019 </w:t>
      </w:r>
      <w:r w:rsidR="003B783D">
        <w:rPr>
          <w:color w:val="000000" w:themeColor="text1"/>
          <w:sz w:val="24"/>
          <w:szCs w:val="24"/>
        </w:rPr>
        <w:t>showed</w:t>
      </w:r>
      <w:r w:rsidRPr="002051F9">
        <w:rPr>
          <w:color w:val="000000" w:themeColor="text1"/>
          <w:sz w:val="24"/>
          <w:szCs w:val="24"/>
        </w:rPr>
        <w:t xml:space="preserve"> that the labour force participation rate was 44% of the total labour force (individuals aged 15 years and above); of which 46% in the West Bank and 41% in Gaza strip. The females participation rate in labour force was very low compared to the males participation rate, where it reached 18%;</w:t>
      </w:r>
      <w:r w:rsidR="005A620E" w:rsidRPr="002051F9">
        <w:rPr>
          <w:color w:val="000000" w:themeColor="text1"/>
          <w:sz w:val="24"/>
          <w:szCs w:val="24"/>
        </w:rPr>
        <w:t xml:space="preserve"> </w:t>
      </w:r>
      <w:r w:rsidRPr="002051F9">
        <w:rPr>
          <w:color w:val="000000" w:themeColor="text1"/>
          <w:sz w:val="24"/>
          <w:szCs w:val="24"/>
        </w:rPr>
        <w:t>of which 17% in the West Bank and 19% in Gaza Strip. As for the males, it was 70%; of which 74% in the West Bank and 62% in Gaza Strip.</w:t>
      </w:r>
    </w:p>
    <w:p w:rsidR="00DB591A" w:rsidRPr="00003FFC" w:rsidRDefault="00DB591A" w:rsidP="00DB591A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DB591A" w:rsidRPr="00003FFC" w:rsidRDefault="00DB591A" w:rsidP="00DB591A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color w:val="000000" w:themeColor="text1"/>
          <w:sz w:val="26"/>
          <w:szCs w:val="26"/>
        </w:rPr>
      </w:pPr>
      <w:r w:rsidRPr="00003FFC">
        <w:rPr>
          <w:rFonts w:cs="Times New Roman"/>
          <w:b/>
          <w:bCs/>
          <w:color w:val="000000" w:themeColor="text1"/>
          <w:sz w:val="26"/>
          <w:szCs w:val="26"/>
        </w:rPr>
        <w:t>About One-fourth of the Labor Force Participants were Unemployed</w:t>
      </w:r>
    </w:p>
    <w:p w:rsidR="00DB591A" w:rsidRPr="002051F9" w:rsidRDefault="00DB591A" w:rsidP="002051F9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 xml:space="preserve">The results </w:t>
      </w:r>
      <w:r w:rsidR="00D24B67" w:rsidRPr="002051F9">
        <w:rPr>
          <w:color w:val="000000" w:themeColor="text1"/>
          <w:sz w:val="24"/>
          <w:szCs w:val="24"/>
        </w:rPr>
        <w:t xml:space="preserve">also </w:t>
      </w:r>
      <w:r w:rsidRPr="002051F9">
        <w:rPr>
          <w:color w:val="000000" w:themeColor="text1"/>
          <w:sz w:val="24"/>
          <w:szCs w:val="24"/>
        </w:rPr>
        <w:t xml:space="preserve">showed that more than one-fourth of the participants in the labour force were unemployed in 2019, where the percentage reached 25%; of which 15% in the West Bank and 45% in Gaza Strip. Unemployment rate reached 41% among females compared to 21% among males. </w:t>
      </w:r>
    </w:p>
    <w:p w:rsidR="002146B2" w:rsidRPr="00003FFC" w:rsidRDefault="002146B2" w:rsidP="000814BC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003FFC" w:rsidRDefault="002146B2" w:rsidP="00137133">
      <w:pPr>
        <w:jc w:val="center"/>
        <w:rPr>
          <w:b/>
          <w:bCs/>
          <w:color w:val="000000" w:themeColor="text1"/>
          <w:sz w:val="26"/>
          <w:szCs w:val="26"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Unemployment Rate among Labour </w:t>
      </w:r>
      <w:r w:rsidR="005A620E" w:rsidRPr="00003FFC">
        <w:rPr>
          <w:b/>
          <w:bCs/>
          <w:color w:val="000000" w:themeColor="text1"/>
          <w:sz w:val="26"/>
          <w:szCs w:val="26"/>
        </w:rPr>
        <w:t xml:space="preserve">Force </w:t>
      </w:r>
      <w:r w:rsidRPr="00003FFC">
        <w:rPr>
          <w:b/>
          <w:bCs/>
          <w:color w:val="000000" w:themeColor="text1"/>
          <w:sz w:val="26"/>
          <w:szCs w:val="26"/>
        </w:rPr>
        <w:t xml:space="preserve">Participants </w:t>
      </w:r>
      <w:r w:rsidR="00D24B67" w:rsidRPr="00003FFC">
        <w:rPr>
          <w:b/>
          <w:bCs/>
          <w:color w:val="000000" w:themeColor="text1"/>
          <w:sz w:val="26"/>
          <w:szCs w:val="26"/>
        </w:rPr>
        <w:t>(</w:t>
      </w:r>
      <w:r w:rsidRPr="00003FFC">
        <w:rPr>
          <w:b/>
          <w:bCs/>
          <w:color w:val="000000" w:themeColor="text1"/>
          <w:sz w:val="26"/>
          <w:szCs w:val="26"/>
        </w:rPr>
        <w:t>15 years and above</w:t>
      </w:r>
      <w:r w:rsidR="00D24B67" w:rsidRPr="00003FFC">
        <w:rPr>
          <w:b/>
          <w:bCs/>
          <w:color w:val="000000" w:themeColor="text1"/>
          <w:sz w:val="26"/>
          <w:szCs w:val="26"/>
        </w:rPr>
        <w:t>)</w:t>
      </w:r>
    </w:p>
    <w:p w:rsidR="002146B2" w:rsidRPr="00003FFC" w:rsidRDefault="002146B2" w:rsidP="00137133">
      <w:pPr>
        <w:jc w:val="center"/>
        <w:rPr>
          <w:b/>
          <w:bCs/>
          <w:color w:val="000000" w:themeColor="text1"/>
          <w:sz w:val="26"/>
          <w:szCs w:val="26"/>
          <w:rtl/>
        </w:rPr>
      </w:pPr>
      <w:r w:rsidRPr="00003FFC">
        <w:rPr>
          <w:b/>
          <w:bCs/>
          <w:color w:val="000000" w:themeColor="text1"/>
          <w:sz w:val="26"/>
          <w:szCs w:val="26"/>
        </w:rPr>
        <w:t xml:space="preserve"> in Palestine by Region</w:t>
      </w:r>
      <w:r w:rsidR="00137133" w:rsidRPr="00003FFC">
        <w:rPr>
          <w:b/>
          <w:bCs/>
          <w:color w:val="000000" w:themeColor="text1"/>
          <w:sz w:val="26"/>
          <w:szCs w:val="26"/>
        </w:rPr>
        <w:t>,</w:t>
      </w:r>
      <w:r w:rsidRPr="00003FFC">
        <w:rPr>
          <w:b/>
          <w:bCs/>
          <w:color w:val="000000" w:themeColor="text1"/>
          <w:sz w:val="26"/>
          <w:szCs w:val="26"/>
        </w:rPr>
        <w:t xml:space="preserve"> </w:t>
      </w:r>
      <w:r w:rsidR="00DB591A" w:rsidRPr="00003FFC">
        <w:rPr>
          <w:b/>
          <w:bCs/>
          <w:color w:val="000000" w:themeColor="text1"/>
          <w:sz w:val="26"/>
          <w:szCs w:val="26"/>
        </w:rPr>
        <w:t>2015</w:t>
      </w:r>
      <w:r w:rsidRPr="00003FFC">
        <w:rPr>
          <w:b/>
          <w:bCs/>
          <w:color w:val="000000" w:themeColor="text1"/>
          <w:sz w:val="26"/>
          <w:szCs w:val="26"/>
        </w:rPr>
        <w:t>-</w:t>
      </w:r>
      <w:r w:rsidR="00DB591A" w:rsidRPr="00003FFC">
        <w:rPr>
          <w:b/>
          <w:bCs/>
          <w:color w:val="000000" w:themeColor="text1"/>
          <w:sz w:val="26"/>
          <w:szCs w:val="26"/>
        </w:rPr>
        <w:t>2019</w:t>
      </w:r>
    </w:p>
    <w:p w:rsidR="000D2A9B" w:rsidRDefault="000D2A9B" w:rsidP="000D2A9B">
      <w:pPr>
        <w:bidi w:val="0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eastAsia="ar-SA"/>
        </w:rPr>
      </w:pPr>
    </w:p>
    <w:tbl>
      <w:tblPr>
        <w:tblStyle w:val="TableGrid"/>
        <w:tblW w:w="0" w:type="auto"/>
        <w:tblInd w:w="1101" w:type="dxa"/>
        <w:tblLook w:val="04A0"/>
      </w:tblPr>
      <w:tblGrid>
        <w:gridCol w:w="8788"/>
      </w:tblGrid>
      <w:tr w:rsidR="00BB2397" w:rsidTr="00BB2397">
        <w:tc>
          <w:tcPr>
            <w:tcW w:w="8788" w:type="dxa"/>
          </w:tcPr>
          <w:p w:rsidR="00BB2397" w:rsidRDefault="00BB2397" w:rsidP="000D2A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BB239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>
                  <wp:extent cx="5286375" cy="1981200"/>
                  <wp:effectExtent l="0" t="0" r="0" b="0"/>
                  <wp:docPr id="3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0D2A9B" w:rsidRPr="00003FFC" w:rsidRDefault="000D2A9B" w:rsidP="000D2A9B">
      <w:pPr>
        <w:bidi w:val="0"/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eastAsia="ar-SA"/>
        </w:rPr>
      </w:pPr>
    </w:p>
    <w:p w:rsidR="006F79CE" w:rsidRPr="00003FFC" w:rsidRDefault="006F79CE" w:rsidP="00210098">
      <w:pPr>
        <w:bidi w:val="0"/>
        <w:rPr>
          <w:b/>
          <w:bCs/>
          <w:color w:val="000000" w:themeColor="text1"/>
          <w:sz w:val="26"/>
          <w:szCs w:val="26"/>
          <w:lang w:eastAsia="ar-SA"/>
        </w:rPr>
      </w:pPr>
      <w:r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Monthly </w:t>
      </w:r>
      <w:r w:rsidR="005A620E"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Expenditure </w:t>
      </w:r>
      <w:r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per Capita in Gaza Strip </w:t>
      </w:r>
      <w:r w:rsidR="005A620E"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Decreased </w:t>
      </w:r>
      <w:r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in 2017 </w:t>
      </w:r>
      <w:r w:rsidR="00210098"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Compared </w:t>
      </w:r>
      <w:r w:rsidRPr="00003FFC">
        <w:rPr>
          <w:b/>
          <w:bCs/>
          <w:color w:val="000000" w:themeColor="text1"/>
          <w:sz w:val="26"/>
          <w:szCs w:val="26"/>
          <w:lang w:eastAsia="ar-SA"/>
        </w:rPr>
        <w:t>to 2011</w:t>
      </w:r>
    </w:p>
    <w:p w:rsidR="00F407B0" w:rsidRDefault="00DE6629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Average p</w:t>
      </w:r>
      <w:r w:rsidR="006F79CE" w:rsidRPr="002051F9">
        <w:rPr>
          <w:color w:val="000000" w:themeColor="text1"/>
          <w:sz w:val="24"/>
          <w:szCs w:val="24"/>
        </w:rPr>
        <w:t xml:space="preserve">er capita </w:t>
      </w:r>
      <w:r w:rsidRPr="002051F9">
        <w:rPr>
          <w:color w:val="000000" w:themeColor="text1"/>
          <w:sz w:val="24"/>
          <w:szCs w:val="24"/>
        </w:rPr>
        <w:t xml:space="preserve">monthly </w:t>
      </w:r>
      <w:r w:rsidR="006F79CE" w:rsidRPr="002051F9">
        <w:rPr>
          <w:color w:val="000000" w:themeColor="text1"/>
          <w:sz w:val="24"/>
          <w:szCs w:val="24"/>
        </w:rPr>
        <w:t xml:space="preserve">expenditure in the West Bank increased in 2017 compared to 2011, rising from 188 </w:t>
      </w:r>
      <w:r w:rsidR="008D37A5" w:rsidRPr="002051F9">
        <w:rPr>
          <w:color w:val="000000" w:themeColor="text1"/>
          <w:sz w:val="24"/>
          <w:szCs w:val="24"/>
        </w:rPr>
        <w:t>Jordanian</w:t>
      </w:r>
      <w:r w:rsidR="00FB52AE" w:rsidRPr="002051F9">
        <w:rPr>
          <w:color w:val="000000" w:themeColor="text1"/>
          <w:sz w:val="24"/>
          <w:szCs w:val="24"/>
        </w:rPr>
        <w:t xml:space="preserve"> </w:t>
      </w:r>
      <w:r w:rsidR="006F79CE" w:rsidRPr="002051F9">
        <w:rPr>
          <w:color w:val="000000" w:themeColor="text1"/>
          <w:sz w:val="24"/>
          <w:szCs w:val="24"/>
        </w:rPr>
        <w:t>D</w:t>
      </w:r>
      <w:r w:rsidR="00FB52AE" w:rsidRPr="002051F9">
        <w:rPr>
          <w:color w:val="000000" w:themeColor="text1"/>
          <w:sz w:val="24"/>
          <w:szCs w:val="24"/>
        </w:rPr>
        <w:t>in</w:t>
      </w:r>
      <w:r w:rsidR="008D37A5" w:rsidRPr="002051F9">
        <w:rPr>
          <w:color w:val="000000" w:themeColor="text1"/>
          <w:sz w:val="24"/>
          <w:szCs w:val="24"/>
        </w:rPr>
        <w:t>a</w:t>
      </w:r>
      <w:r w:rsidR="00FB52AE" w:rsidRPr="002051F9">
        <w:rPr>
          <w:color w:val="000000" w:themeColor="text1"/>
          <w:sz w:val="24"/>
          <w:szCs w:val="24"/>
        </w:rPr>
        <w:t>r</w:t>
      </w:r>
      <w:r w:rsidR="00AC72B8" w:rsidRPr="002051F9">
        <w:rPr>
          <w:color w:val="000000" w:themeColor="text1"/>
          <w:sz w:val="24"/>
          <w:szCs w:val="24"/>
        </w:rPr>
        <w:t xml:space="preserve"> (JD)</w:t>
      </w:r>
      <w:r w:rsidR="00FB52AE" w:rsidRPr="002051F9">
        <w:rPr>
          <w:color w:val="000000" w:themeColor="text1"/>
          <w:sz w:val="24"/>
          <w:szCs w:val="24"/>
        </w:rPr>
        <w:t xml:space="preserve"> </w:t>
      </w:r>
      <w:r w:rsidR="006F79CE" w:rsidRPr="002051F9">
        <w:rPr>
          <w:color w:val="000000" w:themeColor="text1"/>
          <w:sz w:val="24"/>
          <w:szCs w:val="24"/>
        </w:rPr>
        <w:t xml:space="preserve">in 2011 to </w:t>
      </w:r>
      <w:r w:rsidR="005A620E" w:rsidRPr="002051F9">
        <w:rPr>
          <w:color w:val="000000" w:themeColor="text1"/>
          <w:sz w:val="24"/>
          <w:szCs w:val="24"/>
        </w:rPr>
        <w:t xml:space="preserve">JD </w:t>
      </w:r>
      <w:r w:rsidR="006F79CE" w:rsidRPr="002051F9">
        <w:rPr>
          <w:color w:val="000000" w:themeColor="text1"/>
          <w:sz w:val="24"/>
          <w:szCs w:val="24"/>
        </w:rPr>
        <w:t xml:space="preserve">220 in 2017, </w:t>
      </w:r>
      <w:r w:rsidR="00E40B2B" w:rsidRPr="002051F9">
        <w:rPr>
          <w:color w:val="000000" w:themeColor="text1"/>
          <w:sz w:val="24"/>
          <w:szCs w:val="24"/>
        </w:rPr>
        <w:t xml:space="preserve">reflecting </w:t>
      </w:r>
      <w:r w:rsidR="006F79CE" w:rsidRPr="002051F9">
        <w:rPr>
          <w:color w:val="000000" w:themeColor="text1"/>
          <w:sz w:val="24"/>
          <w:szCs w:val="24"/>
        </w:rPr>
        <w:t>an increase of 17.0%. While in Gaza Strip</w:t>
      </w:r>
      <w:r w:rsidR="005A620E" w:rsidRPr="002051F9">
        <w:rPr>
          <w:color w:val="000000" w:themeColor="text1"/>
          <w:sz w:val="24"/>
          <w:szCs w:val="24"/>
        </w:rPr>
        <w:t>,</w:t>
      </w:r>
      <w:r w:rsidR="006F79CE" w:rsidRPr="002051F9">
        <w:rPr>
          <w:color w:val="000000" w:themeColor="text1"/>
          <w:sz w:val="24"/>
          <w:szCs w:val="24"/>
        </w:rPr>
        <w:t xml:space="preserve"> it fell from </w:t>
      </w:r>
      <w:r w:rsidR="005A620E" w:rsidRPr="002051F9">
        <w:rPr>
          <w:color w:val="000000" w:themeColor="text1"/>
          <w:sz w:val="24"/>
          <w:szCs w:val="24"/>
        </w:rPr>
        <w:t xml:space="preserve">JD </w:t>
      </w:r>
      <w:r w:rsidR="006F79CE" w:rsidRPr="002051F9">
        <w:rPr>
          <w:color w:val="000000" w:themeColor="text1"/>
          <w:sz w:val="24"/>
          <w:szCs w:val="24"/>
        </w:rPr>
        <w:t xml:space="preserve">110 in 2011 to </w:t>
      </w:r>
      <w:r w:rsidR="005A620E" w:rsidRPr="002051F9">
        <w:rPr>
          <w:color w:val="000000" w:themeColor="text1"/>
          <w:sz w:val="24"/>
          <w:szCs w:val="24"/>
        </w:rPr>
        <w:t xml:space="preserve">JD </w:t>
      </w:r>
      <w:r w:rsidR="006F79CE" w:rsidRPr="002051F9">
        <w:rPr>
          <w:color w:val="000000" w:themeColor="text1"/>
          <w:sz w:val="24"/>
          <w:szCs w:val="24"/>
        </w:rPr>
        <w:t xml:space="preserve">91 in 2017, </w:t>
      </w:r>
      <w:r w:rsidR="004961DB" w:rsidRPr="002051F9">
        <w:rPr>
          <w:color w:val="000000" w:themeColor="text1"/>
          <w:sz w:val="24"/>
          <w:szCs w:val="24"/>
        </w:rPr>
        <w:t>reflecting a</w:t>
      </w:r>
      <w:r w:rsidR="006F79CE" w:rsidRPr="002051F9">
        <w:rPr>
          <w:color w:val="000000" w:themeColor="text1"/>
          <w:sz w:val="24"/>
          <w:szCs w:val="24"/>
        </w:rPr>
        <w:t xml:space="preserve"> decline of 17</w:t>
      </w:r>
      <w:bookmarkStart w:id="1" w:name="_GoBack"/>
      <w:bookmarkEnd w:id="1"/>
      <w:r w:rsidR="006F79CE" w:rsidRPr="002051F9">
        <w:rPr>
          <w:color w:val="000000" w:themeColor="text1"/>
          <w:sz w:val="24"/>
          <w:szCs w:val="24"/>
        </w:rPr>
        <w:t>%. A</w:t>
      </w:r>
      <w:r w:rsidR="00E40B2B" w:rsidRPr="002051F9">
        <w:rPr>
          <w:color w:val="000000" w:themeColor="text1"/>
          <w:sz w:val="24"/>
          <w:szCs w:val="24"/>
        </w:rPr>
        <w:t>s for</w:t>
      </w:r>
      <w:r w:rsidR="006F79CE" w:rsidRPr="002051F9">
        <w:rPr>
          <w:color w:val="000000" w:themeColor="text1"/>
          <w:sz w:val="24"/>
          <w:szCs w:val="24"/>
        </w:rPr>
        <w:t xml:space="preserve"> the level of the </w:t>
      </w:r>
      <w:r w:rsidR="00ED4E7C" w:rsidRPr="002051F9">
        <w:rPr>
          <w:color w:val="000000" w:themeColor="text1"/>
          <w:sz w:val="24"/>
          <w:szCs w:val="24"/>
        </w:rPr>
        <w:t xml:space="preserve">locality </w:t>
      </w:r>
      <w:r w:rsidR="006F79CE" w:rsidRPr="002051F9">
        <w:rPr>
          <w:color w:val="000000" w:themeColor="text1"/>
          <w:sz w:val="24"/>
          <w:szCs w:val="24"/>
        </w:rPr>
        <w:t xml:space="preserve">type, </w:t>
      </w:r>
      <w:r w:rsidR="00E40B2B" w:rsidRPr="002051F9">
        <w:rPr>
          <w:color w:val="000000" w:themeColor="text1"/>
          <w:sz w:val="24"/>
          <w:szCs w:val="24"/>
        </w:rPr>
        <w:t xml:space="preserve">the </w:t>
      </w:r>
      <w:r w:rsidR="006F79CE" w:rsidRPr="002051F9">
        <w:rPr>
          <w:color w:val="000000" w:themeColor="text1"/>
          <w:sz w:val="24"/>
          <w:szCs w:val="24"/>
        </w:rPr>
        <w:t xml:space="preserve">average per capita monthly expenditure was </w:t>
      </w:r>
      <w:r w:rsidR="005A620E" w:rsidRPr="002051F9">
        <w:rPr>
          <w:color w:val="000000" w:themeColor="text1"/>
          <w:sz w:val="24"/>
          <w:szCs w:val="24"/>
        </w:rPr>
        <w:t xml:space="preserve">JD </w:t>
      </w:r>
      <w:r w:rsidR="006F79CE" w:rsidRPr="002051F9">
        <w:rPr>
          <w:color w:val="000000" w:themeColor="text1"/>
          <w:sz w:val="24"/>
          <w:szCs w:val="24"/>
        </w:rPr>
        <w:t xml:space="preserve">170 in urban </w:t>
      </w:r>
      <w:r w:rsidR="003E32D9" w:rsidRPr="002051F9">
        <w:rPr>
          <w:color w:val="000000" w:themeColor="text1"/>
          <w:sz w:val="24"/>
          <w:szCs w:val="24"/>
        </w:rPr>
        <w:t xml:space="preserve">localities </w:t>
      </w:r>
      <w:r w:rsidR="006F79CE" w:rsidRPr="002051F9">
        <w:rPr>
          <w:color w:val="000000" w:themeColor="text1"/>
          <w:sz w:val="24"/>
          <w:szCs w:val="24"/>
        </w:rPr>
        <w:t xml:space="preserve">compared to </w:t>
      </w:r>
      <w:r w:rsidR="005A620E" w:rsidRPr="002051F9">
        <w:rPr>
          <w:color w:val="000000" w:themeColor="text1"/>
          <w:sz w:val="24"/>
          <w:szCs w:val="24"/>
        </w:rPr>
        <w:t xml:space="preserve">JD </w:t>
      </w:r>
      <w:r w:rsidR="006F79CE" w:rsidRPr="002051F9">
        <w:rPr>
          <w:color w:val="000000" w:themeColor="text1"/>
          <w:sz w:val="24"/>
          <w:szCs w:val="24"/>
        </w:rPr>
        <w:t xml:space="preserve">196 in rural </w:t>
      </w:r>
      <w:r w:rsidR="003E32D9" w:rsidRPr="002051F9">
        <w:rPr>
          <w:color w:val="000000" w:themeColor="text1"/>
          <w:sz w:val="24"/>
          <w:szCs w:val="24"/>
        </w:rPr>
        <w:t xml:space="preserve">localities </w:t>
      </w:r>
      <w:r w:rsidR="006F79CE" w:rsidRPr="002051F9">
        <w:rPr>
          <w:color w:val="000000" w:themeColor="text1"/>
          <w:sz w:val="24"/>
          <w:szCs w:val="24"/>
        </w:rPr>
        <w:t xml:space="preserve">and </w:t>
      </w:r>
      <w:r w:rsidR="005A620E" w:rsidRPr="002051F9">
        <w:rPr>
          <w:color w:val="000000" w:themeColor="text1"/>
          <w:sz w:val="24"/>
          <w:szCs w:val="24"/>
        </w:rPr>
        <w:t xml:space="preserve">JD </w:t>
      </w:r>
      <w:r w:rsidR="006F79CE" w:rsidRPr="002051F9">
        <w:rPr>
          <w:color w:val="000000" w:themeColor="text1"/>
          <w:sz w:val="24"/>
          <w:szCs w:val="24"/>
        </w:rPr>
        <w:t>122 in camps in 2017.</w:t>
      </w:r>
    </w:p>
    <w:p w:rsidR="00003FFC" w:rsidRDefault="00003FFC" w:rsidP="003B783D">
      <w:pPr>
        <w:pStyle w:val="BodyText2"/>
        <w:jc w:val="both"/>
        <w:rPr>
          <w:color w:val="000000" w:themeColor="text1"/>
          <w:sz w:val="24"/>
          <w:szCs w:val="24"/>
        </w:rPr>
      </w:pPr>
    </w:p>
    <w:p w:rsidR="00003FFC" w:rsidRDefault="00003FFC" w:rsidP="003B783D">
      <w:pPr>
        <w:pStyle w:val="BodyText2"/>
        <w:jc w:val="both"/>
        <w:rPr>
          <w:color w:val="000000" w:themeColor="text1"/>
          <w:sz w:val="24"/>
          <w:szCs w:val="24"/>
        </w:rPr>
      </w:pPr>
    </w:p>
    <w:p w:rsidR="006F79CE" w:rsidRPr="00003FFC" w:rsidRDefault="006F79CE" w:rsidP="006F79CE">
      <w:pPr>
        <w:bidi w:val="0"/>
        <w:rPr>
          <w:b/>
          <w:bCs/>
          <w:color w:val="000000" w:themeColor="text1"/>
          <w:sz w:val="16"/>
          <w:szCs w:val="16"/>
        </w:rPr>
      </w:pPr>
    </w:p>
    <w:p w:rsidR="00ED4E7C" w:rsidRPr="00003FFC" w:rsidRDefault="00ED4E7C" w:rsidP="00ED4E7C">
      <w:pPr>
        <w:bidi w:val="0"/>
        <w:rPr>
          <w:b/>
          <w:bCs/>
          <w:color w:val="000000" w:themeColor="text1"/>
          <w:sz w:val="26"/>
          <w:szCs w:val="26"/>
          <w:lang w:eastAsia="ar-SA"/>
        </w:rPr>
      </w:pPr>
      <w:r w:rsidRPr="00003FFC">
        <w:rPr>
          <w:b/>
          <w:bCs/>
          <w:color w:val="000000" w:themeColor="text1"/>
          <w:sz w:val="26"/>
          <w:szCs w:val="26"/>
          <w:lang w:eastAsia="ar-SA"/>
        </w:rPr>
        <w:t>29% of Individuals in Palestine Suffered from Poverty in 2017</w:t>
      </w:r>
    </w:p>
    <w:p w:rsidR="00296AB5" w:rsidRPr="002051F9" w:rsidRDefault="00296AB5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relative poverty line and the deep poverty line according to consumption patterns</w:t>
      </w:r>
      <w:r w:rsidR="003B783D">
        <w:rPr>
          <w:color w:val="000000" w:themeColor="text1"/>
          <w:sz w:val="24"/>
          <w:szCs w:val="24"/>
        </w:rPr>
        <w:t xml:space="preserve"> in 2017</w:t>
      </w:r>
      <w:r w:rsidRPr="002051F9">
        <w:rPr>
          <w:color w:val="000000" w:themeColor="text1"/>
          <w:sz w:val="24"/>
          <w:szCs w:val="24"/>
        </w:rPr>
        <w:t xml:space="preserve"> (for reference household consisted of 2 adults and 3 children) were </w:t>
      </w:r>
      <w:r w:rsidR="005A620E" w:rsidRPr="002051F9">
        <w:rPr>
          <w:color w:val="000000" w:themeColor="text1"/>
          <w:sz w:val="24"/>
          <w:szCs w:val="24"/>
        </w:rPr>
        <w:t xml:space="preserve">NIS </w:t>
      </w:r>
      <w:r w:rsidRPr="002051F9">
        <w:rPr>
          <w:color w:val="000000" w:themeColor="text1"/>
          <w:sz w:val="24"/>
          <w:szCs w:val="24"/>
        </w:rPr>
        <w:t>2,470 (US</w:t>
      </w:r>
      <w:r w:rsidR="003D24F6" w:rsidRPr="002051F9">
        <w:rPr>
          <w:color w:val="000000" w:themeColor="text1"/>
          <w:sz w:val="24"/>
          <w:szCs w:val="24"/>
        </w:rPr>
        <w:t xml:space="preserve">D </w:t>
      </w:r>
      <w:r w:rsidRPr="002051F9">
        <w:rPr>
          <w:color w:val="000000" w:themeColor="text1"/>
          <w:sz w:val="24"/>
          <w:szCs w:val="24"/>
        </w:rPr>
        <w:t xml:space="preserve">671), and </w:t>
      </w:r>
      <w:r w:rsidR="005A620E" w:rsidRPr="002051F9">
        <w:rPr>
          <w:color w:val="000000" w:themeColor="text1"/>
          <w:sz w:val="24"/>
          <w:szCs w:val="24"/>
        </w:rPr>
        <w:t xml:space="preserve">NIS </w:t>
      </w:r>
      <w:r w:rsidRPr="002051F9">
        <w:rPr>
          <w:color w:val="000000" w:themeColor="text1"/>
          <w:sz w:val="24"/>
          <w:szCs w:val="24"/>
        </w:rPr>
        <w:t>1,974 (US</w:t>
      </w:r>
      <w:r w:rsidR="003D24F6" w:rsidRPr="002051F9">
        <w:rPr>
          <w:color w:val="000000" w:themeColor="text1"/>
          <w:sz w:val="24"/>
          <w:szCs w:val="24"/>
        </w:rPr>
        <w:t xml:space="preserve">D </w:t>
      </w:r>
      <w:r w:rsidRPr="002051F9">
        <w:rPr>
          <w:color w:val="000000" w:themeColor="text1"/>
          <w:sz w:val="24"/>
          <w:szCs w:val="24"/>
        </w:rPr>
        <w:t>536)</w:t>
      </w:r>
      <w:r w:rsidR="005A620E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respectively. The poverty </w:t>
      </w:r>
      <w:r w:rsidR="00ED4E7C" w:rsidRPr="002051F9">
        <w:rPr>
          <w:color w:val="000000" w:themeColor="text1"/>
          <w:sz w:val="24"/>
          <w:szCs w:val="24"/>
        </w:rPr>
        <w:t>percentage</w:t>
      </w:r>
      <w:r w:rsidRPr="002051F9">
        <w:rPr>
          <w:color w:val="000000" w:themeColor="text1"/>
          <w:sz w:val="24"/>
          <w:szCs w:val="24"/>
        </w:rPr>
        <w:t xml:space="preserve"> among Palestinian </w:t>
      </w:r>
      <w:r w:rsidR="00ED4E7C" w:rsidRPr="002051F9">
        <w:rPr>
          <w:color w:val="000000" w:themeColor="text1"/>
          <w:sz w:val="24"/>
          <w:szCs w:val="24"/>
        </w:rPr>
        <w:t>individuals</w:t>
      </w:r>
      <w:r w:rsidR="00AC72B8" w:rsidRPr="002051F9">
        <w:rPr>
          <w:color w:val="000000" w:themeColor="text1"/>
          <w:sz w:val="24"/>
          <w:szCs w:val="24"/>
        </w:rPr>
        <w:t xml:space="preserve"> according to consumption patterns </w:t>
      </w:r>
      <w:r w:rsidRPr="002051F9">
        <w:rPr>
          <w:color w:val="000000" w:themeColor="text1"/>
          <w:sz w:val="24"/>
          <w:szCs w:val="24"/>
        </w:rPr>
        <w:t xml:space="preserve">was </w:t>
      </w:r>
      <w:r w:rsidR="00A87107" w:rsidRPr="002051F9">
        <w:rPr>
          <w:color w:val="000000" w:themeColor="text1"/>
          <w:sz w:val="24"/>
          <w:szCs w:val="24"/>
        </w:rPr>
        <w:t>29</w:t>
      </w:r>
      <w:r w:rsidRPr="002051F9">
        <w:rPr>
          <w:color w:val="000000" w:themeColor="text1"/>
          <w:sz w:val="24"/>
          <w:szCs w:val="24"/>
        </w:rPr>
        <w:t>% (</w:t>
      </w:r>
      <w:r w:rsidR="00A87107" w:rsidRPr="002051F9">
        <w:rPr>
          <w:color w:val="000000" w:themeColor="text1"/>
          <w:sz w:val="24"/>
          <w:szCs w:val="24"/>
        </w:rPr>
        <w:t>14</w:t>
      </w:r>
      <w:r w:rsidRPr="002051F9">
        <w:rPr>
          <w:color w:val="000000" w:themeColor="text1"/>
          <w:sz w:val="24"/>
          <w:szCs w:val="24"/>
        </w:rPr>
        <w:t>% in the West B</w:t>
      </w:r>
      <w:r w:rsidR="000E7A7D" w:rsidRPr="002051F9">
        <w:rPr>
          <w:color w:val="000000" w:themeColor="text1"/>
          <w:sz w:val="24"/>
          <w:szCs w:val="24"/>
        </w:rPr>
        <w:t>ank and 53% in Gaza Strip)</w:t>
      </w:r>
      <w:r w:rsidRPr="002051F9">
        <w:rPr>
          <w:color w:val="000000" w:themeColor="text1"/>
          <w:sz w:val="24"/>
          <w:szCs w:val="24"/>
        </w:rPr>
        <w:t xml:space="preserve">.  Data </w:t>
      </w:r>
      <w:r w:rsidR="003B783D">
        <w:rPr>
          <w:color w:val="000000" w:themeColor="text1"/>
          <w:sz w:val="24"/>
          <w:szCs w:val="24"/>
        </w:rPr>
        <w:t>showed</w:t>
      </w:r>
      <w:r w:rsidRPr="002051F9">
        <w:rPr>
          <w:color w:val="000000" w:themeColor="text1"/>
          <w:sz w:val="24"/>
          <w:szCs w:val="24"/>
        </w:rPr>
        <w:t xml:space="preserve"> that</w:t>
      </w:r>
      <w:r w:rsidR="003B783D">
        <w:rPr>
          <w:color w:val="000000" w:themeColor="text1"/>
          <w:sz w:val="24"/>
          <w:szCs w:val="24"/>
        </w:rPr>
        <w:t xml:space="preserve"> about</w:t>
      </w:r>
      <w:r w:rsidRPr="002051F9">
        <w:rPr>
          <w:color w:val="000000" w:themeColor="text1"/>
          <w:sz w:val="24"/>
          <w:szCs w:val="24"/>
        </w:rPr>
        <w:t xml:space="preserve"> </w:t>
      </w:r>
      <w:r w:rsidR="00A87107" w:rsidRPr="002051F9">
        <w:rPr>
          <w:color w:val="000000" w:themeColor="text1"/>
          <w:sz w:val="24"/>
          <w:szCs w:val="24"/>
        </w:rPr>
        <w:t>17</w:t>
      </w:r>
      <w:r w:rsidRPr="002051F9">
        <w:rPr>
          <w:color w:val="000000" w:themeColor="text1"/>
          <w:sz w:val="24"/>
          <w:szCs w:val="24"/>
        </w:rPr>
        <w:t xml:space="preserve">% of the </w:t>
      </w:r>
      <w:r w:rsidR="00ED4E7C" w:rsidRPr="002051F9">
        <w:rPr>
          <w:color w:val="000000" w:themeColor="text1"/>
          <w:sz w:val="24"/>
          <w:szCs w:val="24"/>
        </w:rPr>
        <w:t xml:space="preserve">individuals </w:t>
      </w:r>
      <w:r w:rsidR="004060E9" w:rsidRPr="002051F9">
        <w:rPr>
          <w:color w:val="000000" w:themeColor="text1"/>
          <w:sz w:val="24"/>
          <w:szCs w:val="24"/>
        </w:rPr>
        <w:t xml:space="preserve">in Palestine </w:t>
      </w:r>
      <w:r w:rsidR="003E32D9" w:rsidRPr="002051F9">
        <w:rPr>
          <w:color w:val="000000" w:themeColor="text1"/>
          <w:sz w:val="24"/>
          <w:szCs w:val="24"/>
        </w:rPr>
        <w:t xml:space="preserve">suffered </w:t>
      </w:r>
      <w:r w:rsidRPr="002051F9">
        <w:rPr>
          <w:color w:val="000000" w:themeColor="text1"/>
          <w:sz w:val="24"/>
          <w:szCs w:val="24"/>
        </w:rPr>
        <w:t xml:space="preserve">from deep poverty in </w:t>
      </w:r>
      <w:r w:rsidR="004060E9" w:rsidRPr="002051F9">
        <w:rPr>
          <w:color w:val="000000" w:themeColor="text1"/>
          <w:sz w:val="24"/>
          <w:szCs w:val="24"/>
        </w:rPr>
        <w:t>2017</w:t>
      </w:r>
      <w:r w:rsidR="003E32D9" w:rsidRPr="002051F9">
        <w:rPr>
          <w:color w:val="000000" w:themeColor="text1"/>
          <w:sz w:val="24"/>
          <w:szCs w:val="24"/>
        </w:rPr>
        <w:t>,</w:t>
      </w:r>
      <w:r w:rsidRPr="002051F9">
        <w:rPr>
          <w:color w:val="000000" w:themeColor="text1"/>
          <w:sz w:val="24"/>
          <w:szCs w:val="24"/>
        </w:rPr>
        <w:t xml:space="preserve"> according to consumption patterns (</w:t>
      </w:r>
      <w:r w:rsidR="00A87107" w:rsidRPr="002051F9">
        <w:rPr>
          <w:color w:val="000000" w:themeColor="text1"/>
          <w:sz w:val="24"/>
          <w:szCs w:val="24"/>
        </w:rPr>
        <w:t>6</w:t>
      </w:r>
      <w:r w:rsidRPr="002051F9">
        <w:rPr>
          <w:color w:val="000000" w:themeColor="text1"/>
          <w:sz w:val="24"/>
          <w:szCs w:val="24"/>
        </w:rPr>
        <w:t>% in the West Bank</w:t>
      </w:r>
      <w:r w:rsidR="005A620E" w:rsidRPr="002051F9">
        <w:rPr>
          <w:color w:val="000000" w:themeColor="text1"/>
          <w:sz w:val="24"/>
          <w:szCs w:val="24"/>
        </w:rPr>
        <w:t xml:space="preserve"> </w:t>
      </w:r>
      <w:r w:rsidRPr="002051F9">
        <w:rPr>
          <w:color w:val="000000" w:themeColor="text1"/>
          <w:sz w:val="24"/>
          <w:szCs w:val="24"/>
        </w:rPr>
        <w:t xml:space="preserve">and </w:t>
      </w:r>
      <w:r w:rsidR="00A87107" w:rsidRPr="002051F9">
        <w:rPr>
          <w:color w:val="000000" w:themeColor="text1"/>
          <w:sz w:val="24"/>
          <w:szCs w:val="24"/>
        </w:rPr>
        <w:t>34</w:t>
      </w:r>
      <w:r w:rsidRPr="002051F9">
        <w:rPr>
          <w:color w:val="000000" w:themeColor="text1"/>
          <w:sz w:val="24"/>
          <w:szCs w:val="24"/>
        </w:rPr>
        <w:t>% in Gaza Strip)</w:t>
      </w:r>
      <w:r w:rsidR="000E7A7D" w:rsidRPr="002051F9">
        <w:rPr>
          <w:color w:val="000000" w:themeColor="text1"/>
          <w:sz w:val="24"/>
          <w:szCs w:val="24"/>
        </w:rPr>
        <w:t>.</w:t>
      </w:r>
    </w:p>
    <w:p w:rsidR="00735F7F" w:rsidRPr="00003FFC" w:rsidRDefault="00296AB5" w:rsidP="00210098">
      <w:pPr>
        <w:bidi w:val="0"/>
        <w:jc w:val="both"/>
        <w:rPr>
          <w:b/>
          <w:bCs/>
          <w:color w:val="000000" w:themeColor="text1"/>
          <w:sz w:val="26"/>
          <w:szCs w:val="26"/>
          <w:lang w:eastAsia="ar-SA"/>
        </w:rPr>
      </w:pPr>
      <w:r w:rsidRPr="00003FFC">
        <w:rPr>
          <w:color w:val="000000" w:themeColor="text1"/>
          <w:sz w:val="16"/>
          <w:szCs w:val="16"/>
        </w:rPr>
        <w:br/>
      </w:r>
      <w:r w:rsidR="00735F7F"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97% of Palestinian Households Have </w:t>
      </w:r>
      <w:r w:rsidR="003B783D" w:rsidRPr="00003FFC">
        <w:rPr>
          <w:b/>
          <w:bCs/>
          <w:color w:val="000000" w:themeColor="text1"/>
          <w:sz w:val="26"/>
          <w:szCs w:val="26"/>
          <w:lang w:eastAsia="ar-SA"/>
        </w:rPr>
        <w:t>at</w:t>
      </w:r>
      <w:r w:rsidR="00735F7F" w:rsidRPr="00003FFC">
        <w:rPr>
          <w:b/>
          <w:bCs/>
          <w:color w:val="000000" w:themeColor="text1"/>
          <w:sz w:val="26"/>
          <w:szCs w:val="26"/>
          <w:lang w:eastAsia="ar-SA"/>
        </w:rPr>
        <w:t xml:space="preserve"> Least One Mobile Phone, With a Wide Use of Smartphones</w:t>
      </w:r>
    </w:p>
    <w:p w:rsidR="00735F7F" w:rsidRPr="002051F9" w:rsidRDefault="00735F7F" w:rsidP="002051F9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 xml:space="preserve">The data of the Household Survey on Information and Communications Technology, 2019 showed that 97% of the households in Palestine have one or more cellular mobile lines (97% in both the West Bank and Gaza Strip). The results also showed that the percentage of households that own one Smart phone or more was 86% in Palestine (91% in the West Bank and 78% in Gaza Strip). </w:t>
      </w:r>
    </w:p>
    <w:p w:rsidR="00735F7F" w:rsidRPr="00003FFC" w:rsidRDefault="00735F7F" w:rsidP="002051F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735F7F" w:rsidRPr="002051F9" w:rsidRDefault="00735F7F" w:rsidP="00137133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 xml:space="preserve">Also, the results of the survey showed that the percentage of individuals (10 years and above) who own a cellular mobile was 75% in Palestine (82% in the West Bank and 64% in Gaza Strip); 79% for females and 71% for males.  </w:t>
      </w:r>
    </w:p>
    <w:p w:rsidR="00735F7F" w:rsidRPr="00003FFC" w:rsidRDefault="00735F7F" w:rsidP="00735F7F">
      <w:pPr>
        <w:bidi w:val="0"/>
        <w:jc w:val="both"/>
        <w:rPr>
          <w:color w:val="000000" w:themeColor="text1"/>
          <w:sz w:val="16"/>
          <w:szCs w:val="16"/>
          <w:lang w:eastAsia="ar-SA"/>
        </w:rPr>
      </w:pPr>
    </w:p>
    <w:p w:rsidR="00735F7F" w:rsidRPr="00003FFC" w:rsidRDefault="00735F7F" w:rsidP="00735F7F">
      <w:pPr>
        <w:bidi w:val="0"/>
        <w:jc w:val="both"/>
        <w:rPr>
          <w:b/>
          <w:bCs/>
          <w:color w:val="000000" w:themeColor="text1"/>
          <w:sz w:val="26"/>
          <w:szCs w:val="26"/>
          <w:lang w:eastAsia="ar-SA"/>
        </w:rPr>
      </w:pPr>
      <w:r w:rsidRPr="00003FFC">
        <w:rPr>
          <w:b/>
          <w:bCs/>
          <w:color w:val="000000" w:themeColor="text1"/>
          <w:sz w:val="26"/>
          <w:szCs w:val="26"/>
          <w:lang w:eastAsia="ar-SA"/>
        </w:rPr>
        <w:t>About 80% of Palestinian Households Have Access to Internet at Home</w:t>
      </w:r>
    </w:p>
    <w:p w:rsidR="00735F7F" w:rsidRPr="002051F9" w:rsidRDefault="00735F7F" w:rsidP="003B783D">
      <w:pPr>
        <w:pStyle w:val="BodyText2"/>
        <w:jc w:val="both"/>
        <w:rPr>
          <w:color w:val="000000" w:themeColor="text1"/>
          <w:sz w:val="24"/>
          <w:szCs w:val="24"/>
        </w:rPr>
      </w:pPr>
      <w:r w:rsidRPr="002051F9">
        <w:rPr>
          <w:color w:val="000000" w:themeColor="text1"/>
          <w:sz w:val="24"/>
          <w:szCs w:val="24"/>
        </w:rPr>
        <w:t>The results of the Household Survey on Information and Communications Technology, 2019 showed that 80</w:t>
      </w:r>
      <w:r w:rsidR="005A620E" w:rsidRPr="002051F9">
        <w:rPr>
          <w:color w:val="000000" w:themeColor="text1"/>
          <w:sz w:val="24"/>
          <w:szCs w:val="24"/>
        </w:rPr>
        <w:t>%</w:t>
      </w:r>
      <w:r w:rsidRPr="002051F9">
        <w:rPr>
          <w:color w:val="000000" w:themeColor="text1"/>
          <w:sz w:val="24"/>
          <w:szCs w:val="24"/>
        </w:rPr>
        <w:t xml:space="preserve"> of the households in Palestine have internet access at home (84% in the West Bank and 73% in Gaza Strip).  While the percentage of individuals aged (10 years and above) who used the internet from anywhere </w:t>
      </w:r>
      <w:r w:rsidR="003B783D" w:rsidRPr="002051F9">
        <w:rPr>
          <w:color w:val="000000" w:themeColor="text1"/>
          <w:sz w:val="24"/>
          <w:szCs w:val="24"/>
        </w:rPr>
        <w:t xml:space="preserve">in Palestine </w:t>
      </w:r>
      <w:r w:rsidRPr="002051F9">
        <w:rPr>
          <w:color w:val="000000" w:themeColor="text1"/>
          <w:sz w:val="24"/>
          <w:szCs w:val="24"/>
        </w:rPr>
        <w:t xml:space="preserve">reached 71% (74% in the West Bank and 65% in Gaza Strip).  </w:t>
      </w:r>
      <w:r w:rsidR="005A620E" w:rsidRPr="002051F9">
        <w:rPr>
          <w:color w:val="000000" w:themeColor="text1"/>
          <w:sz w:val="24"/>
          <w:szCs w:val="24"/>
        </w:rPr>
        <w:t xml:space="preserve">Data also </w:t>
      </w:r>
      <w:r w:rsidRPr="002051F9">
        <w:rPr>
          <w:color w:val="000000" w:themeColor="text1"/>
          <w:sz w:val="24"/>
          <w:szCs w:val="24"/>
        </w:rPr>
        <w:t>showed that the percentage of male</w:t>
      </w:r>
      <w:r w:rsidR="005A620E" w:rsidRPr="002051F9">
        <w:rPr>
          <w:color w:val="000000" w:themeColor="text1"/>
          <w:sz w:val="24"/>
          <w:szCs w:val="24"/>
        </w:rPr>
        <w:t>s who</w:t>
      </w:r>
      <w:r w:rsidRPr="002051F9">
        <w:rPr>
          <w:color w:val="000000" w:themeColor="text1"/>
          <w:sz w:val="24"/>
          <w:szCs w:val="24"/>
        </w:rPr>
        <w:t xml:space="preserve"> used internet reached 72% compared to 69% for females.</w:t>
      </w:r>
    </w:p>
    <w:p w:rsidR="00F65EC6" w:rsidRPr="00003FFC" w:rsidRDefault="00F65EC6" w:rsidP="002051F9">
      <w:pPr>
        <w:pStyle w:val="BodyText2"/>
        <w:jc w:val="both"/>
        <w:rPr>
          <w:color w:val="000000" w:themeColor="text1"/>
          <w:sz w:val="16"/>
          <w:szCs w:val="16"/>
        </w:rPr>
      </w:pPr>
    </w:p>
    <w:p w:rsidR="00F65EC6" w:rsidRPr="000063A3" w:rsidRDefault="00FA2D64" w:rsidP="00F65EC6">
      <w:pPr>
        <w:bidi w:val="0"/>
        <w:jc w:val="both"/>
        <w:rPr>
          <w:rFonts w:asciiTheme="majorBidi" w:hAnsiTheme="majorBidi" w:cstheme="majorBidi"/>
          <w:color w:val="000000" w:themeColor="text1"/>
          <w:lang w:eastAsia="ar-SA"/>
        </w:rPr>
      </w:pPr>
      <w:r>
        <w:rPr>
          <w:rFonts w:asciiTheme="majorBidi" w:hAnsiTheme="majorBidi" w:cstheme="majorBidi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4.55pt;margin-top:7.05pt;width:382.85pt;height: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"/>
        </w:pict>
      </w:r>
    </w:p>
    <w:p w:rsidR="00F65EC6" w:rsidRDefault="00F65EC6" w:rsidP="00F65EC6">
      <w:pPr>
        <w:pStyle w:val="FootnoteText"/>
        <w:bidi w:val="0"/>
        <w:rPr>
          <w:sz w:val="22"/>
          <w:szCs w:val="22"/>
        </w:rPr>
      </w:pPr>
      <w:r w:rsidRPr="00B64BAA">
        <w:rPr>
          <w:b/>
          <w:bCs/>
          <w:sz w:val="22"/>
          <w:szCs w:val="22"/>
        </w:rPr>
        <w:t>*</w:t>
      </w:r>
      <w:r w:rsidRPr="00B64BAA">
        <w:rPr>
          <w:sz w:val="22"/>
          <w:szCs w:val="22"/>
        </w:rPr>
        <w:t xml:space="preserve"> Data excluded those parts of Jerusalem which were annexed by Israeli occupation in 1967.</w:t>
      </w:r>
    </w:p>
    <w:p w:rsidR="00003FFC" w:rsidRDefault="00003FFC" w:rsidP="00003FFC">
      <w:pPr>
        <w:pStyle w:val="FootnoteText"/>
        <w:bidi w:val="0"/>
        <w:rPr>
          <w:sz w:val="22"/>
          <w:szCs w:val="22"/>
        </w:rPr>
      </w:pPr>
    </w:p>
    <w:p w:rsidR="00003FFC" w:rsidRDefault="00003FFC" w:rsidP="00003FFC">
      <w:pPr>
        <w:pStyle w:val="FootnoteText"/>
        <w:bidi w:val="0"/>
        <w:rPr>
          <w:sz w:val="22"/>
          <w:szCs w:val="22"/>
        </w:rPr>
      </w:pPr>
    </w:p>
    <w:p w:rsidR="00003FFC" w:rsidRDefault="00003FFC" w:rsidP="00003FFC">
      <w:pPr>
        <w:pStyle w:val="FootnoteText"/>
        <w:bidi w:val="0"/>
        <w:rPr>
          <w:sz w:val="22"/>
          <w:szCs w:val="22"/>
        </w:rPr>
      </w:pPr>
    </w:p>
    <w:p w:rsidR="00003FFC" w:rsidRPr="00B64BAA" w:rsidRDefault="00003FFC" w:rsidP="00003FFC">
      <w:pPr>
        <w:pStyle w:val="FootnoteText"/>
        <w:bidi w:val="0"/>
        <w:rPr>
          <w:sz w:val="22"/>
          <w:szCs w:val="22"/>
        </w:rPr>
      </w:pPr>
    </w:p>
    <w:p w:rsidR="00735F7F" w:rsidRPr="000063A3" w:rsidRDefault="00735F7F" w:rsidP="00735F7F">
      <w:pPr>
        <w:bidi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rtl/>
        </w:rPr>
      </w:pPr>
    </w:p>
    <w:p w:rsidR="00D3264A" w:rsidRPr="004155EB" w:rsidRDefault="00D3264A" w:rsidP="00D3264A">
      <w:pPr>
        <w:pStyle w:val="FootnoteText"/>
        <w:bidi w:val="0"/>
        <w:rPr>
          <w:sz w:val="6"/>
          <w:szCs w:val="6"/>
        </w:rPr>
      </w:pPr>
    </w:p>
    <w:p w:rsidR="0089334E" w:rsidRDefault="0089334E" w:rsidP="00ED3D2B">
      <w:pPr>
        <w:pStyle w:val="FootnoteText"/>
        <w:bidi w:val="0"/>
        <w:rPr>
          <w:sz w:val="22"/>
          <w:szCs w:val="22"/>
        </w:rPr>
      </w:pPr>
    </w:p>
    <w:sectPr w:rsidR="0089334E" w:rsidSect="00003FFC">
      <w:footerReference w:type="even" r:id="rId13"/>
      <w:footerReference w:type="default" r:id="rId14"/>
      <w:pgSz w:w="11906" w:h="16838"/>
      <w:pgMar w:top="720" w:right="720" w:bottom="720" w:left="720" w:header="720" w:footer="36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8E" w:rsidRDefault="00FC258E">
      <w:r>
        <w:separator/>
      </w:r>
    </w:p>
  </w:endnote>
  <w:endnote w:type="continuationSeparator" w:id="0">
    <w:p w:rsidR="00FC258E" w:rsidRDefault="00FC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1B" w:rsidRDefault="00FA2D6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F581B" w:rsidRDefault="005F581B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1B" w:rsidRDefault="00FA2D6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03FF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5F581B" w:rsidRDefault="005F581B">
    <w:pPr>
      <w:pStyle w:val="Footer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8E" w:rsidRDefault="00FC258E">
      <w:r>
        <w:separator/>
      </w:r>
    </w:p>
  </w:footnote>
  <w:footnote w:type="continuationSeparator" w:id="0">
    <w:p w:rsidR="00FC258E" w:rsidRDefault="00FC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0F1E"/>
    <w:multiLevelType w:val="hybridMultilevel"/>
    <w:tmpl w:val="3F18063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F7600CC"/>
    <w:multiLevelType w:val="hybridMultilevel"/>
    <w:tmpl w:val="9DAC4EE8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33CE1B89"/>
    <w:multiLevelType w:val="hybridMultilevel"/>
    <w:tmpl w:val="F7FADE1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383F0A85"/>
    <w:multiLevelType w:val="hybridMultilevel"/>
    <w:tmpl w:val="91BA3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45C54"/>
    <w:rsid w:val="000021E8"/>
    <w:rsid w:val="00003FFC"/>
    <w:rsid w:val="000063A3"/>
    <w:rsid w:val="000128D6"/>
    <w:rsid w:val="000220F0"/>
    <w:rsid w:val="00023EB9"/>
    <w:rsid w:val="0003189B"/>
    <w:rsid w:val="00034057"/>
    <w:rsid w:val="000411CE"/>
    <w:rsid w:val="0004322D"/>
    <w:rsid w:val="000474B2"/>
    <w:rsid w:val="000552B4"/>
    <w:rsid w:val="000612A9"/>
    <w:rsid w:val="000702B4"/>
    <w:rsid w:val="000708A2"/>
    <w:rsid w:val="000736D0"/>
    <w:rsid w:val="000814BC"/>
    <w:rsid w:val="000829A7"/>
    <w:rsid w:val="00084E8A"/>
    <w:rsid w:val="00085617"/>
    <w:rsid w:val="00087EA1"/>
    <w:rsid w:val="00090FCD"/>
    <w:rsid w:val="000A0915"/>
    <w:rsid w:val="000B074E"/>
    <w:rsid w:val="000B2980"/>
    <w:rsid w:val="000B2FCD"/>
    <w:rsid w:val="000B394D"/>
    <w:rsid w:val="000B55C9"/>
    <w:rsid w:val="000C017A"/>
    <w:rsid w:val="000C1BBB"/>
    <w:rsid w:val="000C622E"/>
    <w:rsid w:val="000D2A9B"/>
    <w:rsid w:val="000D2BC8"/>
    <w:rsid w:val="000E6F3E"/>
    <w:rsid w:val="000E7A7D"/>
    <w:rsid w:val="000F278C"/>
    <w:rsid w:val="000F3265"/>
    <w:rsid w:val="000F3CA9"/>
    <w:rsid w:val="000F4450"/>
    <w:rsid w:val="000F5280"/>
    <w:rsid w:val="000F56FD"/>
    <w:rsid w:val="000F7AC7"/>
    <w:rsid w:val="001019B4"/>
    <w:rsid w:val="00104478"/>
    <w:rsid w:val="001105C8"/>
    <w:rsid w:val="00110FAE"/>
    <w:rsid w:val="0012124F"/>
    <w:rsid w:val="00121640"/>
    <w:rsid w:val="00122A5D"/>
    <w:rsid w:val="00124D3D"/>
    <w:rsid w:val="0012688C"/>
    <w:rsid w:val="00133849"/>
    <w:rsid w:val="00133E61"/>
    <w:rsid w:val="00137133"/>
    <w:rsid w:val="001457B6"/>
    <w:rsid w:val="00146248"/>
    <w:rsid w:val="00146ECF"/>
    <w:rsid w:val="00151FDE"/>
    <w:rsid w:val="00160010"/>
    <w:rsid w:val="00165F13"/>
    <w:rsid w:val="00173F9E"/>
    <w:rsid w:val="0018284B"/>
    <w:rsid w:val="0018326B"/>
    <w:rsid w:val="00184C57"/>
    <w:rsid w:val="00191C74"/>
    <w:rsid w:val="00196FA1"/>
    <w:rsid w:val="001A1DE8"/>
    <w:rsid w:val="001A59A3"/>
    <w:rsid w:val="001B2A04"/>
    <w:rsid w:val="001B34B4"/>
    <w:rsid w:val="001C08EC"/>
    <w:rsid w:val="001C0CEE"/>
    <w:rsid w:val="001C3E97"/>
    <w:rsid w:val="001C527C"/>
    <w:rsid w:val="001C5D06"/>
    <w:rsid w:val="001C6801"/>
    <w:rsid w:val="001E2718"/>
    <w:rsid w:val="001F3FA2"/>
    <w:rsid w:val="001F5B63"/>
    <w:rsid w:val="001F69AE"/>
    <w:rsid w:val="0020497F"/>
    <w:rsid w:val="002051F9"/>
    <w:rsid w:val="00205541"/>
    <w:rsid w:val="00210098"/>
    <w:rsid w:val="0021158F"/>
    <w:rsid w:val="002146B2"/>
    <w:rsid w:val="00226149"/>
    <w:rsid w:val="0022733D"/>
    <w:rsid w:val="00233A74"/>
    <w:rsid w:val="00234AD2"/>
    <w:rsid w:val="00237115"/>
    <w:rsid w:val="00244FD5"/>
    <w:rsid w:val="002454B1"/>
    <w:rsid w:val="002503B6"/>
    <w:rsid w:val="0025574C"/>
    <w:rsid w:val="002626E5"/>
    <w:rsid w:val="002667C1"/>
    <w:rsid w:val="00277661"/>
    <w:rsid w:val="002842C3"/>
    <w:rsid w:val="00284528"/>
    <w:rsid w:val="002862A4"/>
    <w:rsid w:val="002876CB"/>
    <w:rsid w:val="00287C28"/>
    <w:rsid w:val="002908C4"/>
    <w:rsid w:val="00290C02"/>
    <w:rsid w:val="00290EE6"/>
    <w:rsid w:val="00291304"/>
    <w:rsid w:val="00294AF4"/>
    <w:rsid w:val="00296AB5"/>
    <w:rsid w:val="002971EC"/>
    <w:rsid w:val="002973F3"/>
    <w:rsid w:val="002A0C43"/>
    <w:rsid w:val="002A1BB0"/>
    <w:rsid w:val="002A5EA8"/>
    <w:rsid w:val="002D2891"/>
    <w:rsid w:val="002E5089"/>
    <w:rsid w:val="002F4A16"/>
    <w:rsid w:val="00301013"/>
    <w:rsid w:val="00301A1E"/>
    <w:rsid w:val="00313146"/>
    <w:rsid w:val="00314CB2"/>
    <w:rsid w:val="003162E7"/>
    <w:rsid w:val="00337835"/>
    <w:rsid w:val="00340F00"/>
    <w:rsid w:val="003476CF"/>
    <w:rsid w:val="00354616"/>
    <w:rsid w:val="003707D0"/>
    <w:rsid w:val="00372130"/>
    <w:rsid w:val="00372533"/>
    <w:rsid w:val="00385420"/>
    <w:rsid w:val="0038550A"/>
    <w:rsid w:val="00387F92"/>
    <w:rsid w:val="0039254F"/>
    <w:rsid w:val="003A1E9B"/>
    <w:rsid w:val="003A45FD"/>
    <w:rsid w:val="003B783D"/>
    <w:rsid w:val="003C174B"/>
    <w:rsid w:val="003C1E90"/>
    <w:rsid w:val="003C34A4"/>
    <w:rsid w:val="003D24F6"/>
    <w:rsid w:val="003D3CA9"/>
    <w:rsid w:val="003D66BB"/>
    <w:rsid w:val="003E32D9"/>
    <w:rsid w:val="003E38CB"/>
    <w:rsid w:val="003E66B2"/>
    <w:rsid w:val="003F0C0A"/>
    <w:rsid w:val="00400A9E"/>
    <w:rsid w:val="004043E7"/>
    <w:rsid w:val="00405149"/>
    <w:rsid w:val="004060E9"/>
    <w:rsid w:val="00406EAD"/>
    <w:rsid w:val="00410A2D"/>
    <w:rsid w:val="004155EB"/>
    <w:rsid w:val="00420BB4"/>
    <w:rsid w:val="00420BEC"/>
    <w:rsid w:val="00422E31"/>
    <w:rsid w:val="00424FAF"/>
    <w:rsid w:val="004276FC"/>
    <w:rsid w:val="00431160"/>
    <w:rsid w:val="0043526D"/>
    <w:rsid w:val="00435E3F"/>
    <w:rsid w:val="004416E0"/>
    <w:rsid w:val="00445022"/>
    <w:rsid w:val="00445A5A"/>
    <w:rsid w:val="00451728"/>
    <w:rsid w:val="0045441B"/>
    <w:rsid w:val="00454540"/>
    <w:rsid w:val="004547A7"/>
    <w:rsid w:val="00457B46"/>
    <w:rsid w:val="00460538"/>
    <w:rsid w:val="0046124E"/>
    <w:rsid w:val="00464D20"/>
    <w:rsid w:val="00464E3A"/>
    <w:rsid w:val="004654CB"/>
    <w:rsid w:val="00466C4A"/>
    <w:rsid w:val="0047165F"/>
    <w:rsid w:val="00474EA9"/>
    <w:rsid w:val="00482CE8"/>
    <w:rsid w:val="004871D9"/>
    <w:rsid w:val="0049430C"/>
    <w:rsid w:val="004961DB"/>
    <w:rsid w:val="004A054E"/>
    <w:rsid w:val="004A14F3"/>
    <w:rsid w:val="004A5626"/>
    <w:rsid w:val="004B3612"/>
    <w:rsid w:val="004B7DBD"/>
    <w:rsid w:val="004C2EE9"/>
    <w:rsid w:val="004C3E67"/>
    <w:rsid w:val="004D61F1"/>
    <w:rsid w:val="004D7A59"/>
    <w:rsid w:val="004D7B63"/>
    <w:rsid w:val="004E3F7C"/>
    <w:rsid w:val="004E4EC8"/>
    <w:rsid w:val="004E7AFE"/>
    <w:rsid w:val="004F7DD0"/>
    <w:rsid w:val="00503831"/>
    <w:rsid w:val="00504880"/>
    <w:rsid w:val="00504DD3"/>
    <w:rsid w:val="00504FB6"/>
    <w:rsid w:val="005059DD"/>
    <w:rsid w:val="00516A40"/>
    <w:rsid w:val="0051753D"/>
    <w:rsid w:val="0052005B"/>
    <w:rsid w:val="00526017"/>
    <w:rsid w:val="0052758A"/>
    <w:rsid w:val="0053039A"/>
    <w:rsid w:val="00530D3B"/>
    <w:rsid w:val="00531F97"/>
    <w:rsid w:val="00537638"/>
    <w:rsid w:val="005409C2"/>
    <w:rsid w:val="005417CD"/>
    <w:rsid w:val="00541BCF"/>
    <w:rsid w:val="0054695E"/>
    <w:rsid w:val="00546EF9"/>
    <w:rsid w:val="00547623"/>
    <w:rsid w:val="00547D78"/>
    <w:rsid w:val="00564711"/>
    <w:rsid w:val="005654E2"/>
    <w:rsid w:val="00565508"/>
    <w:rsid w:val="005765F7"/>
    <w:rsid w:val="005A08A5"/>
    <w:rsid w:val="005A4D23"/>
    <w:rsid w:val="005A6027"/>
    <w:rsid w:val="005A620E"/>
    <w:rsid w:val="005A6242"/>
    <w:rsid w:val="005B067C"/>
    <w:rsid w:val="005B1B1C"/>
    <w:rsid w:val="005B47F5"/>
    <w:rsid w:val="005B7E46"/>
    <w:rsid w:val="005C15E8"/>
    <w:rsid w:val="005C18C4"/>
    <w:rsid w:val="005C4FB8"/>
    <w:rsid w:val="005D1FFE"/>
    <w:rsid w:val="005D5CF0"/>
    <w:rsid w:val="005E1EE1"/>
    <w:rsid w:val="005E1FF4"/>
    <w:rsid w:val="005E2853"/>
    <w:rsid w:val="005E3CC5"/>
    <w:rsid w:val="005E421C"/>
    <w:rsid w:val="005E6A32"/>
    <w:rsid w:val="005F581B"/>
    <w:rsid w:val="005F5E4E"/>
    <w:rsid w:val="006054D9"/>
    <w:rsid w:val="00606B94"/>
    <w:rsid w:val="00607C0C"/>
    <w:rsid w:val="00623759"/>
    <w:rsid w:val="00637B92"/>
    <w:rsid w:val="00641BD1"/>
    <w:rsid w:val="006438BC"/>
    <w:rsid w:val="00645709"/>
    <w:rsid w:val="00653B8D"/>
    <w:rsid w:val="00656940"/>
    <w:rsid w:val="0065694A"/>
    <w:rsid w:val="00660945"/>
    <w:rsid w:val="00671838"/>
    <w:rsid w:val="006808F9"/>
    <w:rsid w:val="00681A79"/>
    <w:rsid w:val="006867CD"/>
    <w:rsid w:val="006A0607"/>
    <w:rsid w:val="006A06EF"/>
    <w:rsid w:val="006A342F"/>
    <w:rsid w:val="006B6CD0"/>
    <w:rsid w:val="006C1904"/>
    <w:rsid w:val="006C32BC"/>
    <w:rsid w:val="006D0BA4"/>
    <w:rsid w:val="006D5E0C"/>
    <w:rsid w:val="006D67D3"/>
    <w:rsid w:val="006D78C6"/>
    <w:rsid w:val="006E1103"/>
    <w:rsid w:val="006E4C5C"/>
    <w:rsid w:val="006F00F6"/>
    <w:rsid w:val="006F438B"/>
    <w:rsid w:val="006F598A"/>
    <w:rsid w:val="006F7163"/>
    <w:rsid w:val="006F79B3"/>
    <w:rsid w:val="006F79CE"/>
    <w:rsid w:val="00706707"/>
    <w:rsid w:val="007133C4"/>
    <w:rsid w:val="00731F6D"/>
    <w:rsid w:val="00732205"/>
    <w:rsid w:val="007348B1"/>
    <w:rsid w:val="00735F7F"/>
    <w:rsid w:val="00736382"/>
    <w:rsid w:val="007511DD"/>
    <w:rsid w:val="00755D59"/>
    <w:rsid w:val="00762580"/>
    <w:rsid w:val="007738DA"/>
    <w:rsid w:val="0077511E"/>
    <w:rsid w:val="00780D6E"/>
    <w:rsid w:val="00782856"/>
    <w:rsid w:val="00791110"/>
    <w:rsid w:val="00796C73"/>
    <w:rsid w:val="007B5DF7"/>
    <w:rsid w:val="007C0466"/>
    <w:rsid w:val="007C2848"/>
    <w:rsid w:val="007C326F"/>
    <w:rsid w:val="007C655F"/>
    <w:rsid w:val="007D460C"/>
    <w:rsid w:val="007F0402"/>
    <w:rsid w:val="007F5D67"/>
    <w:rsid w:val="00802D34"/>
    <w:rsid w:val="00804A00"/>
    <w:rsid w:val="00810401"/>
    <w:rsid w:val="00824C92"/>
    <w:rsid w:val="00826F69"/>
    <w:rsid w:val="00831283"/>
    <w:rsid w:val="00831950"/>
    <w:rsid w:val="00837A54"/>
    <w:rsid w:val="008409A6"/>
    <w:rsid w:val="00841622"/>
    <w:rsid w:val="00843122"/>
    <w:rsid w:val="00850BC4"/>
    <w:rsid w:val="00854733"/>
    <w:rsid w:val="00854A3D"/>
    <w:rsid w:val="0086267C"/>
    <w:rsid w:val="008634AB"/>
    <w:rsid w:val="008667F7"/>
    <w:rsid w:val="00871BA0"/>
    <w:rsid w:val="008720C3"/>
    <w:rsid w:val="00884C33"/>
    <w:rsid w:val="0089334E"/>
    <w:rsid w:val="0089424D"/>
    <w:rsid w:val="008A0E63"/>
    <w:rsid w:val="008A2B21"/>
    <w:rsid w:val="008A3D39"/>
    <w:rsid w:val="008A49E1"/>
    <w:rsid w:val="008C14F0"/>
    <w:rsid w:val="008C5005"/>
    <w:rsid w:val="008C560D"/>
    <w:rsid w:val="008C7A3A"/>
    <w:rsid w:val="008D37A5"/>
    <w:rsid w:val="008D3E6C"/>
    <w:rsid w:val="008D6C56"/>
    <w:rsid w:val="008D7458"/>
    <w:rsid w:val="008E0125"/>
    <w:rsid w:val="008E0B4E"/>
    <w:rsid w:val="009000AE"/>
    <w:rsid w:val="009015EC"/>
    <w:rsid w:val="00905D31"/>
    <w:rsid w:val="00911F37"/>
    <w:rsid w:val="00925C77"/>
    <w:rsid w:val="00930451"/>
    <w:rsid w:val="00930A4C"/>
    <w:rsid w:val="00936DDB"/>
    <w:rsid w:val="00940175"/>
    <w:rsid w:val="00943FC5"/>
    <w:rsid w:val="00960F5F"/>
    <w:rsid w:val="009658B8"/>
    <w:rsid w:val="00970B89"/>
    <w:rsid w:val="00971727"/>
    <w:rsid w:val="009757B8"/>
    <w:rsid w:val="00975F53"/>
    <w:rsid w:val="00976C8F"/>
    <w:rsid w:val="00985FE8"/>
    <w:rsid w:val="0098753A"/>
    <w:rsid w:val="00987FB6"/>
    <w:rsid w:val="00990C9A"/>
    <w:rsid w:val="00992AB3"/>
    <w:rsid w:val="0099424F"/>
    <w:rsid w:val="009967D4"/>
    <w:rsid w:val="009A63A7"/>
    <w:rsid w:val="009B221D"/>
    <w:rsid w:val="009B3EC9"/>
    <w:rsid w:val="009B5077"/>
    <w:rsid w:val="009B6A06"/>
    <w:rsid w:val="009B73B8"/>
    <w:rsid w:val="009C0510"/>
    <w:rsid w:val="009D202A"/>
    <w:rsid w:val="009E3541"/>
    <w:rsid w:val="009E3576"/>
    <w:rsid w:val="009E3CF8"/>
    <w:rsid w:val="009F01EC"/>
    <w:rsid w:val="009F0CD1"/>
    <w:rsid w:val="00A1328D"/>
    <w:rsid w:val="00A13C75"/>
    <w:rsid w:val="00A1616B"/>
    <w:rsid w:val="00A21082"/>
    <w:rsid w:val="00A22AD9"/>
    <w:rsid w:val="00A22E3D"/>
    <w:rsid w:val="00A23B82"/>
    <w:rsid w:val="00A23CB3"/>
    <w:rsid w:val="00A23DA5"/>
    <w:rsid w:val="00A25BA3"/>
    <w:rsid w:val="00A26E92"/>
    <w:rsid w:val="00A4589A"/>
    <w:rsid w:val="00A46934"/>
    <w:rsid w:val="00A61F4E"/>
    <w:rsid w:val="00A62ED3"/>
    <w:rsid w:val="00A66A25"/>
    <w:rsid w:val="00A70158"/>
    <w:rsid w:val="00A72F52"/>
    <w:rsid w:val="00A76340"/>
    <w:rsid w:val="00A81BEB"/>
    <w:rsid w:val="00A87107"/>
    <w:rsid w:val="00A87A0F"/>
    <w:rsid w:val="00A92846"/>
    <w:rsid w:val="00A92C2B"/>
    <w:rsid w:val="00A95A6E"/>
    <w:rsid w:val="00A96EF5"/>
    <w:rsid w:val="00AA2FCB"/>
    <w:rsid w:val="00AA6C06"/>
    <w:rsid w:val="00AB2846"/>
    <w:rsid w:val="00AB7521"/>
    <w:rsid w:val="00AC0DD5"/>
    <w:rsid w:val="00AC67C7"/>
    <w:rsid w:val="00AC72B8"/>
    <w:rsid w:val="00AD259E"/>
    <w:rsid w:val="00AD6178"/>
    <w:rsid w:val="00AF1DEF"/>
    <w:rsid w:val="00AF29A7"/>
    <w:rsid w:val="00AF2E22"/>
    <w:rsid w:val="00AF62F4"/>
    <w:rsid w:val="00AF789D"/>
    <w:rsid w:val="00B02896"/>
    <w:rsid w:val="00B040B0"/>
    <w:rsid w:val="00B06ECA"/>
    <w:rsid w:val="00B11F17"/>
    <w:rsid w:val="00B13985"/>
    <w:rsid w:val="00B149AA"/>
    <w:rsid w:val="00B16891"/>
    <w:rsid w:val="00B16E70"/>
    <w:rsid w:val="00B2131C"/>
    <w:rsid w:val="00B21A2C"/>
    <w:rsid w:val="00B322F8"/>
    <w:rsid w:val="00B36296"/>
    <w:rsid w:val="00B3774C"/>
    <w:rsid w:val="00B405D0"/>
    <w:rsid w:val="00B45B04"/>
    <w:rsid w:val="00B45CF7"/>
    <w:rsid w:val="00B57302"/>
    <w:rsid w:val="00B64BAA"/>
    <w:rsid w:val="00B72D92"/>
    <w:rsid w:val="00B84142"/>
    <w:rsid w:val="00B8451D"/>
    <w:rsid w:val="00B869D6"/>
    <w:rsid w:val="00B87A73"/>
    <w:rsid w:val="00B96DB3"/>
    <w:rsid w:val="00BB1782"/>
    <w:rsid w:val="00BB225E"/>
    <w:rsid w:val="00BB2397"/>
    <w:rsid w:val="00BB28DD"/>
    <w:rsid w:val="00BB3175"/>
    <w:rsid w:val="00BC1407"/>
    <w:rsid w:val="00BC17BE"/>
    <w:rsid w:val="00BC5096"/>
    <w:rsid w:val="00BD5B75"/>
    <w:rsid w:val="00BD7A77"/>
    <w:rsid w:val="00BE39A8"/>
    <w:rsid w:val="00BE418B"/>
    <w:rsid w:val="00BF0317"/>
    <w:rsid w:val="00BF0978"/>
    <w:rsid w:val="00BF10DD"/>
    <w:rsid w:val="00BF21FD"/>
    <w:rsid w:val="00BF5F7A"/>
    <w:rsid w:val="00BF72C5"/>
    <w:rsid w:val="00C0114B"/>
    <w:rsid w:val="00C10CC2"/>
    <w:rsid w:val="00C15E11"/>
    <w:rsid w:val="00C21AF5"/>
    <w:rsid w:val="00C25E15"/>
    <w:rsid w:val="00C436CD"/>
    <w:rsid w:val="00C456B6"/>
    <w:rsid w:val="00C45C54"/>
    <w:rsid w:val="00C46EF4"/>
    <w:rsid w:val="00C51845"/>
    <w:rsid w:val="00C52246"/>
    <w:rsid w:val="00C6200C"/>
    <w:rsid w:val="00C637E1"/>
    <w:rsid w:val="00C72C41"/>
    <w:rsid w:val="00C731B5"/>
    <w:rsid w:val="00C8423B"/>
    <w:rsid w:val="00C879F0"/>
    <w:rsid w:val="00C93887"/>
    <w:rsid w:val="00C94016"/>
    <w:rsid w:val="00C94EDE"/>
    <w:rsid w:val="00C96210"/>
    <w:rsid w:val="00CA033D"/>
    <w:rsid w:val="00CA2F95"/>
    <w:rsid w:val="00CA5CD9"/>
    <w:rsid w:val="00CB5E49"/>
    <w:rsid w:val="00CC058D"/>
    <w:rsid w:val="00CC1FE3"/>
    <w:rsid w:val="00CC201D"/>
    <w:rsid w:val="00CC3D29"/>
    <w:rsid w:val="00CC562C"/>
    <w:rsid w:val="00CC59FF"/>
    <w:rsid w:val="00CC7829"/>
    <w:rsid w:val="00CD7153"/>
    <w:rsid w:val="00CE1260"/>
    <w:rsid w:val="00CE6A0D"/>
    <w:rsid w:val="00CE7700"/>
    <w:rsid w:val="00D045D9"/>
    <w:rsid w:val="00D04C79"/>
    <w:rsid w:val="00D1037C"/>
    <w:rsid w:val="00D14B0E"/>
    <w:rsid w:val="00D2315A"/>
    <w:rsid w:val="00D24B67"/>
    <w:rsid w:val="00D302FF"/>
    <w:rsid w:val="00D3058A"/>
    <w:rsid w:val="00D3264A"/>
    <w:rsid w:val="00D35968"/>
    <w:rsid w:val="00D37A99"/>
    <w:rsid w:val="00D37C5B"/>
    <w:rsid w:val="00D40C05"/>
    <w:rsid w:val="00D45167"/>
    <w:rsid w:val="00D73991"/>
    <w:rsid w:val="00D73D08"/>
    <w:rsid w:val="00D819C9"/>
    <w:rsid w:val="00D872E9"/>
    <w:rsid w:val="00D95859"/>
    <w:rsid w:val="00DA34AA"/>
    <w:rsid w:val="00DB4F4A"/>
    <w:rsid w:val="00DB591A"/>
    <w:rsid w:val="00DC341F"/>
    <w:rsid w:val="00DC543A"/>
    <w:rsid w:val="00DC6358"/>
    <w:rsid w:val="00DE5287"/>
    <w:rsid w:val="00DE6629"/>
    <w:rsid w:val="00DE7A04"/>
    <w:rsid w:val="00DF248A"/>
    <w:rsid w:val="00DF2681"/>
    <w:rsid w:val="00E024BC"/>
    <w:rsid w:val="00E044D8"/>
    <w:rsid w:val="00E16285"/>
    <w:rsid w:val="00E17334"/>
    <w:rsid w:val="00E234E7"/>
    <w:rsid w:val="00E356B0"/>
    <w:rsid w:val="00E37538"/>
    <w:rsid w:val="00E37E34"/>
    <w:rsid w:val="00E40B2B"/>
    <w:rsid w:val="00E46093"/>
    <w:rsid w:val="00E50540"/>
    <w:rsid w:val="00E52505"/>
    <w:rsid w:val="00E546AB"/>
    <w:rsid w:val="00E60850"/>
    <w:rsid w:val="00E61A62"/>
    <w:rsid w:val="00E6792B"/>
    <w:rsid w:val="00E71BDA"/>
    <w:rsid w:val="00E770AF"/>
    <w:rsid w:val="00E80393"/>
    <w:rsid w:val="00E8074D"/>
    <w:rsid w:val="00E81C79"/>
    <w:rsid w:val="00E8656E"/>
    <w:rsid w:val="00E86FCD"/>
    <w:rsid w:val="00E976DD"/>
    <w:rsid w:val="00EA5A9D"/>
    <w:rsid w:val="00EB55AF"/>
    <w:rsid w:val="00EC3BDC"/>
    <w:rsid w:val="00EC41C6"/>
    <w:rsid w:val="00ED3D2B"/>
    <w:rsid w:val="00ED4E7C"/>
    <w:rsid w:val="00EE3228"/>
    <w:rsid w:val="00EE6165"/>
    <w:rsid w:val="00EF0A2B"/>
    <w:rsid w:val="00EF35B3"/>
    <w:rsid w:val="00EF3835"/>
    <w:rsid w:val="00EF7FB4"/>
    <w:rsid w:val="00F072EE"/>
    <w:rsid w:val="00F10A80"/>
    <w:rsid w:val="00F17442"/>
    <w:rsid w:val="00F1793C"/>
    <w:rsid w:val="00F24797"/>
    <w:rsid w:val="00F25D55"/>
    <w:rsid w:val="00F311E8"/>
    <w:rsid w:val="00F31D09"/>
    <w:rsid w:val="00F35837"/>
    <w:rsid w:val="00F36B5B"/>
    <w:rsid w:val="00F37101"/>
    <w:rsid w:val="00F3791A"/>
    <w:rsid w:val="00F407B0"/>
    <w:rsid w:val="00F4545B"/>
    <w:rsid w:val="00F518F1"/>
    <w:rsid w:val="00F51C38"/>
    <w:rsid w:val="00F52144"/>
    <w:rsid w:val="00F528C8"/>
    <w:rsid w:val="00F556D1"/>
    <w:rsid w:val="00F56735"/>
    <w:rsid w:val="00F620C3"/>
    <w:rsid w:val="00F65EC6"/>
    <w:rsid w:val="00F80773"/>
    <w:rsid w:val="00F81A63"/>
    <w:rsid w:val="00F8678E"/>
    <w:rsid w:val="00F912C8"/>
    <w:rsid w:val="00F91F48"/>
    <w:rsid w:val="00F92FAD"/>
    <w:rsid w:val="00F93037"/>
    <w:rsid w:val="00F94F97"/>
    <w:rsid w:val="00FA1B76"/>
    <w:rsid w:val="00FA2605"/>
    <w:rsid w:val="00FA2801"/>
    <w:rsid w:val="00FA2D64"/>
    <w:rsid w:val="00FA4BAC"/>
    <w:rsid w:val="00FA4C99"/>
    <w:rsid w:val="00FA680F"/>
    <w:rsid w:val="00FB027C"/>
    <w:rsid w:val="00FB217B"/>
    <w:rsid w:val="00FB3069"/>
    <w:rsid w:val="00FB4B0D"/>
    <w:rsid w:val="00FB52AE"/>
    <w:rsid w:val="00FC0790"/>
    <w:rsid w:val="00FC258E"/>
    <w:rsid w:val="00FC2E24"/>
    <w:rsid w:val="00FC5546"/>
    <w:rsid w:val="00FC5C69"/>
    <w:rsid w:val="00FD42C1"/>
    <w:rsid w:val="00FD61DE"/>
    <w:rsid w:val="00FE5E42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F7163"/>
    <w:pPr>
      <w:keepNext/>
      <w:bidi w:val="0"/>
      <w:jc w:val="lowKashida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F7163"/>
    <w:pPr>
      <w:keepNext/>
      <w:jc w:val="center"/>
      <w:outlineLvl w:val="1"/>
    </w:pPr>
    <w:rPr>
      <w:rFonts w:cs="Simplified Arabic"/>
      <w:b/>
      <w:bCs/>
      <w:lang w:eastAsia="ar-SA"/>
    </w:rPr>
  </w:style>
  <w:style w:type="paragraph" w:styleId="Heading3">
    <w:name w:val="heading 3"/>
    <w:basedOn w:val="Normal"/>
    <w:next w:val="Normal"/>
    <w:qFormat/>
    <w:rsid w:val="006F7163"/>
    <w:pPr>
      <w:keepNext/>
      <w:bidi w:val="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6F7163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7163"/>
    <w:pPr>
      <w:keepNext/>
      <w:bidi w:val="0"/>
      <w:spacing w:line="360" w:lineRule="auto"/>
      <w:jc w:val="right"/>
      <w:outlineLvl w:val="4"/>
    </w:pPr>
    <w:rPr>
      <w:rFonts w:cs="Simplified Arabic"/>
      <w:b/>
      <w:bCs/>
      <w:color w:val="000000"/>
      <w:szCs w:val="20"/>
      <w:u w:val="single"/>
    </w:rPr>
  </w:style>
  <w:style w:type="paragraph" w:styleId="Heading6">
    <w:name w:val="heading 6"/>
    <w:basedOn w:val="Normal"/>
    <w:next w:val="Normal"/>
    <w:qFormat/>
    <w:rsid w:val="006F7163"/>
    <w:pPr>
      <w:keepNext/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F7163"/>
    <w:pPr>
      <w:keepNext/>
      <w:overflowPunct w:val="0"/>
      <w:autoSpaceDE w:val="0"/>
      <w:autoSpaceDN w:val="0"/>
      <w:adjustRightInd w:val="0"/>
      <w:ind w:right="360"/>
      <w:textAlignment w:val="baseline"/>
      <w:outlineLvl w:val="6"/>
    </w:pPr>
    <w:rPr>
      <w:noProof/>
    </w:rPr>
  </w:style>
  <w:style w:type="paragraph" w:styleId="Heading8">
    <w:name w:val="heading 8"/>
    <w:basedOn w:val="Normal"/>
    <w:next w:val="Normal"/>
    <w:qFormat/>
    <w:rsid w:val="006F7163"/>
    <w:pPr>
      <w:keepNext/>
      <w:bidi w:val="0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F716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ngselect1">
    <w:name w:val="langselect1"/>
    <w:basedOn w:val="DefaultParagraphFont"/>
    <w:rsid w:val="006F7163"/>
    <w:rPr>
      <w:sz w:val="20"/>
      <w:szCs w:val="20"/>
    </w:rPr>
  </w:style>
  <w:style w:type="character" w:customStyle="1" w:styleId="arrow1">
    <w:name w:val="arrow1"/>
    <w:basedOn w:val="DefaultParagraphFont"/>
    <w:rsid w:val="006F7163"/>
    <w:rPr>
      <w:position w:val="-2"/>
      <w:sz w:val="36"/>
      <w:szCs w:val="36"/>
    </w:rPr>
  </w:style>
  <w:style w:type="paragraph" w:styleId="z-BottomofForm">
    <w:name w:val="HTML Bottom of Form"/>
    <w:basedOn w:val="Normal"/>
    <w:next w:val="Normal"/>
    <w:hidden/>
    <w:rsid w:val="006F716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BodyTextIndent">
    <w:name w:val="Body Text Indent"/>
    <w:basedOn w:val="Normal"/>
    <w:semiHidden/>
    <w:rsid w:val="006F7163"/>
    <w:pPr>
      <w:bidi w:val="0"/>
      <w:ind w:right="-1"/>
      <w:jc w:val="lowKashida"/>
    </w:pPr>
    <w:rPr>
      <w:rFonts w:cs="Traditional Arabic"/>
      <w:snapToGrid w:val="0"/>
      <w:szCs w:val="28"/>
      <w:lang w:eastAsia="ar-SA"/>
    </w:rPr>
  </w:style>
  <w:style w:type="paragraph" w:styleId="BodyText3">
    <w:name w:val="Body Text 3"/>
    <w:basedOn w:val="Normal"/>
    <w:semiHidden/>
    <w:rsid w:val="006F7163"/>
    <w:pPr>
      <w:bidi w:val="0"/>
      <w:jc w:val="lowKashida"/>
    </w:pPr>
    <w:rPr>
      <w:lang w:eastAsia="ar-SA"/>
    </w:rPr>
  </w:style>
  <w:style w:type="paragraph" w:styleId="BodyText">
    <w:name w:val="Body Text"/>
    <w:basedOn w:val="Normal"/>
    <w:semiHidden/>
    <w:rsid w:val="006F7163"/>
    <w:pPr>
      <w:bidi w:val="0"/>
    </w:pPr>
    <w:rPr>
      <w:color w:val="000000"/>
      <w:sz w:val="26"/>
      <w:szCs w:val="26"/>
    </w:rPr>
  </w:style>
  <w:style w:type="paragraph" w:styleId="BodyText2">
    <w:name w:val="Body Text 2"/>
    <w:basedOn w:val="Normal"/>
    <w:semiHidden/>
    <w:rsid w:val="006F7163"/>
    <w:pPr>
      <w:bidi w:val="0"/>
      <w:jc w:val="lowKashida"/>
    </w:pPr>
    <w:rPr>
      <w:color w:val="000000"/>
      <w:sz w:val="26"/>
      <w:szCs w:val="26"/>
    </w:rPr>
  </w:style>
  <w:style w:type="paragraph" w:styleId="Footer">
    <w:name w:val="footer"/>
    <w:basedOn w:val="Normal"/>
    <w:semiHidden/>
    <w:rsid w:val="006F71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F7163"/>
  </w:style>
  <w:style w:type="paragraph" w:styleId="Header">
    <w:name w:val="header"/>
    <w:basedOn w:val="Normal"/>
    <w:link w:val="HeaderChar"/>
    <w:rsid w:val="006F7163"/>
    <w:pPr>
      <w:tabs>
        <w:tab w:val="center" w:pos="4153"/>
        <w:tab w:val="right" w:pos="8306"/>
      </w:tabs>
    </w:pPr>
  </w:style>
  <w:style w:type="character" w:customStyle="1" w:styleId="shorttext1">
    <w:name w:val="short_text1"/>
    <w:basedOn w:val="DefaultParagraphFont"/>
    <w:rsid w:val="006F7163"/>
    <w:rPr>
      <w:spacing w:val="324"/>
      <w:sz w:val="29"/>
      <w:szCs w:val="29"/>
    </w:rPr>
  </w:style>
  <w:style w:type="character" w:customStyle="1" w:styleId="mediumtext1">
    <w:name w:val="medium_text1"/>
    <w:basedOn w:val="DefaultParagraphFont"/>
    <w:rsid w:val="006F7163"/>
    <w:rPr>
      <w:spacing w:val="360"/>
      <w:sz w:val="24"/>
      <w:szCs w:val="24"/>
    </w:rPr>
  </w:style>
  <w:style w:type="character" w:customStyle="1" w:styleId="longtext1">
    <w:name w:val="long_text1"/>
    <w:basedOn w:val="DefaultParagraphFont"/>
    <w:rsid w:val="006F7163"/>
    <w:rPr>
      <w:spacing w:val="408"/>
      <w:sz w:val="20"/>
      <w:szCs w:val="20"/>
    </w:rPr>
  </w:style>
  <w:style w:type="character" w:customStyle="1" w:styleId="longtext">
    <w:name w:val="long_text"/>
    <w:basedOn w:val="DefaultParagraphFont"/>
    <w:rsid w:val="006F7163"/>
  </w:style>
  <w:style w:type="paragraph" w:styleId="BalloonText">
    <w:name w:val="Balloon Text"/>
    <w:basedOn w:val="Normal"/>
    <w:link w:val="BalloonTextChar"/>
    <w:uiPriority w:val="99"/>
    <w:semiHidden/>
    <w:unhideWhenUsed/>
    <w:rsid w:val="00AF1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654CB"/>
  </w:style>
  <w:style w:type="character" w:customStyle="1" w:styleId="hps">
    <w:name w:val="hps"/>
    <w:basedOn w:val="DefaultParagraphFont"/>
    <w:rsid w:val="00AC0DD5"/>
  </w:style>
  <w:style w:type="character" w:customStyle="1" w:styleId="alt-edited1">
    <w:name w:val="alt-edited1"/>
    <w:basedOn w:val="DefaultParagraphFont"/>
    <w:rsid w:val="00F93037"/>
    <w:rPr>
      <w:color w:val="4D90F0"/>
    </w:rPr>
  </w:style>
  <w:style w:type="character" w:styleId="Hyperlink">
    <w:name w:val="Hyperlink"/>
    <w:basedOn w:val="DefaultParagraphFont"/>
    <w:semiHidden/>
    <w:rsid w:val="00FC0790"/>
    <w:rPr>
      <w:color w:val="2E2ECC"/>
      <w:u w:val="single"/>
    </w:rPr>
  </w:style>
  <w:style w:type="character" w:customStyle="1" w:styleId="Heading5Char">
    <w:name w:val="Heading 5 Char"/>
    <w:basedOn w:val="DefaultParagraphFont"/>
    <w:link w:val="Heading5"/>
    <w:rsid w:val="00121640"/>
    <w:rPr>
      <w:rFonts w:cs="Simplified Arabic"/>
      <w:b/>
      <w:bCs/>
      <w:color w:val="000000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C5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2C"/>
  </w:style>
  <w:style w:type="character" w:styleId="FootnoteReference">
    <w:name w:val="footnote reference"/>
    <w:semiHidden/>
    <w:rsid w:val="00CC562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CC562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00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010"/>
  </w:style>
  <w:style w:type="character" w:styleId="EndnoteReference">
    <w:name w:val="endnote reference"/>
    <w:basedOn w:val="DefaultParagraphFont"/>
    <w:uiPriority w:val="99"/>
    <w:semiHidden/>
    <w:unhideWhenUsed/>
    <w:rsid w:val="00160010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D37A5"/>
    <w:rPr>
      <w:sz w:val="24"/>
      <w:szCs w:val="24"/>
    </w:rPr>
  </w:style>
  <w:style w:type="table" w:styleId="TableGrid">
    <w:name w:val="Table Grid"/>
    <w:basedOn w:val="TableNormal"/>
    <w:rsid w:val="00301A1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F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81B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1E2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4061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208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20639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768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23188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3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7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4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7263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63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605442">
                              <w:marLeft w:val="0"/>
                              <w:marRight w:val="0"/>
                              <w:marTop w:val="88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57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201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34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09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676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6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style val="27"/>
  <c:chart>
    <c:autoTitleDeleted val="1"/>
    <c:plotArea>
      <c:layout>
        <c:manualLayout>
          <c:layoutTarget val="inner"/>
          <c:xMode val="edge"/>
          <c:yMode val="edge"/>
          <c:x val="0.10889089384660262"/>
          <c:y val="5.4624943099824706E-2"/>
          <c:w val="0.80923581667676703"/>
          <c:h val="0.7855675974082533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31D-4C92-9DBD-75015923AE6C}"/>
              </c:ext>
            </c:extLst>
          </c:dPt>
          <c:dPt>
            <c:idx val="2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1D-4C92-9DBD-75015923AE6C}"/>
              </c:ext>
            </c:extLst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31D-4C92-9DBD-75015923AE6C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0.73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1D-4C92-9DBD-75015923AE6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State of Palestine </c:v>
                </c:pt>
                <c:pt idx="1">
                  <c:v>1948 Territory</c:v>
                </c:pt>
                <c:pt idx="2">
                  <c:v>Arab Countries</c:v>
                </c:pt>
                <c:pt idx="3">
                  <c:v>Foreign Countries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5100703</c:v>
                </c:pt>
                <c:pt idx="1">
                  <c:v>1612191</c:v>
                </c:pt>
                <c:pt idx="2">
                  <c:v>6054207</c:v>
                </c:pt>
                <c:pt idx="3">
                  <c:v>732831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31D-4C92-9DBD-75015923AE6C}"/>
            </c:ext>
          </c:extLst>
        </c:ser>
        <c:axId val="64586880"/>
        <c:axId val="64759680"/>
      </c:barChart>
      <c:catAx>
        <c:axId val="645868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4759680"/>
        <c:crosses val="autoZero"/>
        <c:auto val="1"/>
        <c:lblAlgn val="ctr"/>
        <c:lblOffset val="100"/>
      </c:catAx>
      <c:valAx>
        <c:axId val="6475968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4586880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5.697960831819099E-3"/>
                <c:y val="0.38882904342839497"/>
              </c:manualLayout>
            </c:layout>
            <c:tx>
              <c:rich>
                <a:bodyPr/>
                <a:lstStyle/>
                <a:p>
                  <a:pPr>
                    <a:defRPr sz="800">
                      <a:latin typeface="Arial" pitchFamily="34" charset="0"/>
                      <a:cs typeface="Arial" pitchFamily="34" charset="0"/>
                    </a:defRPr>
                  </a:pPr>
                  <a:r>
                    <a:rPr lang="en-US" sz="800">
                      <a:latin typeface="Arial" pitchFamily="34" charset="0"/>
                      <a:cs typeface="Arial" pitchFamily="34" charset="0"/>
                    </a:rPr>
                    <a:t>Million</a:t>
                  </a:r>
                  <a:endParaRPr lang="ar-SA" sz="800">
                    <a:latin typeface="Arial" pitchFamily="34" charset="0"/>
                    <a:cs typeface="Arial" pitchFamily="34" charset="0"/>
                  </a:endParaRPr>
                </a:p>
              </c:rich>
            </c:tx>
          </c:dispUnitsLbl>
        </c:dispUnits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7"/>
  <c:chart>
    <c:autoTitleDeleted val="1"/>
    <c:plotArea>
      <c:layout>
        <c:manualLayout>
          <c:layoutTarget val="inner"/>
          <c:xMode val="edge"/>
          <c:yMode val="edge"/>
          <c:x val="7.7252332509531271E-2"/>
          <c:y val="4.6852203819350173E-2"/>
          <c:w val="0.85462114178959336"/>
          <c:h val="0.7852869037921977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4D0-4620-A28F-ACF646DCF0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Middle of West Bank</c:v>
                </c:pt>
                <c:pt idx="1">
                  <c:v>Nourth of West Bank</c:v>
                </c:pt>
                <c:pt idx="2">
                  <c:v>South of West Bank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92.9</c:v>
                </c:pt>
                <c:pt idx="1">
                  <c:v>6.5</c:v>
                </c:pt>
                <c:pt idx="2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D0-4620-A28F-ACF646DCF0F4}"/>
            </c:ext>
          </c:extLst>
        </c:ser>
        <c:axId val="65639168"/>
        <c:axId val="35959168"/>
      </c:barChart>
      <c:catAx>
        <c:axId val="656391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35959168"/>
        <c:crosses val="autoZero"/>
        <c:auto val="1"/>
        <c:lblAlgn val="ctr"/>
        <c:lblOffset val="100"/>
      </c:catAx>
      <c:valAx>
        <c:axId val="359591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5639168"/>
        <c:crosses val="autoZero"/>
        <c:crossBetween val="between"/>
        <c:majorUnit val="10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plotArea>
      <c:layout>
        <c:manualLayout>
          <c:layoutTarget val="inner"/>
          <c:xMode val="edge"/>
          <c:yMode val="edge"/>
          <c:x val="0.11572597542954229"/>
          <c:y val="0.17970930520477393"/>
          <c:w val="0.81556427507031948"/>
          <c:h val="0.7091873592576304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Pt>
            <c:idx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D70-402D-8439-C93BD83749F6}"/>
              </c:ext>
            </c:extLst>
          </c:dPt>
          <c:dPt>
            <c:idx val="1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70-402D-8439-C93BD83749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2019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5.8</c:v>
                </c:pt>
                <c:pt idx="1">
                  <c:v>5.0999999999999996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70-402D-8439-C93BD83749F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2019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5.5</c:v>
                </c:pt>
                <c:pt idx="1">
                  <c:v>4.9000000000000004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70-402D-8439-C93BD83749F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2019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6.5</c:v>
                </c:pt>
                <c:pt idx="1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D70-402D-8439-C93BD83749F6}"/>
            </c:ext>
          </c:extLst>
        </c:ser>
        <c:axId val="66200320"/>
        <c:axId val="66201856"/>
      </c:barChart>
      <c:catAx>
        <c:axId val="662003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6201856"/>
        <c:crosses val="autoZero"/>
        <c:auto val="1"/>
        <c:lblAlgn val="ctr"/>
        <c:lblOffset val="100"/>
      </c:catAx>
      <c:valAx>
        <c:axId val="6620185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6200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293632413595417"/>
          <c:y val="4.0806883675623032E-2"/>
          <c:w val="0.68685083457513696"/>
          <c:h val="0.10939531790771836"/>
        </c:manualLayout>
      </c:layout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8.1564413823272716E-2"/>
          <c:y val="4.4057617797775499E-2"/>
          <c:w val="0.88248651210265028"/>
          <c:h val="0.7091829650325965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3148148148148147E-2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E9-4A8E-A089-0178F3CEB81A}"/>
                </c:ext>
              </c:extLst>
            </c:dLbl>
            <c:dLbl>
              <c:idx val="19"/>
              <c:layout>
                <c:manualLayout>
                  <c:x val="-4.1666666666666664E-2"/>
                  <c:y val="-4.365079365079370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E9-4A8E-A089-0178F3CEB81A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Sheet1!$B$2:$B$21</c:f>
              <c:numCache>
                <c:formatCode>0.0</c:formatCode>
                <c:ptCount val="20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  <c:pt idx="19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4E9-4A8E-A089-0178F3CEB81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2.7777777777777821E-2"/>
                  <c:y val="-5.08905852417303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E9-4A8E-A089-0178F3CEB81A}"/>
                </c:ext>
              </c:extLst>
            </c:dLbl>
            <c:dLbl>
              <c:idx val="19"/>
              <c:layout>
                <c:manualLayout>
                  <c:x val="-4.1666666666666664E-2"/>
                  <c:y val="-5.15873015873017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E9-4A8E-A089-0178F3CEB81A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Sheet1!$C$2:$C$21</c:f>
              <c:numCache>
                <c:formatCode>0.0</c:formatCode>
                <c:ptCount val="20"/>
                <c:pt idx="0">
                  <c:v>16.100000000000001</c:v>
                </c:pt>
                <c:pt idx="1">
                  <c:v>15</c:v>
                </c:pt>
                <c:pt idx="2">
                  <c:v>13.6</c:v>
                </c:pt>
                <c:pt idx="3">
                  <c:v>12.6</c:v>
                </c:pt>
                <c:pt idx="4">
                  <c:v>12</c:v>
                </c:pt>
                <c:pt idx="5">
                  <c:v>11.1</c:v>
                </c:pt>
                <c:pt idx="6">
                  <c:v>10.200000000000001</c:v>
                </c:pt>
                <c:pt idx="7">
                  <c:v>9.5</c:v>
                </c:pt>
                <c:pt idx="8">
                  <c:v>9.1</c:v>
                </c:pt>
                <c:pt idx="9">
                  <c:v>8.3000000000000007</c:v>
                </c:pt>
                <c:pt idx="10">
                  <c:v>7.8</c:v>
                </c:pt>
                <c:pt idx="11">
                  <c:v>7.4</c:v>
                </c:pt>
                <c:pt idx="12">
                  <c:v>6.4</c:v>
                </c:pt>
                <c:pt idx="13">
                  <c:v>5.9</c:v>
                </c:pt>
                <c:pt idx="14">
                  <c:v>5.6</c:v>
                </c:pt>
                <c:pt idx="15">
                  <c:v>5.0999999999999996</c:v>
                </c:pt>
                <c:pt idx="16">
                  <c:v>4.8</c:v>
                </c:pt>
                <c:pt idx="17">
                  <c:v>5</c:v>
                </c:pt>
                <c:pt idx="18">
                  <c:v>4.3</c:v>
                </c:pt>
                <c:pt idx="19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4E9-4A8E-A089-0178F3CEB81A}"/>
            </c:ext>
          </c:extLst>
        </c:ser>
        <c:marker val="1"/>
        <c:axId val="66246144"/>
        <c:axId val="66247680"/>
      </c:lineChart>
      <c:catAx>
        <c:axId val="66246144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6247680"/>
        <c:crosses val="autoZero"/>
        <c:auto val="1"/>
        <c:lblAlgn val="ctr"/>
        <c:lblOffset val="100"/>
      </c:catAx>
      <c:valAx>
        <c:axId val="66247680"/>
        <c:scaling>
          <c:orientation val="minMax"/>
        </c:scaling>
        <c:axPos val="l"/>
        <c:numFmt formatCode="0" sourceLinked="0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624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349537037037065"/>
          <c:y val="0.17030589926259221"/>
          <c:w val="0.29057870370370548"/>
          <c:h val="9.5896137982752205E-2"/>
        </c:manualLayout>
      </c:layout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4.9167236720178933E-2"/>
          <c:y val="5.1400554097404488E-2"/>
          <c:w val="0.92027731284051661"/>
          <c:h val="0.83588363954505684"/>
        </c:manualLayout>
      </c:layout>
      <c:lineChart>
        <c:grouping val="standard"/>
        <c:ser>
          <c:idx val="0"/>
          <c:order val="0"/>
          <c:tx>
            <c:strRef>
              <c:f>'[Chart in Microsoft Office Word]Sheet1'!$B$1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6.1111111111111123E-2"/>
                  <c:y val="-4.629629629629650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0F-47F1-8D91-C134AE6BF941}"/>
                </c:ext>
              </c:extLst>
            </c:dLbl>
            <c:dLbl>
              <c:idx val="4"/>
              <c:layout>
                <c:manualLayout>
                  <c:x val="-3.0555555555555582E-2"/>
                  <c:y val="-5.09259259259259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0F-47F1-8D91-C134AE6BF94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Office Word]Sheet1'!$A$2:$A$6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'[Chart in Microsoft Office Word]Sheet1'!$B$2:$B$6</c:f>
              <c:numCache>
                <c:formatCode>0.0</c:formatCode>
                <c:ptCount val="5"/>
                <c:pt idx="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>
                  <c:v>25.3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0F-47F1-8D91-C134AE6BF941}"/>
            </c:ext>
          </c:extLst>
        </c:ser>
        <c:ser>
          <c:idx val="1"/>
          <c:order val="1"/>
          <c:tx>
            <c:strRef>
              <c:f>'[Chart in Microsoft Office Word]Sheet1'!$C$1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-0.05"/>
                  <c:y val="6.481481481481504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0F-47F1-8D91-C134AE6BF941}"/>
                </c:ext>
              </c:extLst>
            </c:dLbl>
            <c:dLbl>
              <c:idx val="4"/>
              <c:layout>
                <c:manualLayout>
                  <c:x val="-5.5555555555555558E-3"/>
                  <c:y val="-4.16666666666665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0F-47F1-8D91-C134AE6BF94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Office Word]Sheet1'!$A$2:$A$6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'[Chart in Microsoft Office Word]Sheet1'!$C$2:$C$6</c:f>
              <c:numCache>
                <c:formatCode>0.0</c:formatCode>
                <c:ptCount val="5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F0F-47F1-8D91-C134AE6BF941}"/>
            </c:ext>
          </c:extLst>
        </c:ser>
        <c:ser>
          <c:idx val="2"/>
          <c:order val="2"/>
          <c:tx>
            <c:strRef>
              <c:f>'[Chart in Microsoft Office Word]Sheet1'!$D$1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0F-47F1-8D91-C134AE6BF941}"/>
                </c:ext>
              </c:extLst>
            </c:dLbl>
            <c:dLbl>
              <c:idx val="4"/>
              <c:layout>
                <c:manualLayout>
                  <c:x val="-1.9444444444444445E-2"/>
                  <c:y val="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0F-47F1-8D91-C134AE6BF94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Office Word]Sheet1'!$A$2:$A$6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'[Chart in Microsoft Office Word]Sheet1'!$D$2:$D$6</c:f>
              <c:numCache>
                <c:formatCode>0.0</c:formatCode>
                <c:ptCount val="5"/>
                <c:pt idx="0">
                  <c:v>34.800000000000004</c:v>
                </c:pt>
                <c:pt idx="1">
                  <c:v>35.4</c:v>
                </c:pt>
                <c:pt idx="2">
                  <c:v>38.800000000000004</c:v>
                </c:pt>
                <c:pt idx="3">
                  <c:v>43.1</c:v>
                </c:pt>
                <c:pt idx="4">
                  <c:v>45.1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F0F-47F1-8D91-C134AE6BF941}"/>
            </c:ext>
          </c:extLst>
        </c:ser>
        <c:marker val="1"/>
        <c:axId val="66347776"/>
        <c:axId val="66349312"/>
      </c:lineChart>
      <c:catAx>
        <c:axId val="66347776"/>
        <c:scaling>
          <c:orientation val="minMax"/>
        </c:scaling>
        <c:axPos val="b"/>
        <c:numFmt formatCode="General" sourceLinked="0"/>
        <c:tickLblPos val="nextTo"/>
        <c:crossAx val="66349312"/>
        <c:crosses val="autoZero"/>
        <c:auto val="1"/>
        <c:lblAlgn val="ctr"/>
        <c:lblOffset val="100"/>
      </c:catAx>
      <c:valAx>
        <c:axId val="66349312"/>
        <c:scaling>
          <c:orientation val="minMax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" sourceLinked="0"/>
        <c:tickLblPos val="nextTo"/>
        <c:crossAx val="66347776"/>
        <c:crosses val="autoZero"/>
        <c:crossBetween val="between"/>
        <c:majorUnit val="10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94444444444457"/>
          <c:y val="5.4979585885097708E-2"/>
          <c:w val="0.64283333333333625"/>
          <c:h val="0.11689231554389036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F24FE-8F11-4AC1-ADA5-0EC6DA7F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Indeed, demographic</vt:lpstr>
      <vt:lpstr>Indeed, demographic</vt:lpstr>
    </vt:vector>
  </TitlesOfParts>
  <Company>marsel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Indeed, demographic</dc:title>
  <dc:creator>ameer</dc:creator>
  <cp:lastModifiedBy>hbadran</cp:lastModifiedBy>
  <cp:revision>1</cp:revision>
  <cp:lastPrinted>2020-07-02T11:05:00Z</cp:lastPrinted>
  <dcterms:created xsi:type="dcterms:W3CDTF">2020-07-01T10:47:00Z</dcterms:created>
  <dcterms:modified xsi:type="dcterms:W3CDTF">2020-07-02T11:06:00Z</dcterms:modified>
</cp:coreProperties>
</file>