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23B" w:rsidRDefault="00FE023B" w:rsidP="00C019B3">
      <w:pPr>
        <w:bidi w:val="0"/>
        <w:ind w:left="142"/>
        <w:jc w:val="center"/>
        <w:rPr>
          <w:rFonts w:ascii="Calibri" w:hAnsi="Calibri"/>
          <w:b/>
          <w:bCs/>
          <w:sz w:val="32"/>
          <w:szCs w:val="32"/>
          <w:rtl/>
        </w:rPr>
      </w:pPr>
      <w:r>
        <w:rPr>
          <w:b/>
          <w:bCs/>
          <w:sz w:val="32"/>
          <w:szCs w:val="32"/>
        </w:rPr>
        <w:t>Palestinian Central Bureau of Statistics (PCBS)</w:t>
      </w:r>
    </w:p>
    <w:p w:rsidR="00FE023B" w:rsidRPr="00CA61EA" w:rsidRDefault="00FE023B" w:rsidP="00FE023B">
      <w:pPr>
        <w:bidi w:val="0"/>
        <w:jc w:val="center"/>
        <w:rPr>
          <w:b/>
          <w:bCs/>
          <w:sz w:val="16"/>
          <w:szCs w:val="16"/>
          <w:rtl/>
        </w:rPr>
      </w:pPr>
    </w:p>
    <w:p w:rsidR="00FE023B" w:rsidRDefault="00FE023B" w:rsidP="00FE023B">
      <w:pPr>
        <w:bidi w:val="0"/>
        <w:jc w:val="center"/>
        <w:rPr>
          <w:b/>
          <w:bCs/>
          <w:sz w:val="28"/>
          <w:szCs w:val="28"/>
        </w:rPr>
      </w:pPr>
      <w:r w:rsidRPr="00CA61EA">
        <w:rPr>
          <w:b/>
          <w:bCs/>
          <w:sz w:val="28"/>
          <w:szCs w:val="28"/>
        </w:rPr>
        <w:t xml:space="preserve">Press Release on the Results of the </w:t>
      </w:r>
      <w:proofErr w:type="spellStart"/>
      <w:r w:rsidRPr="00CA61EA">
        <w:rPr>
          <w:b/>
          <w:bCs/>
          <w:sz w:val="28"/>
          <w:szCs w:val="28"/>
        </w:rPr>
        <w:t>Labour</w:t>
      </w:r>
      <w:proofErr w:type="spellEnd"/>
      <w:r w:rsidRPr="00CA61EA">
        <w:rPr>
          <w:b/>
          <w:bCs/>
          <w:sz w:val="28"/>
          <w:szCs w:val="28"/>
        </w:rPr>
        <w:t xml:space="preserve"> Force Survey </w:t>
      </w:r>
      <w:r>
        <w:rPr>
          <w:b/>
          <w:bCs/>
          <w:sz w:val="28"/>
          <w:szCs w:val="28"/>
        </w:rPr>
        <w:t>S</w:t>
      </w:r>
      <w:r w:rsidRPr="00C87D63">
        <w:rPr>
          <w:b/>
          <w:bCs/>
          <w:sz w:val="28"/>
          <w:szCs w:val="28"/>
        </w:rPr>
        <w:t>econd</w:t>
      </w:r>
      <w:r>
        <w:rPr>
          <w:b/>
          <w:bCs/>
          <w:sz w:val="28"/>
          <w:szCs w:val="28"/>
        </w:rPr>
        <w:t xml:space="preserve"> </w:t>
      </w:r>
      <w:r w:rsidRPr="00CA61EA">
        <w:rPr>
          <w:b/>
          <w:bCs/>
          <w:sz w:val="28"/>
          <w:szCs w:val="28"/>
        </w:rPr>
        <w:t xml:space="preserve">Quarter </w:t>
      </w:r>
    </w:p>
    <w:p w:rsidR="00FE023B" w:rsidRPr="00CA61EA" w:rsidRDefault="00FE023B" w:rsidP="00FE023B">
      <w:pPr>
        <w:bidi w:val="0"/>
        <w:jc w:val="center"/>
        <w:rPr>
          <w:b/>
          <w:bCs/>
          <w:sz w:val="28"/>
          <w:szCs w:val="28"/>
        </w:rPr>
      </w:pPr>
      <w:r w:rsidRPr="00CA61EA">
        <w:rPr>
          <w:b/>
          <w:bCs/>
          <w:sz w:val="28"/>
          <w:szCs w:val="28"/>
        </w:rPr>
        <w:t>(</w:t>
      </w:r>
      <w:r>
        <w:rPr>
          <w:b/>
          <w:bCs/>
          <w:sz w:val="28"/>
          <w:szCs w:val="28"/>
        </w:rPr>
        <w:t>April</w:t>
      </w:r>
      <w:r w:rsidRPr="00CA61EA">
        <w:rPr>
          <w:b/>
          <w:bCs/>
          <w:sz w:val="28"/>
          <w:szCs w:val="28"/>
        </w:rPr>
        <w:t xml:space="preserve"> – </w:t>
      </w:r>
      <w:r>
        <w:rPr>
          <w:b/>
          <w:bCs/>
          <w:sz w:val="28"/>
          <w:szCs w:val="28"/>
        </w:rPr>
        <w:t>June</w:t>
      </w:r>
      <w:r w:rsidRPr="00CA61EA">
        <w:rPr>
          <w:b/>
          <w:bCs/>
          <w:sz w:val="28"/>
          <w:szCs w:val="28"/>
        </w:rPr>
        <w:t xml:space="preserve">, </w:t>
      </w:r>
      <w:r>
        <w:rPr>
          <w:b/>
          <w:bCs/>
          <w:sz w:val="28"/>
          <w:szCs w:val="28"/>
        </w:rPr>
        <w:t>2020</w:t>
      </w:r>
      <w:r w:rsidRPr="00CA61EA">
        <w:rPr>
          <w:b/>
          <w:bCs/>
          <w:sz w:val="28"/>
          <w:szCs w:val="28"/>
        </w:rPr>
        <w:t>)  Round</w:t>
      </w:r>
    </w:p>
    <w:p w:rsidR="00FE023B" w:rsidRPr="00CA61EA" w:rsidRDefault="00FE023B" w:rsidP="00FE023B">
      <w:pPr>
        <w:bidi w:val="0"/>
        <w:ind w:right="-1"/>
        <w:rPr>
          <w:b/>
          <w:bCs/>
          <w:sz w:val="28"/>
          <w:szCs w:val="28"/>
        </w:rPr>
      </w:pPr>
    </w:p>
    <w:p w:rsidR="00FE023B" w:rsidRPr="00FE023B" w:rsidRDefault="00FE023B" w:rsidP="00FE023B">
      <w:pPr>
        <w:jc w:val="right"/>
        <w:rPr>
          <w:b/>
          <w:bCs/>
          <w:sz w:val="16"/>
          <w:szCs w:val="16"/>
        </w:rPr>
      </w:pPr>
    </w:p>
    <w:p w:rsidR="00FE023B" w:rsidRPr="00FE023B" w:rsidRDefault="00FE023B" w:rsidP="00FE023B">
      <w:pPr>
        <w:jc w:val="right"/>
        <w:rPr>
          <w:rFonts w:asciiTheme="majorBidi" w:hAnsiTheme="majorBidi" w:cstheme="majorBidi"/>
          <w:b/>
          <w:bCs/>
          <w:sz w:val="28"/>
          <w:szCs w:val="28"/>
        </w:rPr>
      </w:pPr>
      <w:r w:rsidRPr="00FE023B">
        <w:rPr>
          <w:rFonts w:asciiTheme="majorBidi" w:hAnsiTheme="majorBidi" w:cstheme="majorBidi"/>
          <w:b/>
          <w:bCs/>
          <w:sz w:val="28"/>
          <w:szCs w:val="28"/>
        </w:rPr>
        <w:t xml:space="preserve">The Impact of the </w:t>
      </w:r>
      <w:proofErr w:type="spellStart"/>
      <w:r w:rsidRPr="00FE023B">
        <w:rPr>
          <w:rFonts w:asciiTheme="majorBidi" w:hAnsiTheme="majorBidi" w:cstheme="majorBidi"/>
          <w:b/>
          <w:bCs/>
          <w:sz w:val="28"/>
          <w:szCs w:val="28"/>
        </w:rPr>
        <w:t>Coronavirus</w:t>
      </w:r>
      <w:proofErr w:type="spellEnd"/>
      <w:r w:rsidRPr="00FE023B">
        <w:rPr>
          <w:rFonts w:asciiTheme="majorBidi" w:hAnsiTheme="majorBidi" w:cstheme="majorBidi"/>
          <w:b/>
          <w:bCs/>
          <w:sz w:val="28"/>
          <w:szCs w:val="28"/>
        </w:rPr>
        <w:t xml:space="preserve"> Pandemic on the </w:t>
      </w:r>
      <w:proofErr w:type="spellStart"/>
      <w:r w:rsidRPr="00FE023B">
        <w:rPr>
          <w:rFonts w:asciiTheme="majorBidi" w:hAnsiTheme="majorBidi" w:cstheme="majorBidi"/>
          <w:b/>
          <w:bCs/>
          <w:sz w:val="28"/>
          <w:szCs w:val="28"/>
        </w:rPr>
        <w:t>Labour</w:t>
      </w:r>
      <w:proofErr w:type="spellEnd"/>
      <w:r w:rsidRPr="00FE023B">
        <w:rPr>
          <w:rFonts w:asciiTheme="majorBidi" w:hAnsiTheme="majorBidi" w:cstheme="majorBidi"/>
          <w:b/>
          <w:bCs/>
          <w:sz w:val="28"/>
          <w:szCs w:val="28"/>
        </w:rPr>
        <w:t xml:space="preserve"> Market</w:t>
      </w:r>
    </w:p>
    <w:p w:rsidR="00D42CF0" w:rsidRPr="00FE023B" w:rsidRDefault="00D30051" w:rsidP="00FE023B">
      <w:pPr>
        <w:tabs>
          <w:tab w:val="right" w:pos="142"/>
          <w:tab w:val="num" w:pos="900"/>
        </w:tabs>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t xml:space="preserve">The </w:t>
      </w:r>
      <w:proofErr w:type="spellStart"/>
      <w:r w:rsidRPr="00FE023B">
        <w:rPr>
          <w:rFonts w:asciiTheme="majorBidi" w:hAnsiTheme="majorBidi" w:cstheme="majorBidi"/>
          <w:sz w:val="26"/>
          <w:szCs w:val="26"/>
          <w:lang w:val="en-GB"/>
        </w:rPr>
        <w:t>labo</w:t>
      </w:r>
      <w:proofErr w:type="spellEnd"/>
      <w:r w:rsidRPr="00FE023B">
        <w:rPr>
          <w:rFonts w:asciiTheme="majorBidi" w:hAnsiTheme="majorBidi" w:cstheme="majorBidi"/>
          <w:sz w:val="26"/>
          <w:szCs w:val="26"/>
        </w:rPr>
        <w:t>u</w:t>
      </w:r>
      <w:r w:rsidRPr="00FE023B">
        <w:rPr>
          <w:rFonts w:asciiTheme="majorBidi" w:hAnsiTheme="majorBidi" w:cstheme="majorBidi"/>
          <w:sz w:val="26"/>
          <w:szCs w:val="26"/>
          <w:lang w:val="en-GB"/>
        </w:rPr>
        <w:t>r market is considered the most affected</w:t>
      </w:r>
      <w:r w:rsidR="0008530B" w:rsidRPr="00FE023B">
        <w:rPr>
          <w:rFonts w:asciiTheme="majorBidi" w:hAnsiTheme="majorBidi" w:cstheme="majorBidi"/>
          <w:sz w:val="26"/>
          <w:szCs w:val="26"/>
          <w:lang w:val="en-GB"/>
        </w:rPr>
        <w:t xml:space="preserve"> sector</w:t>
      </w:r>
      <w:r w:rsidRPr="00FE023B">
        <w:rPr>
          <w:rFonts w:asciiTheme="majorBidi" w:hAnsiTheme="majorBidi" w:cstheme="majorBidi"/>
          <w:sz w:val="26"/>
          <w:szCs w:val="26"/>
          <w:lang w:val="en-GB"/>
        </w:rPr>
        <w:t xml:space="preserve"> during the ongoing </w:t>
      </w:r>
      <w:proofErr w:type="spellStart"/>
      <w:r w:rsidRPr="00FE023B">
        <w:rPr>
          <w:rFonts w:asciiTheme="majorBidi" w:hAnsiTheme="majorBidi" w:cstheme="majorBidi"/>
          <w:sz w:val="26"/>
          <w:szCs w:val="26"/>
          <w:lang w:val="en-GB"/>
        </w:rPr>
        <w:t>Corona</w:t>
      </w:r>
      <w:r w:rsidR="0008530B" w:rsidRPr="00FE023B">
        <w:rPr>
          <w:rFonts w:asciiTheme="majorBidi" w:hAnsiTheme="majorBidi" w:cstheme="majorBidi"/>
          <w:sz w:val="26"/>
          <w:szCs w:val="26"/>
          <w:lang w:val="en-GB"/>
        </w:rPr>
        <w:t>virus</w:t>
      </w:r>
      <w:proofErr w:type="spellEnd"/>
      <w:r w:rsidRPr="00FE023B">
        <w:rPr>
          <w:rFonts w:asciiTheme="majorBidi" w:hAnsiTheme="majorBidi" w:cstheme="majorBidi"/>
          <w:sz w:val="26"/>
          <w:szCs w:val="26"/>
          <w:lang w:val="en-GB"/>
        </w:rPr>
        <w:t xml:space="preserve"> pandemic since the beginning of March 2020, as the Palestinian government has taken several measures </w:t>
      </w:r>
      <w:r w:rsidR="0008530B" w:rsidRPr="00FE023B">
        <w:rPr>
          <w:rFonts w:asciiTheme="majorBidi" w:hAnsiTheme="majorBidi" w:cstheme="majorBidi"/>
          <w:sz w:val="26"/>
          <w:szCs w:val="26"/>
          <w:lang w:val="en-GB"/>
        </w:rPr>
        <w:t xml:space="preserve">in addition to </w:t>
      </w:r>
      <w:r w:rsidRPr="00FE023B">
        <w:rPr>
          <w:rFonts w:asciiTheme="majorBidi" w:hAnsiTheme="majorBidi" w:cstheme="majorBidi"/>
          <w:sz w:val="26"/>
          <w:szCs w:val="26"/>
          <w:lang w:val="en-GB"/>
        </w:rPr>
        <w:t>an emergency plan to limit the outbreak of the pandemic</w:t>
      </w:r>
      <w:r w:rsidR="0008530B" w:rsidRPr="00FE023B">
        <w:rPr>
          <w:rFonts w:asciiTheme="majorBidi" w:hAnsiTheme="majorBidi" w:cstheme="majorBidi"/>
          <w:sz w:val="26"/>
          <w:szCs w:val="26"/>
          <w:lang w:val="en-GB"/>
        </w:rPr>
        <w:t xml:space="preserve">.  Thus, </w:t>
      </w:r>
      <w:r w:rsidRPr="00FE023B">
        <w:rPr>
          <w:rFonts w:asciiTheme="majorBidi" w:hAnsiTheme="majorBidi" w:cstheme="majorBidi"/>
          <w:sz w:val="26"/>
          <w:szCs w:val="26"/>
          <w:lang w:val="en-GB"/>
        </w:rPr>
        <w:t xml:space="preserve">the </w:t>
      </w:r>
      <w:r w:rsidR="00961A95" w:rsidRPr="00FE023B">
        <w:rPr>
          <w:rFonts w:asciiTheme="majorBidi" w:hAnsiTheme="majorBidi" w:cstheme="majorBidi"/>
          <w:sz w:val="26"/>
          <w:szCs w:val="26"/>
          <w:lang w:val="en-GB"/>
        </w:rPr>
        <w:t xml:space="preserve">report </w:t>
      </w:r>
      <w:r w:rsidRPr="00FE023B">
        <w:rPr>
          <w:rFonts w:asciiTheme="majorBidi" w:hAnsiTheme="majorBidi" w:cstheme="majorBidi"/>
          <w:sz w:val="26"/>
          <w:szCs w:val="26"/>
          <w:lang w:val="en-GB"/>
        </w:rPr>
        <w:t>below reflects the most important indicators of the Palestinian labo</w:t>
      </w:r>
      <w:r w:rsidR="00961A95" w:rsidRPr="00FE023B">
        <w:rPr>
          <w:rFonts w:asciiTheme="majorBidi" w:hAnsiTheme="majorBidi" w:cstheme="majorBidi"/>
          <w:sz w:val="26"/>
          <w:szCs w:val="26"/>
          <w:lang w:val="en-GB"/>
        </w:rPr>
        <w:t>u</w:t>
      </w:r>
      <w:r w:rsidRPr="00FE023B">
        <w:rPr>
          <w:rFonts w:asciiTheme="majorBidi" w:hAnsiTheme="majorBidi" w:cstheme="majorBidi"/>
          <w:sz w:val="26"/>
          <w:szCs w:val="26"/>
          <w:lang w:val="en-GB"/>
        </w:rPr>
        <w:t xml:space="preserve">r market during the </w:t>
      </w:r>
      <w:r w:rsidR="00961A95" w:rsidRPr="00FE023B">
        <w:rPr>
          <w:rFonts w:asciiTheme="majorBidi" w:hAnsiTheme="majorBidi" w:cstheme="majorBidi"/>
          <w:sz w:val="26"/>
          <w:szCs w:val="26"/>
          <w:lang w:val="en-GB"/>
        </w:rPr>
        <w:t>2</w:t>
      </w:r>
      <w:r w:rsidR="00961A95" w:rsidRPr="00FE023B">
        <w:rPr>
          <w:rFonts w:asciiTheme="majorBidi" w:hAnsiTheme="majorBidi" w:cstheme="majorBidi"/>
          <w:sz w:val="26"/>
          <w:szCs w:val="26"/>
          <w:vertAlign w:val="superscript"/>
          <w:lang w:val="en-GB"/>
        </w:rPr>
        <w:t>nd</w:t>
      </w:r>
      <w:r w:rsidR="00961A95"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quarter of 2020, where the impact on the labo</w:t>
      </w:r>
      <w:r w:rsidR="00961A95" w:rsidRPr="00FE023B">
        <w:rPr>
          <w:rFonts w:asciiTheme="majorBidi" w:hAnsiTheme="majorBidi" w:cstheme="majorBidi"/>
          <w:sz w:val="26"/>
          <w:szCs w:val="26"/>
          <w:lang w:val="en-GB"/>
        </w:rPr>
        <w:t>u</w:t>
      </w:r>
      <w:r w:rsidRPr="00FE023B">
        <w:rPr>
          <w:rFonts w:asciiTheme="majorBidi" w:hAnsiTheme="majorBidi" w:cstheme="majorBidi"/>
          <w:sz w:val="26"/>
          <w:szCs w:val="26"/>
          <w:lang w:val="en-GB"/>
        </w:rPr>
        <w:t xml:space="preserve">r market appeared clearly </w:t>
      </w:r>
      <w:r w:rsidR="00961A95" w:rsidRPr="00FE023B">
        <w:rPr>
          <w:rFonts w:asciiTheme="majorBidi" w:hAnsiTheme="majorBidi" w:cstheme="majorBidi"/>
          <w:sz w:val="26"/>
          <w:szCs w:val="26"/>
          <w:lang w:val="en-GB"/>
        </w:rPr>
        <w:t>as</w:t>
      </w:r>
      <w:r w:rsidRPr="00FE023B">
        <w:rPr>
          <w:rFonts w:asciiTheme="majorBidi" w:hAnsiTheme="majorBidi" w:cstheme="majorBidi"/>
          <w:sz w:val="26"/>
          <w:szCs w:val="26"/>
          <w:lang w:val="en-GB"/>
        </w:rPr>
        <w:t xml:space="preserve"> </w:t>
      </w:r>
      <w:r w:rsidR="0008530B" w:rsidRPr="00FE023B">
        <w:rPr>
          <w:rFonts w:asciiTheme="majorBidi" w:hAnsiTheme="majorBidi" w:cstheme="majorBidi"/>
          <w:sz w:val="26"/>
          <w:szCs w:val="26"/>
          <w:lang w:val="en-GB"/>
        </w:rPr>
        <w:t>follows</w:t>
      </w:r>
      <w:r w:rsidRPr="00FE023B">
        <w:rPr>
          <w:rFonts w:asciiTheme="majorBidi" w:hAnsiTheme="majorBidi" w:cstheme="majorBidi"/>
          <w:sz w:val="26"/>
          <w:szCs w:val="26"/>
          <w:lang w:val="en-GB"/>
        </w:rPr>
        <w:t>:</w:t>
      </w:r>
      <w:r w:rsidR="00D42CF0" w:rsidRPr="00FE023B">
        <w:rPr>
          <w:rFonts w:asciiTheme="majorBidi" w:hAnsiTheme="majorBidi" w:cstheme="majorBidi"/>
          <w:sz w:val="26"/>
          <w:szCs w:val="26"/>
          <w:lang w:val="en-GB"/>
        </w:rPr>
        <w:t>.</w:t>
      </w:r>
    </w:p>
    <w:p w:rsidR="00C34F81" w:rsidRPr="00FE023B" w:rsidRDefault="00D42CF0" w:rsidP="00DB42A9">
      <w:pPr>
        <w:tabs>
          <w:tab w:val="right" w:pos="142"/>
          <w:tab w:val="num" w:pos="900"/>
        </w:tabs>
        <w:bidi w:val="0"/>
        <w:ind w:right="-1"/>
        <w:jc w:val="both"/>
        <w:rPr>
          <w:rFonts w:asciiTheme="majorBidi" w:hAnsiTheme="majorBidi" w:cstheme="majorBidi"/>
          <w:b/>
          <w:bCs/>
          <w:sz w:val="28"/>
          <w:szCs w:val="28"/>
          <w:lang w:val="en-GB"/>
        </w:rPr>
      </w:pPr>
      <w:r w:rsidRPr="00FE023B">
        <w:rPr>
          <w:rFonts w:asciiTheme="majorBidi" w:hAnsiTheme="majorBidi" w:cstheme="majorBidi"/>
          <w:sz w:val="16"/>
          <w:szCs w:val="16"/>
          <w:lang w:val="en-GB"/>
        </w:rPr>
        <w:br/>
      </w:r>
      <w:r w:rsidRPr="00FE023B">
        <w:rPr>
          <w:rFonts w:asciiTheme="majorBidi" w:hAnsiTheme="majorBidi" w:cstheme="majorBidi"/>
          <w:b/>
          <w:bCs/>
          <w:sz w:val="28"/>
          <w:szCs w:val="28"/>
          <w:lang w:val="en-GB"/>
        </w:rPr>
        <w:t xml:space="preserve">The number of employed </w:t>
      </w:r>
      <w:r w:rsidR="0008530B" w:rsidRPr="00FE023B">
        <w:rPr>
          <w:rFonts w:asciiTheme="majorBidi" w:hAnsiTheme="majorBidi" w:cstheme="majorBidi"/>
          <w:b/>
          <w:bCs/>
          <w:sz w:val="28"/>
          <w:szCs w:val="28"/>
          <w:lang w:val="en-GB"/>
        </w:rPr>
        <w:t xml:space="preserve">persons </w:t>
      </w:r>
      <w:r w:rsidRPr="00FE023B">
        <w:rPr>
          <w:rFonts w:asciiTheme="majorBidi" w:hAnsiTheme="majorBidi" w:cstheme="majorBidi"/>
          <w:b/>
          <w:bCs/>
          <w:sz w:val="28"/>
          <w:szCs w:val="28"/>
          <w:lang w:val="en-GB"/>
        </w:rPr>
        <w:t>decreased by 121</w:t>
      </w:r>
      <w:r w:rsidR="00C34F81" w:rsidRPr="00FE023B">
        <w:rPr>
          <w:rFonts w:asciiTheme="majorBidi" w:hAnsiTheme="majorBidi" w:cstheme="majorBidi"/>
          <w:b/>
          <w:bCs/>
          <w:sz w:val="28"/>
          <w:szCs w:val="28"/>
          <w:lang w:val="en-GB"/>
        </w:rPr>
        <w:t xml:space="preserve"> </w:t>
      </w:r>
      <w:r w:rsidRPr="00FE023B">
        <w:rPr>
          <w:rFonts w:asciiTheme="majorBidi" w:hAnsiTheme="majorBidi" w:cstheme="majorBidi"/>
          <w:b/>
          <w:bCs/>
          <w:sz w:val="28"/>
          <w:szCs w:val="28"/>
          <w:lang w:val="en-GB"/>
        </w:rPr>
        <w:t>thousand in the 2</w:t>
      </w:r>
      <w:r w:rsidRPr="00FE023B">
        <w:rPr>
          <w:rFonts w:asciiTheme="majorBidi" w:hAnsiTheme="majorBidi" w:cstheme="majorBidi"/>
          <w:b/>
          <w:bCs/>
          <w:sz w:val="28"/>
          <w:szCs w:val="28"/>
          <w:vertAlign w:val="superscript"/>
          <w:lang w:val="en-GB"/>
        </w:rPr>
        <w:t>nd</w:t>
      </w:r>
      <w:r w:rsidR="00C34F81" w:rsidRPr="00FE023B">
        <w:rPr>
          <w:rFonts w:asciiTheme="majorBidi" w:hAnsiTheme="majorBidi" w:cstheme="majorBidi"/>
          <w:b/>
          <w:bCs/>
          <w:sz w:val="28"/>
          <w:szCs w:val="28"/>
          <w:lang w:val="en-GB"/>
        </w:rPr>
        <w:t xml:space="preserve"> </w:t>
      </w:r>
      <w:r w:rsidRPr="00FE023B">
        <w:rPr>
          <w:rFonts w:asciiTheme="majorBidi" w:hAnsiTheme="majorBidi" w:cstheme="majorBidi"/>
          <w:b/>
          <w:bCs/>
          <w:sz w:val="28"/>
          <w:szCs w:val="28"/>
          <w:lang w:val="en-GB"/>
        </w:rPr>
        <w:t>quarter of 2020</w:t>
      </w:r>
    </w:p>
    <w:p w:rsidR="00C34F81" w:rsidRPr="00FE023B" w:rsidRDefault="00961A95" w:rsidP="002C469D">
      <w:pPr>
        <w:tabs>
          <w:tab w:val="right" w:pos="142"/>
          <w:tab w:val="num" w:pos="900"/>
        </w:tabs>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t xml:space="preserve">The number of employed </w:t>
      </w:r>
      <w:r w:rsidR="0082459D" w:rsidRPr="00FE023B">
        <w:rPr>
          <w:rFonts w:asciiTheme="majorBidi" w:hAnsiTheme="majorBidi" w:cstheme="majorBidi"/>
          <w:sz w:val="26"/>
          <w:szCs w:val="26"/>
          <w:lang w:val="en-GB"/>
        </w:rPr>
        <w:t>persons</w:t>
      </w:r>
      <w:r w:rsidR="0082459D" w:rsidRPr="00FE023B">
        <w:rPr>
          <w:rFonts w:asciiTheme="majorBidi" w:hAnsiTheme="majorBidi" w:cstheme="majorBidi"/>
          <w:b/>
          <w:bCs/>
          <w:sz w:val="26"/>
          <w:szCs w:val="26"/>
          <w:lang w:val="en-GB"/>
        </w:rPr>
        <w:t xml:space="preserve"> </w:t>
      </w:r>
      <w:r w:rsidRPr="00FE023B">
        <w:rPr>
          <w:rFonts w:asciiTheme="majorBidi" w:hAnsiTheme="majorBidi" w:cstheme="majorBidi"/>
          <w:sz w:val="26"/>
          <w:szCs w:val="26"/>
          <w:lang w:val="en-GB"/>
        </w:rPr>
        <w:t>decreased from 1,009,900 in the 1</w:t>
      </w:r>
      <w:r w:rsidRPr="00FE023B">
        <w:rPr>
          <w:rFonts w:asciiTheme="majorBidi" w:hAnsiTheme="majorBidi" w:cstheme="majorBidi"/>
          <w:sz w:val="26"/>
          <w:szCs w:val="26"/>
          <w:vertAlign w:val="superscript"/>
          <w:lang w:val="en-GB"/>
        </w:rPr>
        <w:t>st</w:t>
      </w:r>
      <w:r w:rsidRPr="00FE023B">
        <w:rPr>
          <w:rFonts w:asciiTheme="majorBidi" w:hAnsiTheme="majorBidi" w:cstheme="majorBidi"/>
          <w:sz w:val="26"/>
          <w:szCs w:val="26"/>
          <w:lang w:val="en-GB"/>
        </w:rPr>
        <w:t xml:space="preserve"> quarter of 2020 to 88</w:t>
      </w:r>
      <w:r w:rsidR="002C469D" w:rsidRPr="00FE023B">
        <w:rPr>
          <w:rFonts w:asciiTheme="majorBidi" w:hAnsiTheme="majorBidi" w:cstheme="majorBidi"/>
          <w:sz w:val="26"/>
          <w:szCs w:val="26"/>
          <w:lang w:val="en-GB"/>
        </w:rPr>
        <w:t>8</w:t>
      </w:r>
      <w:r w:rsidRPr="00FE023B">
        <w:rPr>
          <w:rFonts w:asciiTheme="majorBidi" w:hAnsiTheme="majorBidi" w:cstheme="majorBidi"/>
          <w:sz w:val="26"/>
          <w:szCs w:val="26"/>
          <w:lang w:val="en-GB"/>
        </w:rPr>
        <w:t>,700 in the 2</w:t>
      </w:r>
      <w:r w:rsidRPr="00FE023B">
        <w:rPr>
          <w:rFonts w:asciiTheme="majorBidi" w:hAnsiTheme="majorBidi" w:cstheme="majorBidi"/>
          <w:sz w:val="26"/>
          <w:szCs w:val="26"/>
          <w:vertAlign w:val="superscript"/>
          <w:lang w:val="en-GB"/>
        </w:rPr>
        <w:t>nd</w:t>
      </w:r>
      <w:r w:rsidRPr="00FE023B">
        <w:rPr>
          <w:rFonts w:asciiTheme="majorBidi" w:hAnsiTheme="majorBidi" w:cstheme="majorBidi"/>
          <w:sz w:val="26"/>
          <w:szCs w:val="26"/>
          <w:lang w:val="en-GB"/>
        </w:rPr>
        <w:t xml:space="preserve"> quarter of 2020, by 12% compared to the 1</w:t>
      </w:r>
      <w:r w:rsidRPr="00FE023B">
        <w:rPr>
          <w:rFonts w:asciiTheme="majorBidi" w:hAnsiTheme="majorBidi" w:cstheme="majorBidi"/>
          <w:sz w:val="26"/>
          <w:szCs w:val="26"/>
          <w:vertAlign w:val="superscript"/>
          <w:lang w:val="en-GB"/>
        </w:rPr>
        <w:t>st</w:t>
      </w:r>
      <w:r w:rsidRPr="00FE023B">
        <w:rPr>
          <w:rFonts w:asciiTheme="majorBidi" w:hAnsiTheme="majorBidi" w:cstheme="majorBidi"/>
          <w:sz w:val="26"/>
          <w:szCs w:val="26"/>
          <w:lang w:val="en-GB"/>
        </w:rPr>
        <w:t xml:space="preserve"> quarter of 2020. It decreased in Gaza Strip by 17% compared to the 1</w:t>
      </w:r>
      <w:r w:rsidRPr="00FE023B">
        <w:rPr>
          <w:rFonts w:asciiTheme="majorBidi" w:hAnsiTheme="majorBidi" w:cstheme="majorBidi"/>
          <w:sz w:val="26"/>
          <w:szCs w:val="26"/>
          <w:vertAlign w:val="superscript"/>
          <w:lang w:val="en-GB"/>
        </w:rPr>
        <w:t>st</w:t>
      </w:r>
      <w:r w:rsidRPr="00FE023B">
        <w:rPr>
          <w:rFonts w:asciiTheme="majorBidi" w:hAnsiTheme="majorBidi" w:cstheme="majorBidi"/>
          <w:sz w:val="26"/>
          <w:szCs w:val="26"/>
          <w:lang w:val="en-GB"/>
        </w:rPr>
        <w:t xml:space="preserve"> quarter 2020, </w:t>
      </w:r>
      <w:r w:rsidR="002C469D" w:rsidRPr="00FE023B">
        <w:rPr>
          <w:rFonts w:asciiTheme="majorBidi" w:hAnsiTheme="majorBidi" w:cstheme="majorBidi"/>
          <w:sz w:val="26"/>
          <w:szCs w:val="26"/>
          <w:lang w:val="en-GB"/>
        </w:rPr>
        <w:t xml:space="preserve">while </w:t>
      </w:r>
      <w:r w:rsidRPr="00FE023B">
        <w:rPr>
          <w:rFonts w:asciiTheme="majorBidi" w:hAnsiTheme="majorBidi" w:cstheme="majorBidi"/>
          <w:sz w:val="26"/>
          <w:szCs w:val="26"/>
          <w:lang w:val="en-GB"/>
        </w:rPr>
        <w:t xml:space="preserve">it decreased by 10% </w:t>
      </w:r>
      <w:r w:rsidR="0008530B" w:rsidRPr="00FE023B">
        <w:rPr>
          <w:rFonts w:asciiTheme="majorBidi" w:hAnsiTheme="majorBidi" w:cstheme="majorBidi"/>
          <w:sz w:val="26"/>
          <w:szCs w:val="26"/>
          <w:lang w:val="en-GB"/>
        </w:rPr>
        <w:t xml:space="preserve">in the West Bank </w:t>
      </w:r>
      <w:r w:rsidRPr="00FE023B">
        <w:rPr>
          <w:rFonts w:asciiTheme="majorBidi" w:hAnsiTheme="majorBidi" w:cstheme="majorBidi"/>
          <w:sz w:val="26"/>
          <w:szCs w:val="26"/>
          <w:lang w:val="en-GB"/>
        </w:rPr>
        <w:t>for the same period.</w:t>
      </w:r>
    </w:p>
    <w:p w:rsidR="00C34F81" w:rsidRPr="00FE023B" w:rsidRDefault="00C34F81" w:rsidP="00C34F81">
      <w:pPr>
        <w:tabs>
          <w:tab w:val="right" w:pos="142"/>
          <w:tab w:val="num" w:pos="900"/>
        </w:tabs>
        <w:bidi w:val="0"/>
        <w:ind w:right="-1"/>
        <w:jc w:val="both"/>
        <w:rPr>
          <w:rFonts w:asciiTheme="majorBidi" w:hAnsiTheme="majorBidi" w:cstheme="majorBidi"/>
          <w:sz w:val="16"/>
          <w:szCs w:val="16"/>
          <w:lang w:val="en-GB"/>
        </w:rPr>
      </w:pPr>
    </w:p>
    <w:p w:rsidR="00D42CF0" w:rsidRPr="00FE023B" w:rsidRDefault="00D42CF0" w:rsidP="00773C89">
      <w:pPr>
        <w:tabs>
          <w:tab w:val="right" w:pos="142"/>
          <w:tab w:val="num" w:pos="900"/>
        </w:tabs>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t>Th</w:t>
      </w:r>
      <w:r w:rsidR="0012780A" w:rsidRPr="00FE023B">
        <w:rPr>
          <w:rFonts w:asciiTheme="majorBidi" w:hAnsiTheme="majorBidi" w:cstheme="majorBidi"/>
          <w:sz w:val="26"/>
          <w:szCs w:val="26"/>
          <w:lang w:val="en-GB"/>
        </w:rPr>
        <w:t>e</w:t>
      </w:r>
      <w:r w:rsidRPr="00FE023B">
        <w:rPr>
          <w:rFonts w:asciiTheme="majorBidi" w:hAnsiTheme="majorBidi" w:cstheme="majorBidi"/>
          <w:sz w:val="26"/>
          <w:szCs w:val="26"/>
          <w:lang w:val="en-GB"/>
        </w:rPr>
        <w:t xml:space="preserve"> </w:t>
      </w:r>
      <w:r w:rsidR="00961A95" w:rsidRPr="00FE023B">
        <w:rPr>
          <w:rFonts w:asciiTheme="majorBidi" w:hAnsiTheme="majorBidi" w:cstheme="majorBidi"/>
          <w:sz w:val="26"/>
          <w:szCs w:val="26"/>
          <w:lang w:val="en-GB"/>
        </w:rPr>
        <w:t xml:space="preserve">largest decline </w:t>
      </w:r>
      <w:r w:rsidR="00773C89" w:rsidRPr="00FE023B">
        <w:rPr>
          <w:rFonts w:asciiTheme="majorBidi" w:hAnsiTheme="majorBidi" w:cstheme="majorBidi"/>
          <w:sz w:val="26"/>
          <w:szCs w:val="26"/>
          <w:lang w:val="en-GB"/>
        </w:rPr>
        <w:t xml:space="preserve">reported </w:t>
      </w:r>
      <w:r w:rsidR="00961A95" w:rsidRPr="00FE023B">
        <w:rPr>
          <w:rFonts w:asciiTheme="majorBidi" w:hAnsiTheme="majorBidi" w:cstheme="majorBidi"/>
          <w:sz w:val="26"/>
          <w:szCs w:val="26"/>
          <w:lang w:val="en-GB"/>
        </w:rPr>
        <w:t>among</w:t>
      </w:r>
      <w:r w:rsidR="0082459D" w:rsidRPr="00FE023B">
        <w:rPr>
          <w:rFonts w:asciiTheme="majorBidi" w:hAnsiTheme="majorBidi" w:cstheme="majorBidi"/>
          <w:sz w:val="26"/>
          <w:szCs w:val="26"/>
          <w:lang w:val="en-GB"/>
        </w:rPr>
        <w:t xml:space="preserve"> </w:t>
      </w:r>
      <w:r w:rsidR="00887C08" w:rsidRPr="00FE023B">
        <w:rPr>
          <w:rFonts w:asciiTheme="majorBidi" w:hAnsiTheme="majorBidi" w:cstheme="majorBidi"/>
          <w:sz w:val="26"/>
          <w:szCs w:val="26"/>
          <w:lang w:val="en-GB"/>
        </w:rPr>
        <w:t>employer</w:t>
      </w:r>
      <w:r w:rsidR="0008530B" w:rsidRPr="00FE023B">
        <w:rPr>
          <w:rFonts w:asciiTheme="majorBidi" w:hAnsiTheme="majorBidi" w:cstheme="majorBidi"/>
          <w:sz w:val="26"/>
          <w:szCs w:val="26"/>
          <w:lang w:val="en-GB"/>
        </w:rPr>
        <w:t>s</w:t>
      </w:r>
      <w:r w:rsidR="00887C08" w:rsidRPr="00FE023B">
        <w:rPr>
          <w:rFonts w:asciiTheme="majorBidi" w:hAnsiTheme="majorBidi" w:cstheme="majorBidi"/>
          <w:sz w:val="26"/>
          <w:szCs w:val="26"/>
          <w:lang w:val="en-GB"/>
        </w:rPr>
        <w:t xml:space="preserve"> and self employed</w:t>
      </w:r>
      <w:r w:rsidR="0082459D" w:rsidRPr="00FE023B">
        <w:rPr>
          <w:rFonts w:asciiTheme="majorBidi" w:hAnsiTheme="majorBidi" w:cstheme="majorBidi"/>
          <w:sz w:val="26"/>
          <w:szCs w:val="26"/>
          <w:lang w:val="en-GB"/>
        </w:rPr>
        <w:t xml:space="preserve">, as this number declined </w:t>
      </w:r>
      <w:r w:rsidR="00BC7003" w:rsidRPr="00FE023B">
        <w:rPr>
          <w:rFonts w:asciiTheme="majorBidi" w:hAnsiTheme="majorBidi" w:cstheme="majorBidi"/>
          <w:sz w:val="26"/>
          <w:szCs w:val="26"/>
          <w:lang w:val="en-GB"/>
        </w:rPr>
        <w:t>by</w:t>
      </w:r>
      <w:r w:rsidR="0008530B" w:rsidRPr="00FE023B">
        <w:rPr>
          <w:rFonts w:asciiTheme="majorBidi" w:hAnsiTheme="majorBidi" w:cstheme="majorBidi"/>
          <w:sz w:val="26"/>
          <w:szCs w:val="26"/>
          <w:lang w:val="en-GB"/>
        </w:rPr>
        <w:t xml:space="preserve"> </w:t>
      </w:r>
      <w:r w:rsidR="00961A95" w:rsidRPr="00FE023B">
        <w:rPr>
          <w:rFonts w:asciiTheme="majorBidi" w:hAnsiTheme="majorBidi" w:cstheme="majorBidi"/>
          <w:sz w:val="26"/>
          <w:szCs w:val="26"/>
          <w:lang w:val="en-GB"/>
        </w:rPr>
        <w:t>1</w:t>
      </w:r>
      <w:r w:rsidRPr="00FE023B">
        <w:rPr>
          <w:rFonts w:asciiTheme="majorBidi" w:hAnsiTheme="majorBidi" w:cstheme="majorBidi"/>
          <w:sz w:val="26"/>
          <w:szCs w:val="26"/>
          <w:lang w:val="en-GB"/>
        </w:rPr>
        <w:t xml:space="preserve">01 thousand </w:t>
      </w:r>
      <w:r w:rsidR="00C34F81" w:rsidRPr="00FE023B">
        <w:rPr>
          <w:rFonts w:asciiTheme="majorBidi" w:hAnsiTheme="majorBidi" w:cstheme="majorBidi"/>
          <w:sz w:val="26"/>
          <w:szCs w:val="26"/>
          <w:lang w:val="en-GB"/>
        </w:rPr>
        <w:t xml:space="preserve">employed </w:t>
      </w:r>
      <w:r w:rsidR="0082459D" w:rsidRPr="00FE023B">
        <w:rPr>
          <w:rFonts w:asciiTheme="majorBidi" w:hAnsiTheme="majorBidi" w:cstheme="majorBidi"/>
          <w:sz w:val="26"/>
          <w:szCs w:val="26"/>
          <w:lang w:val="en-GB"/>
        </w:rPr>
        <w:t>persons</w:t>
      </w:r>
      <w:r w:rsidR="0012780A" w:rsidRPr="00FE023B">
        <w:rPr>
          <w:rFonts w:asciiTheme="majorBidi" w:hAnsiTheme="majorBidi" w:cstheme="majorBidi"/>
          <w:sz w:val="26"/>
          <w:szCs w:val="26"/>
          <w:lang w:val="en-GB"/>
        </w:rPr>
        <w:t>,</w:t>
      </w:r>
      <w:r w:rsidR="00887C08" w:rsidRPr="00FE023B">
        <w:rPr>
          <w:rFonts w:asciiTheme="majorBidi" w:hAnsiTheme="majorBidi" w:cstheme="majorBidi"/>
          <w:sz w:val="26"/>
          <w:szCs w:val="26"/>
          <w:lang w:val="en-GB"/>
        </w:rPr>
        <w:t xml:space="preserve"> followed by </w:t>
      </w:r>
      <w:r w:rsidR="0082459D" w:rsidRPr="00FE023B">
        <w:rPr>
          <w:rFonts w:asciiTheme="majorBidi" w:hAnsiTheme="majorBidi" w:cstheme="majorBidi"/>
          <w:sz w:val="26"/>
          <w:szCs w:val="26"/>
          <w:lang w:val="en-GB"/>
        </w:rPr>
        <w:t xml:space="preserve">the number of </w:t>
      </w:r>
      <w:r w:rsidR="00887C08" w:rsidRPr="00FE023B">
        <w:rPr>
          <w:rFonts w:asciiTheme="majorBidi" w:hAnsiTheme="majorBidi" w:cstheme="majorBidi"/>
          <w:sz w:val="26"/>
          <w:szCs w:val="26"/>
          <w:lang w:val="en-GB"/>
        </w:rPr>
        <w:t>wage employees</w:t>
      </w:r>
      <w:r w:rsidR="00BC7003" w:rsidRPr="00FE023B">
        <w:rPr>
          <w:rFonts w:asciiTheme="majorBidi" w:hAnsiTheme="majorBidi" w:cstheme="majorBidi"/>
          <w:sz w:val="26"/>
          <w:szCs w:val="26"/>
          <w:lang w:val="en-GB"/>
        </w:rPr>
        <w:t xml:space="preserve">, which decreased </w:t>
      </w:r>
      <w:r w:rsidR="00887C08" w:rsidRPr="00FE023B">
        <w:rPr>
          <w:rFonts w:asciiTheme="majorBidi" w:hAnsiTheme="majorBidi" w:cstheme="majorBidi"/>
          <w:sz w:val="26"/>
          <w:szCs w:val="26"/>
          <w:lang w:val="en-GB"/>
        </w:rPr>
        <w:t xml:space="preserve"> by about </w:t>
      </w:r>
      <w:r w:rsidR="0012780A" w:rsidRPr="00FE023B">
        <w:rPr>
          <w:rFonts w:asciiTheme="majorBidi" w:hAnsiTheme="majorBidi" w:cstheme="majorBidi"/>
          <w:sz w:val="26"/>
          <w:szCs w:val="26"/>
          <w:lang w:val="en-GB"/>
        </w:rPr>
        <w:t xml:space="preserve">115,300 </w:t>
      </w:r>
      <w:r w:rsidRPr="00FE023B">
        <w:rPr>
          <w:rFonts w:asciiTheme="majorBidi" w:hAnsiTheme="majorBidi" w:cstheme="majorBidi"/>
          <w:sz w:val="26"/>
          <w:szCs w:val="26"/>
          <w:lang w:val="en-GB"/>
        </w:rPr>
        <w:t xml:space="preserve">between the </w:t>
      </w:r>
      <w:r w:rsidR="0012780A" w:rsidRPr="00FE023B">
        <w:rPr>
          <w:rFonts w:asciiTheme="majorBidi" w:hAnsiTheme="majorBidi" w:cstheme="majorBidi"/>
          <w:sz w:val="26"/>
          <w:szCs w:val="26"/>
          <w:lang w:val="en-GB"/>
        </w:rPr>
        <w:t>1</w:t>
      </w:r>
      <w:r w:rsidR="0012780A" w:rsidRPr="00FE023B">
        <w:rPr>
          <w:rFonts w:asciiTheme="majorBidi" w:hAnsiTheme="majorBidi" w:cstheme="majorBidi"/>
          <w:sz w:val="26"/>
          <w:szCs w:val="26"/>
          <w:vertAlign w:val="superscript"/>
          <w:lang w:val="en-GB"/>
        </w:rPr>
        <w:t>st</w:t>
      </w:r>
      <w:r w:rsidR="0012780A"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 xml:space="preserve"> and </w:t>
      </w:r>
      <w:r w:rsidR="0012780A" w:rsidRPr="00FE023B">
        <w:rPr>
          <w:rFonts w:asciiTheme="majorBidi" w:hAnsiTheme="majorBidi" w:cstheme="majorBidi"/>
          <w:sz w:val="26"/>
          <w:szCs w:val="26"/>
          <w:lang w:val="en-GB"/>
        </w:rPr>
        <w:t>2</w:t>
      </w:r>
      <w:r w:rsidR="0012780A" w:rsidRPr="00FE023B">
        <w:rPr>
          <w:rFonts w:asciiTheme="majorBidi" w:hAnsiTheme="majorBidi" w:cstheme="majorBidi"/>
          <w:sz w:val="26"/>
          <w:szCs w:val="26"/>
          <w:vertAlign w:val="superscript"/>
          <w:lang w:val="en-GB"/>
        </w:rPr>
        <w:t>nd</w:t>
      </w:r>
      <w:r w:rsidR="008C3E37"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quarter</w:t>
      </w:r>
      <w:r w:rsidR="001C4601" w:rsidRPr="00FE023B">
        <w:rPr>
          <w:rFonts w:asciiTheme="majorBidi" w:hAnsiTheme="majorBidi" w:cstheme="majorBidi"/>
          <w:sz w:val="26"/>
          <w:szCs w:val="26"/>
          <w:lang w:val="en-GB"/>
        </w:rPr>
        <w:t>s</w:t>
      </w:r>
      <w:r w:rsidRPr="00FE023B">
        <w:rPr>
          <w:rFonts w:asciiTheme="majorBidi" w:hAnsiTheme="majorBidi" w:cstheme="majorBidi"/>
          <w:sz w:val="26"/>
          <w:szCs w:val="26"/>
          <w:lang w:val="en-GB"/>
        </w:rPr>
        <w:t xml:space="preserve"> of 2020, while the </w:t>
      </w:r>
      <w:r w:rsidR="001C4601" w:rsidRPr="00FE023B">
        <w:rPr>
          <w:rFonts w:asciiTheme="majorBidi" w:hAnsiTheme="majorBidi" w:cstheme="majorBidi"/>
          <w:sz w:val="26"/>
          <w:szCs w:val="26"/>
          <w:lang w:val="en-GB"/>
        </w:rPr>
        <w:t xml:space="preserve">number of </w:t>
      </w:r>
      <w:r w:rsidR="0012780A" w:rsidRPr="00FE023B">
        <w:rPr>
          <w:rFonts w:asciiTheme="majorBidi" w:hAnsiTheme="majorBidi" w:cstheme="majorBidi"/>
          <w:sz w:val="26"/>
          <w:szCs w:val="26"/>
          <w:lang w:val="en-GB"/>
        </w:rPr>
        <w:t>employed</w:t>
      </w:r>
      <w:r w:rsidR="00BC7003" w:rsidRPr="00FE023B">
        <w:rPr>
          <w:rFonts w:asciiTheme="majorBidi" w:hAnsiTheme="majorBidi" w:cstheme="majorBidi"/>
          <w:sz w:val="26"/>
          <w:szCs w:val="26"/>
          <w:lang w:val="en-GB"/>
        </w:rPr>
        <w:t xml:space="preserve"> persons</w:t>
      </w:r>
      <w:r w:rsidR="0012780A"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as unpaid family members increased</w:t>
      </w:r>
      <w:r w:rsidR="00887C08" w:rsidRPr="00FE023B">
        <w:rPr>
          <w:rFonts w:asciiTheme="majorBidi" w:hAnsiTheme="majorBidi" w:cstheme="majorBidi"/>
          <w:sz w:val="26"/>
          <w:szCs w:val="26"/>
          <w:lang w:val="en-GB"/>
        </w:rPr>
        <w:t xml:space="preserve"> sharply</w:t>
      </w:r>
      <w:r w:rsidRPr="00FE023B">
        <w:rPr>
          <w:rFonts w:asciiTheme="majorBidi" w:hAnsiTheme="majorBidi" w:cstheme="majorBidi"/>
          <w:sz w:val="26"/>
          <w:szCs w:val="26"/>
          <w:lang w:val="en-GB"/>
        </w:rPr>
        <w:t xml:space="preserve"> from 39 thousand to 133 thousand during the same period</w:t>
      </w:r>
      <w:r w:rsidR="001C4601" w:rsidRPr="00FE023B">
        <w:rPr>
          <w:rFonts w:asciiTheme="majorBidi" w:hAnsiTheme="majorBidi" w:cstheme="majorBidi"/>
          <w:sz w:val="26"/>
          <w:szCs w:val="26"/>
          <w:lang w:val="en-GB"/>
        </w:rPr>
        <w:t>.</w:t>
      </w:r>
    </w:p>
    <w:p w:rsidR="00D42CF0" w:rsidRPr="00FE023B" w:rsidRDefault="00D42CF0" w:rsidP="00D42CF0">
      <w:pPr>
        <w:tabs>
          <w:tab w:val="right" w:pos="142"/>
          <w:tab w:val="num" w:pos="900"/>
        </w:tabs>
        <w:bidi w:val="0"/>
        <w:ind w:right="-1"/>
        <w:jc w:val="both"/>
        <w:rPr>
          <w:rFonts w:asciiTheme="majorBidi" w:hAnsiTheme="majorBidi" w:cstheme="majorBidi"/>
          <w:b/>
          <w:bCs/>
          <w:sz w:val="16"/>
          <w:szCs w:val="16"/>
          <w:lang w:val="en-GB"/>
        </w:rPr>
      </w:pPr>
    </w:p>
    <w:p w:rsidR="00887C08" w:rsidRPr="00FE023B" w:rsidRDefault="00887C08" w:rsidP="00BC7003">
      <w:pPr>
        <w:tabs>
          <w:tab w:val="right" w:pos="142"/>
          <w:tab w:val="num" w:pos="900"/>
        </w:tabs>
        <w:bidi w:val="0"/>
        <w:ind w:right="-1"/>
        <w:jc w:val="both"/>
        <w:rPr>
          <w:rFonts w:asciiTheme="majorBidi" w:hAnsiTheme="majorBidi" w:cstheme="majorBidi"/>
          <w:b/>
          <w:bCs/>
          <w:sz w:val="28"/>
          <w:szCs w:val="28"/>
          <w:lang w:val="en-GB"/>
        </w:rPr>
      </w:pPr>
      <w:r w:rsidRPr="00FE023B">
        <w:rPr>
          <w:rFonts w:asciiTheme="majorBidi" w:hAnsiTheme="majorBidi" w:cstheme="majorBidi"/>
          <w:b/>
          <w:bCs/>
          <w:sz w:val="28"/>
          <w:szCs w:val="28"/>
          <w:lang w:val="en-GB"/>
        </w:rPr>
        <w:t xml:space="preserve">30% of employed </w:t>
      </w:r>
      <w:r w:rsidR="00BC7003" w:rsidRPr="00FE023B">
        <w:rPr>
          <w:rFonts w:asciiTheme="majorBidi" w:hAnsiTheme="majorBidi" w:cstheme="majorBidi"/>
          <w:b/>
          <w:bCs/>
          <w:sz w:val="28"/>
          <w:szCs w:val="28"/>
          <w:lang w:val="en-GB"/>
        </w:rPr>
        <w:t xml:space="preserve">persons </w:t>
      </w:r>
      <w:r w:rsidRPr="00FE023B">
        <w:rPr>
          <w:rFonts w:asciiTheme="majorBidi" w:hAnsiTheme="majorBidi" w:cstheme="majorBidi"/>
          <w:b/>
          <w:bCs/>
          <w:sz w:val="28"/>
          <w:szCs w:val="28"/>
          <w:lang w:val="en-GB"/>
        </w:rPr>
        <w:t xml:space="preserve">were absent from their </w:t>
      </w:r>
      <w:r w:rsidR="008C3E37" w:rsidRPr="00FE023B">
        <w:rPr>
          <w:rFonts w:asciiTheme="majorBidi" w:hAnsiTheme="majorBidi" w:cstheme="majorBidi"/>
          <w:b/>
          <w:bCs/>
          <w:sz w:val="28"/>
          <w:szCs w:val="28"/>
          <w:lang w:val="en-GB"/>
        </w:rPr>
        <w:t>jobs</w:t>
      </w:r>
      <w:r w:rsidRPr="00FE023B">
        <w:rPr>
          <w:rFonts w:asciiTheme="majorBidi" w:hAnsiTheme="majorBidi" w:cstheme="majorBidi"/>
          <w:b/>
          <w:bCs/>
          <w:sz w:val="28"/>
          <w:szCs w:val="28"/>
          <w:lang w:val="en-GB"/>
        </w:rPr>
        <w:t xml:space="preserve"> during the 2</w:t>
      </w:r>
      <w:r w:rsidRPr="00FE023B">
        <w:rPr>
          <w:rFonts w:asciiTheme="majorBidi" w:hAnsiTheme="majorBidi" w:cstheme="majorBidi"/>
          <w:b/>
          <w:bCs/>
          <w:sz w:val="28"/>
          <w:szCs w:val="28"/>
          <w:vertAlign w:val="superscript"/>
          <w:lang w:val="en-GB"/>
        </w:rPr>
        <w:t xml:space="preserve">nd </w:t>
      </w:r>
      <w:r w:rsidRPr="00FE023B">
        <w:rPr>
          <w:rFonts w:asciiTheme="majorBidi" w:hAnsiTheme="majorBidi" w:cstheme="majorBidi"/>
          <w:b/>
          <w:bCs/>
          <w:sz w:val="28"/>
          <w:szCs w:val="28"/>
          <w:lang w:val="en-GB"/>
        </w:rPr>
        <w:t>quarter of 2020 due to the pandemic</w:t>
      </w:r>
    </w:p>
    <w:p w:rsidR="00887C08" w:rsidRPr="00FE023B" w:rsidRDefault="00887C08" w:rsidP="001C4601">
      <w:pPr>
        <w:tabs>
          <w:tab w:val="right" w:pos="142"/>
          <w:tab w:val="num" w:pos="900"/>
        </w:tabs>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t xml:space="preserve">The results showed that there are about 264,100 employed </w:t>
      </w:r>
      <w:r w:rsidR="00BC7003"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 xml:space="preserve">who were absent from their </w:t>
      </w:r>
      <w:r w:rsidR="008C3E37" w:rsidRPr="00FE023B">
        <w:rPr>
          <w:rFonts w:asciiTheme="majorBidi" w:hAnsiTheme="majorBidi" w:cstheme="majorBidi"/>
          <w:sz w:val="26"/>
          <w:szCs w:val="26"/>
          <w:lang w:val="en-GB"/>
        </w:rPr>
        <w:t>jobs</w:t>
      </w:r>
      <w:r w:rsidRPr="00FE023B">
        <w:rPr>
          <w:rFonts w:asciiTheme="majorBidi" w:hAnsiTheme="majorBidi" w:cstheme="majorBidi"/>
          <w:sz w:val="26"/>
          <w:szCs w:val="26"/>
          <w:lang w:val="en-GB"/>
        </w:rPr>
        <w:t xml:space="preserve"> in the 2</w:t>
      </w:r>
      <w:r w:rsidRPr="00FE023B">
        <w:rPr>
          <w:rFonts w:asciiTheme="majorBidi" w:hAnsiTheme="majorBidi" w:cstheme="majorBidi"/>
          <w:sz w:val="26"/>
          <w:szCs w:val="26"/>
          <w:vertAlign w:val="superscript"/>
          <w:lang w:val="en-GB"/>
        </w:rPr>
        <w:t>nd</w:t>
      </w:r>
      <w:r w:rsidRPr="00FE023B">
        <w:rPr>
          <w:rFonts w:asciiTheme="majorBidi" w:hAnsiTheme="majorBidi" w:cstheme="majorBidi"/>
          <w:sz w:val="26"/>
          <w:szCs w:val="26"/>
          <w:lang w:val="en-GB"/>
        </w:rPr>
        <w:t xml:space="preserve"> quarter of 2020, </w:t>
      </w:r>
      <w:r w:rsidR="00BC7003" w:rsidRPr="00FE023B">
        <w:rPr>
          <w:rFonts w:asciiTheme="majorBidi" w:hAnsiTheme="majorBidi" w:cstheme="majorBidi"/>
          <w:sz w:val="26"/>
          <w:szCs w:val="26"/>
          <w:lang w:val="en-GB"/>
        </w:rPr>
        <w:t>which</w:t>
      </w:r>
      <w:r w:rsidRPr="00FE023B">
        <w:rPr>
          <w:rFonts w:asciiTheme="majorBidi" w:hAnsiTheme="majorBidi" w:cstheme="majorBidi"/>
          <w:sz w:val="26"/>
          <w:szCs w:val="26"/>
          <w:lang w:val="en-GB"/>
        </w:rPr>
        <w:t xml:space="preserve"> constitutes 29.7% of the total </w:t>
      </w:r>
      <w:r w:rsidR="00BC7003" w:rsidRPr="00FE023B">
        <w:rPr>
          <w:rFonts w:asciiTheme="majorBidi" w:hAnsiTheme="majorBidi" w:cstheme="majorBidi"/>
          <w:sz w:val="26"/>
          <w:szCs w:val="26"/>
          <w:lang w:val="en-GB"/>
        </w:rPr>
        <w:t xml:space="preserve">number of </w:t>
      </w:r>
      <w:r w:rsidRPr="00FE023B">
        <w:rPr>
          <w:rFonts w:asciiTheme="majorBidi" w:hAnsiTheme="majorBidi" w:cstheme="majorBidi"/>
          <w:sz w:val="26"/>
          <w:szCs w:val="26"/>
          <w:lang w:val="en-GB"/>
        </w:rPr>
        <w:t xml:space="preserve">employees. The reasons for </w:t>
      </w:r>
      <w:r w:rsidR="00BC7003" w:rsidRPr="00FE023B">
        <w:rPr>
          <w:rFonts w:asciiTheme="majorBidi" w:hAnsiTheme="majorBidi" w:cstheme="majorBidi"/>
          <w:sz w:val="26"/>
          <w:szCs w:val="26"/>
          <w:lang w:val="en-GB"/>
        </w:rPr>
        <w:t xml:space="preserve">such </w:t>
      </w:r>
      <w:r w:rsidRPr="00FE023B">
        <w:rPr>
          <w:rFonts w:asciiTheme="majorBidi" w:hAnsiTheme="majorBidi" w:cstheme="majorBidi"/>
          <w:sz w:val="26"/>
          <w:szCs w:val="26"/>
          <w:lang w:val="en-GB"/>
        </w:rPr>
        <w:t xml:space="preserve">absence are mainly related to the </w:t>
      </w:r>
      <w:r w:rsidR="00BC7003" w:rsidRPr="00FE023B">
        <w:rPr>
          <w:rFonts w:asciiTheme="majorBidi" w:hAnsiTheme="majorBidi" w:cstheme="majorBidi"/>
          <w:sz w:val="26"/>
          <w:szCs w:val="26"/>
          <w:lang w:val="en-GB"/>
        </w:rPr>
        <w:t>COVID</w:t>
      </w:r>
      <w:r w:rsidR="001C4601" w:rsidRPr="00FE023B">
        <w:rPr>
          <w:rFonts w:asciiTheme="majorBidi" w:hAnsiTheme="majorBidi" w:cstheme="majorBidi"/>
          <w:sz w:val="26"/>
          <w:szCs w:val="26"/>
          <w:lang w:val="en-GB"/>
        </w:rPr>
        <w:t>-</w:t>
      </w:r>
      <w:r w:rsidRPr="00FE023B">
        <w:rPr>
          <w:rFonts w:asciiTheme="majorBidi" w:hAnsiTheme="majorBidi" w:cstheme="majorBidi"/>
          <w:sz w:val="26"/>
          <w:szCs w:val="26"/>
          <w:lang w:val="en-GB"/>
        </w:rPr>
        <w:t xml:space="preserve">19 pandemic, the most important of which is the home quarantine that was </w:t>
      </w:r>
      <w:r w:rsidR="00BC7003" w:rsidRPr="00FE023B">
        <w:rPr>
          <w:rFonts w:asciiTheme="majorBidi" w:hAnsiTheme="majorBidi" w:cstheme="majorBidi"/>
          <w:sz w:val="26"/>
          <w:szCs w:val="26"/>
          <w:lang w:val="en-GB"/>
        </w:rPr>
        <w:t xml:space="preserve">declared </w:t>
      </w:r>
      <w:r w:rsidRPr="00FE023B">
        <w:rPr>
          <w:rFonts w:asciiTheme="majorBidi" w:hAnsiTheme="majorBidi" w:cstheme="majorBidi"/>
          <w:sz w:val="26"/>
          <w:szCs w:val="26"/>
          <w:lang w:val="en-GB"/>
        </w:rPr>
        <w:t xml:space="preserve">in the period from </w:t>
      </w:r>
      <w:r w:rsidR="008C3E37" w:rsidRPr="00FE023B">
        <w:rPr>
          <w:rFonts w:asciiTheme="majorBidi" w:hAnsiTheme="majorBidi" w:cstheme="majorBidi"/>
          <w:sz w:val="26"/>
          <w:szCs w:val="26"/>
          <w:lang w:val="en-GB"/>
        </w:rPr>
        <w:t>23</w:t>
      </w:r>
      <w:r w:rsidRPr="00FE023B">
        <w:rPr>
          <w:rFonts w:asciiTheme="majorBidi" w:hAnsiTheme="majorBidi" w:cstheme="majorBidi"/>
          <w:sz w:val="26"/>
          <w:szCs w:val="26"/>
          <w:lang w:val="en-GB"/>
        </w:rPr>
        <w:t>/</w:t>
      </w:r>
      <w:r w:rsidR="001C4601" w:rsidRPr="00FE023B">
        <w:rPr>
          <w:rFonts w:asciiTheme="majorBidi" w:hAnsiTheme="majorBidi" w:cstheme="majorBidi"/>
          <w:sz w:val="26"/>
          <w:szCs w:val="26"/>
          <w:lang w:val="en-GB"/>
        </w:rPr>
        <w:t>0</w:t>
      </w:r>
      <w:r w:rsidR="008C3E37" w:rsidRPr="00FE023B">
        <w:rPr>
          <w:rFonts w:asciiTheme="majorBidi" w:hAnsiTheme="majorBidi" w:cstheme="majorBidi"/>
          <w:sz w:val="26"/>
          <w:szCs w:val="26"/>
          <w:lang w:val="en-GB"/>
        </w:rPr>
        <w:t>3</w:t>
      </w:r>
      <w:r w:rsidRPr="00FE023B">
        <w:rPr>
          <w:rFonts w:asciiTheme="majorBidi" w:hAnsiTheme="majorBidi" w:cstheme="majorBidi"/>
          <w:sz w:val="26"/>
          <w:szCs w:val="26"/>
          <w:lang w:val="en-GB"/>
        </w:rPr>
        <w:t xml:space="preserve">/2020 to </w:t>
      </w:r>
      <w:r w:rsidR="008C3E37" w:rsidRPr="00FE023B">
        <w:rPr>
          <w:rFonts w:asciiTheme="majorBidi" w:hAnsiTheme="majorBidi" w:cstheme="majorBidi"/>
          <w:sz w:val="26"/>
          <w:szCs w:val="26"/>
          <w:lang w:val="en-GB"/>
        </w:rPr>
        <w:t>24</w:t>
      </w:r>
      <w:r w:rsidRPr="00FE023B">
        <w:rPr>
          <w:rFonts w:asciiTheme="majorBidi" w:hAnsiTheme="majorBidi" w:cstheme="majorBidi"/>
          <w:sz w:val="26"/>
          <w:szCs w:val="26"/>
          <w:lang w:val="en-GB"/>
        </w:rPr>
        <w:t>/</w:t>
      </w:r>
      <w:r w:rsidR="001C4601" w:rsidRPr="00FE023B">
        <w:rPr>
          <w:rFonts w:asciiTheme="majorBidi" w:hAnsiTheme="majorBidi" w:cstheme="majorBidi"/>
          <w:sz w:val="26"/>
          <w:szCs w:val="26"/>
          <w:lang w:val="en-GB"/>
        </w:rPr>
        <w:t>0</w:t>
      </w:r>
      <w:r w:rsidR="008C3E37" w:rsidRPr="00FE023B">
        <w:rPr>
          <w:rFonts w:asciiTheme="majorBidi" w:hAnsiTheme="majorBidi" w:cstheme="majorBidi"/>
          <w:sz w:val="26"/>
          <w:szCs w:val="26"/>
          <w:lang w:val="en-GB"/>
        </w:rPr>
        <w:t>5</w:t>
      </w:r>
      <w:r w:rsidRPr="00FE023B">
        <w:rPr>
          <w:rFonts w:asciiTheme="majorBidi" w:hAnsiTheme="majorBidi" w:cstheme="majorBidi"/>
          <w:sz w:val="26"/>
          <w:szCs w:val="26"/>
          <w:lang w:val="en-GB"/>
        </w:rPr>
        <w:t xml:space="preserve">/2020, compared to 88,600 </w:t>
      </w:r>
      <w:r w:rsidR="008C3E37" w:rsidRPr="00FE023B">
        <w:rPr>
          <w:rFonts w:asciiTheme="majorBidi" w:hAnsiTheme="majorBidi" w:cstheme="majorBidi"/>
          <w:sz w:val="26"/>
          <w:szCs w:val="26"/>
          <w:lang w:val="en-GB"/>
        </w:rPr>
        <w:t xml:space="preserve">employed </w:t>
      </w:r>
      <w:r w:rsidR="00BC7003"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 xml:space="preserve">in the </w:t>
      </w:r>
      <w:r w:rsidR="008C3E37" w:rsidRPr="00FE023B">
        <w:rPr>
          <w:rFonts w:asciiTheme="majorBidi" w:hAnsiTheme="majorBidi" w:cstheme="majorBidi"/>
          <w:sz w:val="26"/>
          <w:szCs w:val="26"/>
          <w:lang w:val="en-GB"/>
        </w:rPr>
        <w:t>1</w:t>
      </w:r>
      <w:r w:rsidR="008C3E37" w:rsidRPr="00FE023B">
        <w:rPr>
          <w:rFonts w:asciiTheme="majorBidi" w:hAnsiTheme="majorBidi" w:cstheme="majorBidi"/>
          <w:sz w:val="26"/>
          <w:szCs w:val="26"/>
          <w:vertAlign w:val="superscript"/>
          <w:lang w:val="en-GB"/>
        </w:rPr>
        <w:t>st</w:t>
      </w:r>
      <w:r w:rsidRPr="00FE023B">
        <w:rPr>
          <w:rFonts w:asciiTheme="majorBidi" w:hAnsiTheme="majorBidi" w:cstheme="majorBidi"/>
          <w:sz w:val="26"/>
          <w:szCs w:val="26"/>
          <w:lang w:val="en-GB"/>
        </w:rPr>
        <w:t xml:space="preserve"> quarter of 2020</w:t>
      </w:r>
    </w:p>
    <w:p w:rsidR="00887C08" w:rsidRPr="00FE023B" w:rsidRDefault="00887C08" w:rsidP="00887C08">
      <w:pPr>
        <w:tabs>
          <w:tab w:val="right" w:pos="142"/>
          <w:tab w:val="num" w:pos="900"/>
        </w:tabs>
        <w:bidi w:val="0"/>
        <w:ind w:right="-1"/>
        <w:jc w:val="both"/>
        <w:rPr>
          <w:rFonts w:asciiTheme="majorBidi" w:hAnsiTheme="majorBidi" w:cstheme="majorBidi"/>
          <w:b/>
          <w:bCs/>
          <w:sz w:val="16"/>
          <w:szCs w:val="16"/>
          <w:lang w:val="en-GB"/>
        </w:rPr>
      </w:pPr>
    </w:p>
    <w:p w:rsidR="00AF41D2" w:rsidRPr="00FE023B" w:rsidRDefault="00BC7003" w:rsidP="00773C89">
      <w:pPr>
        <w:tabs>
          <w:tab w:val="right" w:pos="142"/>
          <w:tab w:val="num" w:pos="900"/>
        </w:tabs>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t>E</w:t>
      </w:r>
      <w:r w:rsidR="00AF41D2" w:rsidRPr="00FE023B">
        <w:rPr>
          <w:rFonts w:asciiTheme="majorBidi" w:hAnsiTheme="majorBidi" w:cstheme="majorBidi"/>
          <w:sz w:val="26"/>
          <w:szCs w:val="26"/>
          <w:lang w:val="en-GB"/>
        </w:rPr>
        <w:t xml:space="preserve">ducation and services activities </w:t>
      </w:r>
      <w:r w:rsidR="00773C89" w:rsidRPr="00FE023B">
        <w:rPr>
          <w:rFonts w:asciiTheme="majorBidi" w:hAnsiTheme="majorBidi" w:cstheme="majorBidi"/>
          <w:sz w:val="26"/>
          <w:szCs w:val="26"/>
          <w:lang w:val="en-GB"/>
        </w:rPr>
        <w:t xml:space="preserve">reported </w:t>
      </w:r>
      <w:r w:rsidR="00AF41D2" w:rsidRPr="00FE023B">
        <w:rPr>
          <w:rFonts w:asciiTheme="majorBidi" w:hAnsiTheme="majorBidi" w:cstheme="majorBidi"/>
          <w:sz w:val="26"/>
          <w:szCs w:val="26"/>
          <w:lang w:val="en-GB"/>
        </w:rPr>
        <w:t>the highest absenteeism rates at 27.9% and 22%, respectively, while the lowest absenteeism rates were 0.6% in the agricultural activity.</w:t>
      </w:r>
    </w:p>
    <w:p w:rsidR="00AF41D2" w:rsidRPr="00FE023B" w:rsidRDefault="00AF41D2" w:rsidP="00AF41D2">
      <w:pPr>
        <w:tabs>
          <w:tab w:val="right" w:pos="142"/>
          <w:tab w:val="num" w:pos="900"/>
        </w:tabs>
        <w:bidi w:val="0"/>
        <w:ind w:right="-1"/>
        <w:jc w:val="both"/>
        <w:rPr>
          <w:rFonts w:asciiTheme="majorBidi" w:hAnsiTheme="majorBidi" w:cstheme="majorBidi"/>
          <w:b/>
          <w:bCs/>
          <w:sz w:val="16"/>
          <w:szCs w:val="16"/>
          <w:lang w:val="en-GB"/>
        </w:rPr>
      </w:pPr>
    </w:p>
    <w:p w:rsidR="00AF41D2" w:rsidRPr="00FE023B" w:rsidRDefault="00AF41D2" w:rsidP="0074229E">
      <w:pPr>
        <w:tabs>
          <w:tab w:val="right" w:pos="142"/>
          <w:tab w:val="num" w:pos="900"/>
        </w:tabs>
        <w:bidi w:val="0"/>
        <w:ind w:right="-1"/>
        <w:jc w:val="both"/>
        <w:rPr>
          <w:rFonts w:asciiTheme="majorBidi" w:hAnsiTheme="majorBidi" w:cstheme="majorBidi"/>
          <w:b/>
          <w:bCs/>
          <w:sz w:val="28"/>
          <w:szCs w:val="28"/>
          <w:lang w:val="en-GB"/>
        </w:rPr>
      </w:pPr>
      <w:r w:rsidRPr="00FE023B">
        <w:rPr>
          <w:rFonts w:asciiTheme="majorBidi" w:hAnsiTheme="majorBidi" w:cstheme="majorBidi"/>
          <w:b/>
          <w:bCs/>
          <w:sz w:val="28"/>
          <w:szCs w:val="28"/>
          <w:lang w:val="en-GB"/>
        </w:rPr>
        <w:t xml:space="preserve">A decrease in the number of employed </w:t>
      </w:r>
      <w:r w:rsidR="0074229E" w:rsidRPr="00FE023B">
        <w:rPr>
          <w:rFonts w:asciiTheme="majorBidi" w:hAnsiTheme="majorBidi" w:cstheme="majorBidi"/>
          <w:b/>
          <w:bCs/>
          <w:sz w:val="28"/>
          <w:szCs w:val="28"/>
          <w:lang w:val="en-GB"/>
        </w:rPr>
        <w:t xml:space="preserve">persons </w:t>
      </w:r>
      <w:r w:rsidRPr="00FE023B">
        <w:rPr>
          <w:rFonts w:asciiTheme="majorBidi" w:hAnsiTheme="majorBidi" w:cstheme="majorBidi"/>
          <w:b/>
          <w:bCs/>
          <w:sz w:val="28"/>
          <w:szCs w:val="28"/>
          <w:lang w:val="en-GB"/>
        </w:rPr>
        <w:t>in the local market between the 1</w:t>
      </w:r>
      <w:r w:rsidRPr="00FE023B">
        <w:rPr>
          <w:rFonts w:asciiTheme="majorBidi" w:hAnsiTheme="majorBidi" w:cstheme="majorBidi"/>
          <w:b/>
          <w:bCs/>
          <w:sz w:val="28"/>
          <w:szCs w:val="28"/>
          <w:vertAlign w:val="superscript"/>
          <w:lang w:val="en-GB"/>
        </w:rPr>
        <w:t>st</w:t>
      </w:r>
      <w:r w:rsidRPr="00FE023B">
        <w:rPr>
          <w:rFonts w:asciiTheme="majorBidi" w:hAnsiTheme="majorBidi" w:cstheme="majorBidi"/>
          <w:b/>
          <w:bCs/>
          <w:sz w:val="28"/>
          <w:szCs w:val="28"/>
          <w:lang w:val="en-GB"/>
        </w:rPr>
        <w:t xml:space="preserve"> and 2</w:t>
      </w:r>
      <w:r w:rsidRPr="00FE023B">
        <w:rPr>
          <w:rFonts w:asciiTheme="majorBidi" w:hAnsiTheme="majorBidi" w:cstheme="majorBidi"/>
          <w:b/>
          <w:bCs/>
          <w:sz w:val="28"/>
          <w:szCs w:val="28"/>
          <w:vertAlign w:val="superscript"/>
          <w:lang w:val="en-GB"/>
        </w:rPr>
        <w:t>nd</w:t>
      </w:r>
      <w:r w:rsidRPr="00FE023B">
        <w:rPr>
          <w:rFonts w:asciiTheme="majorBidi" w:hAnsiTheme="majorBidi" w:cstheme="majorBidi"/>
          <w:b/>
          <w:bCs/>
          <w:sz w:val="28"/>
          <w:szCs w:val="28"/>
          <w:lang w:val="en-GB"/>
        </w:rPr>
        <w:t xml:space="preserve"> quarters of 2020</w:t>
      </w:r>
    </w:p>
    <w:p w:rsidR="00AF41D2" w:rsidRPr="00FE023B" w:rsidRDefault="00AF41D2" w:rsidP="004306A8">
      <w:pPr>
        <w:tabs>
          <w:tab w:val="right" w:pos="142"/>
          <w:tab w:val="num" w:pos="900"/>
        </w:tabs>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t xml:space="preserve">The number of employed </w:t>
      </w:r>
      <w:r w:rsidR="0074229E"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 xml:space="preserve">in the local market decreased from </w:t>
      </w:r>
      <w:r w:rsidR="004306A8" w:rsidRPr="00FE023B">
        <w:rPr>
          <w:rFonts w:asciiTheme="majorBidi" w:hAnsiTheme="majorBidi" w:cstheme="majorBidi"/>
          <w:sz w:val="26"/>
          <w:szCs w:val="26"/>
          <w:lang w:val="en-GB"/>
        </w:rPr>
        <w:t>888</w:t>
      </w:r>
      <w:r w:rsidRPr="00FE023B">
        <w:rPr>
          <w:rFonts w:asciiTheme="majorBidi" w:hAnsiTheme="majorBidi" w:cstheme="majorBidi"/>
          <w:sz w:val="26"/>
          <w:szCs w:val="26"/>
          <w:lang w:val="en-GB"/>
        </w:rPr>
        <w:t xml:space="preserve"> thousand employed </w:t>
      </w:r>
      <w:r w:rsidR="0074229E"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in the 1</w:t>
      </w:r>
      <w:r w:rsidRPr="00FE023B">
        <w:rPr>
          <w:rFonts w:asciiTheme="majorBidi" w:hAnsiTheme="majorBidi" w:cstheme="majorBidi"/>
          <w:sz w:val="26"/>
          <w:szCs w:val="26"/>
          <w:vertAlign w:val="superscript"/>
          <w:lang w:val="en-GB"/>
        </w:rPr>
        <w:t>st</w:t>
      </w:r>
      <w:r w:rsidRPr="00FE023B">
        <w:rPr>
          <w:rFonts w:asciiTheme="majorBidi" w:hAnsiTheme="majorBidi" w:cstheme="majorBidi"/>
          <w:sz w:val="26"/>
          <w:szCs w:val="26"/>
          <w:lang w:val="en-GB"/>
        </w:rPr>
        <w:t xml:space="preserve"> quarter of 2020 to 793 thousand employed </w:t>
      </w:r>
      <w:r w:rsidR="0074229E"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in the 2</w:t>
      </w:r>
      <w:r w:rsidRPr="00FE023B">
        <w:rPr>
          <w:rFonts w:asciiTheme="majorBidi" w:hAnsiTheme="majorBidi" w:cstheme="majorBidi"/>
          <w:sz w:val="26"/>
          <w:szCs w:val="26"/>
          <w:vertAlign w:val="superscript"/>
          <w:lang w:val="en-GB"/>
        </w:rPr>
        <w:t>nd</w:t>
      </w:r>
      <w:r w:rsidRPr="00FE023B">
        <w:rPr>
          <w:rFonts w:asciiTheme="majorBidi" w:hAnsiTheme="majorBidi" w:cstheme="majorBidi"/>
          <w:sz w:val="26"/>
          <w:szCs w:val="26"/>
          <w:lang w:val="en-GB"/>
        </w:rPr>
        <w:t xml:space="preserve"> quarter of 2020, </w:t>
      </w:r>
      <w:r w:rsidR="00BA6F99" w:rsidRPr="00FE023B">
        <w:rPr>
          <w:rFonts w:asciiTheme="majorBidi" w:hAnsiTheme="majorBidi" w:cstheme="majorBidi"/>
          <w:sz w:val="26"/>
          <w:szCs w:val="26"/>
          <w:lang w:val="en-GB"/>
        </w:rPr>
        <w:t xml:space="preserve">where </w:t>
      </w:r>
      <w:r w:rsidR="0074229E" w:rsidRPr="00FE023B">
        <w:rPr>
          <w:rFonts w:asciiTheme="majorBidi" w:hAnsiTheme="majorBidi" w:cstheme="majorBidi"/>
          <w:sz w:val="26"/>
          <w:szCs w:val="26"/>
          <w:lang w:val="en-GB"/>
        </w:rPr>
        <w:t>it</w:t>
      </w:r>
      <w:r w:rsidRPr="00FE023B">
        <w:rPr>
          <w:rFonts w:asciiTheme="majorBidi" w:hAnsiTheme="majorBidi" w:cstheme="majorBidi"/>
          <w:sz w:val="26"/>
          <w:szCs w:val="26"/>
          <w:lang w:val="en-GB"/>
        </w:rPr>
        <w:t xml:space="preserve"> decreased by 17</w:t>
      </w:r>
      <w:r w:rsidR="0074229E" w:rsidRPr="00FE023B">
        <w:rPr>
          <w:rFonts w:asciiTheme="majorBidi" w:hAnsiTheme="majorBidi" w:cstheme="majorBidi"/>
          <w:sz w:val="26"/>
          <w:szCs w:val="26"/>
          <w:lang w:val="en-GB"/>
        </w:rPr>
        <w:t xml:space="preserve">% in Gaza Strip </w:t>
      </w:r>
      <w:r w:rsidRPr="00FE023B">
        <w:rPr>
          <w:rFonts w:asciiTheme="majorBidi" w:hAnsiTheme="majorBidi" w:cstheme="majorBidi"/>
          <w:sz w:val="26"/>
          <w:szCs w:val="26"/>
          <w:lang w:val="en-GB"/>
        </w:rPr>
        <w:t xml:space="preserve">and </w:t>
      </w:r>
      <w:r w:rsidR="00773C89" w:rsidRPr="00FE023B">
        <w:rPr>
          <w:rFonts w:asciiTheme="majorBidi" w:hAnsiTheme="majorBidi" w:cstheme="majorBidi"/>
          <w:sz w:val="26"/>
          <w:szCs w:val="26"/>
          <w:lang w:val="en-GB"/>
        </w:rPr>
        <w:t xml:space="preserve">it </w:t>
      </w:r>
      <w:r w:rsidRPr="00FE023B">
        <w:rPr>
          <w:rFonts w:asciiTheme="majorBidi" w:hAnsiTheme="majorBidi" w:cstheme="majorBidi"/>
          <w:sz w:val="26"/>
          <w:szCs w:val="26"/>
          <w:lang w:val="en-GB"/>
        </w:rPr>
        <w:t xml:space="preserve">decreased by 8% </w:t>
      </w:r>
      <w:r w:rsidR="0074229E" w:rsidRPr="00FE023B">
        <w:rPr>
          <w:rFonts w:asciiTheme="majorBidi" w:hAnsiTheme="majorBidi" w:cstheme="majorBidi"/>
          <w:sz w:val="26"/>
          <w:szCs w:val="26"/>
          <w:lang w:val="en-GB"/>
        </w:rPr>
        <w:t xml:space="preserve">in the West Bank </w:t>
      </w:r>
      <w:r w:rsidRPr="00FE023B">
        <w:rPr>
          <w:rFonts w:asciiTheme="majorBidi" w:hAnsiTheme="majorBidi" w:cstheme="majorBidi"/>
          <w:sz w:val="26"/>
          <w:szCs w:val="26"/>
          <w:lang w:val="en-GB"/>
        </w:rPr>
        <w:t>for the same period.</w:t>
      </w:r>
    </w:p>
    <w:p w:rsidR="00AF41D2" w:rsidRPr="00FE023B" w:rsidRDefault="00AF41D2" w:rsidP="00AF41D2">
      <w:pPr>
        <w:tabs>
          <w:tab w:val="right" w:pos="142"/>
          <w:tab w:val="num" w:pos="900"/>
        </w:tabs>
        <w:bidi w:val="0"/>
        <w:ind w:right="-1"/>
        <w:jc w:val="both"/>
        <w:rPr>
          <w:rFonts w:asciiTheme="majorBidi" w:hAnsiTheme="majorBidi" w:cstheme="majorBidi"/>
          <w:b/>
          <w:bCs/>
          <w:sz w:val="16"/>
          <w:szCs w:val="16"/>
          <w:rtl/>
          <w:lang w:val="en-GB"/>
        </w:rPr>
      </w:pPr>
    </w:p>
    <w:p w:rsidR="00AF41D2" w:rsidRPr="00FE023B" w:rsidRDefault="00AF41D2" w:rsidP="00BA6F99">
      <w:pPr>
        <w:tabs>
          <w:tab w:val="right" w:pos="142"/>
          <w:tab w:val="num" w:pos="900"/>
        </w:tabs>
        <w:bidi w:val="0"/>
        <w:ind w:right="-1"/>
        <w:jc w:val="both"/>
        <w:rPr>
          <w:rFonts w:asciiTheme="majorBidi" w:hAnsiTheme="majorBidi" w:cstheme="majorBidi"/>
          <w:b/>
          <w:bCs/>
          <w:sz w:val="26"/>
          <w:szCs w:val="26"/>
          <w:lang w:val="en-GB"/>
        </w:rPr>
      </w:pPr>
      <w:r w:rsidRPr="00FE023B">
        <w:rPr>
          <w:rFonts w:asciiTheme="majorBidi" w:hAnsiTheme="majorBidi" w:cstheme="majorBidi"/>
          <w:sz w:val="26"/>
          <w:szCs w:val="26"/>
          <w:lang w:val="en-GB"/>
        </w:rPr>
        <w:t xml:space="preserve">The results showed that most of the activities witnessed a decrease in the number of employed </w:t>
      </w:r>
      <w:r w:rsidR="0074229E"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during the 2</w:t>
      </w:r>
      <w:r w:rsidRPr="00FE023B">
        <w:rPr>
          <w:rFonts w:asciiTheme="majorBidi" w:hAnsiTheme="majorBidi" w:cstheme="majorBidi"/>
          <w:sz w:val="26"/>
          <w:szCs w:val="26"/>
          <w:vertAlign w:val="superscript"/>
          <w:lang w:val="en-GB"/>
        </w:rPr>
        <w:t>nd</w:t>
      </w:r>
      <w:r w:rsidRPr="00FE023B">
        <w:rPr>
          <w:rFonts w:asciiTheme="majorBidi" w:hAnsiTheme="majorBidi" w:cstheme="majorBidi"/>
          <w:sz w:val="26"/>
          <w:szCs w:val="26"/>
          <w:lang w:val="en-GB"/>
        </w:rPr>
        <w:t xml:space="preserve"> quarter of 2020</w:t>
      </w:r>
      <w:r w:rsidR="0074229E" w:rsidRPr="00FE023B">
        <w:rPr>
          <w:rFonts w:asciiTheme="majorBidi" w:hAnsiTheme="majorBidi" w:cstheme="majorBidi"/>
          <w:sz w:val="26"/>
          <w:szCs w:val="26"/>
          <w:lang w:val="en-GB"/>
        </w:rPr>
        <w:t>. Accordingly,</w:t>
      </w:r>
      <w:r w:rsidRPr="00FE023B">
        <w:rPr>
          <w:rFonts w:asciiTheme="majorBidi" w:hAnsiTheme="majorBidi" w:cstheme="majorBidi"/>
          <w:sz w:val="26"/>
          <w:szCs w:val="26"/>
          <w:lang w:val="en-GB"/>
        </w:rPr>
        <w:t xml:space="preserve"> the most affected employed </w:t>
      </w:r>
      <w:r w:rsidR="0074229E" w:rsidRPr="00FE023B">
        <w:rPr>
          <w:rFonts w:asciiTheme="majorBidi" w:hAnsiTheme="majorBidi" w:cstheme="majorBidi"/>
          <w:sz w:val="26"/>
          <w:szCs w:val="26"/>
          <w:lang w:val="en-GB"/>
        </w:rPr>
        <w:t xml:space="preserve">persons are those employed </w:t>
      </w:r>
      <w:r w:rsidRPr="00FE023B">
        <w:rPr>
          <w:rFonts w:asciiTheme="majorBidi" w:hAnsiTheme="majorBidi" w:cstheme="majorBidi"/>
          <w:sz w:val="26"/>
          <w:szCs w:val="26"/>
          <w:lang w:val="en-GB"/>
        </w:rPr>
        <w:t>in restaurants, hotels</w:t>
      </w:r>
      <w:r w:rsidR="0074229E"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 xml:space="preserve">commerce and construction activities during the </w:t>
      </w:r>
      <w:proofErr w:type="spellStart"/>
      <w:r w:rsidR="0074229E" w:rsidRPr="00FE023B">
        <w:rPr>
          <w:rFonts w:asciiTheme="majorBidi" w:hAnsiTheme="majorBidi" w:cstheme="majorBidi"/>
          <w:sz w:val="26"/>
          <w:szCs w:val="26"/>
          <w:lang w:val="en-GB"/>
        </w:rPr>
        <w:t>Coronavirus</w:t>
      </w:r>
      <w:proofErr w:type="spellEnd"/>
      <w:r w:rsidR="0074229E"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 xml:space="preserve">pandemic </w:t>
      </w:r>
      <w:r w:rsidR="0074229E" w:rsidRPr="00FE023B">
        <w:rPr>
          <w:rFonts w:asciiTheme="majorBidi" w:hAnsiTheme="majorBidi" w:cstheme="majorBidi"/>
          <w:sz w:val="26"/>
          <w:szCs w:val="26"/>
          <w:lang w:val="en-GB"/>
        </w:rPr>
        <w:t xml:space="preserve">outbreak </w:t>
      </w:r>
      <w:r w:rsidRPr="00FE023B">
        <w:rPr>
          <w:rFonts w:asciiTheme="majorBidi" w:hAnsiTheme="majorBidi" w:cstheme="majorBidi"/>
          <w:sz w:val="26"/>
          <w:szCs w:val="26"/>
          <w:lang w:val="en-GB"/>
        </w:rPr>
        <w:t>period</w:t>
      </w:r>
      <w:r w:rsidRPr="00FE023B">
        <w:rPr>
          <w:rFonts w:asciiTheme="majorBidi" w:hAnsiTheme="majorBidi" w:cstheme="majorBidi"/>
          <w:b/>
          <w:bCs/>
          <w:sz w:val="26"/>
          <w:szCs w:val="26"/>
          <w:lang w:val="en-GB"/>
        </w:rPr>
        <w:t>.</w:t>
      </w:r>
    </w:p>
    <w:p w:rsidR="008D25AE" w:rsidRPr="00FE023B" w:rsidRDefault="008D25AE" w:rsidP="008D25AE">
      <w:pPr>
        <w:tabs>
          <w:tab w:val="right" w:pos="142"/>
          <w:tab w:val="num" w:pos="900"/>
        </w:tabs>
        <w:bidi w:val="0"/>
        <w:ind w:right="-1"/>
        <w:jc w:val="both"/>
        <w:rPr>
          <w:rFonts w:asciiTheme="majorBidi" w:hAnsiTheme="majorBidi" w:cstheme="majorBidi"/>
          <w:b/>
          <w:bCs/>
          <w:sz w:val="16"/>
          <w:szCs w:val="16"/>
          <w:lang w:val="en-GB"/>
        </w:rPr>
      </w:pPr>
    </w:p>
    <w:p w:rsidR="00FE023B" w:rsidRDefault="00FE023B" w:rsidP="008D25AE">
      <w:pPr>
        <w:tabs>
          <w:tab w:val="right" w:pos="142"/>
          <w:tab w:val="num" w:pos="900"/>
        </w:tabs>
        <w:bidi w:val="0"/>
        <w:ind w:right="-1"/>
        <w:jc w:val="both"/>
        <w:rPr>
          <w:rFonts w:asciiTheme="majorBidi" w:hAnsiTheme="majorBidi" w:cstheme="majorBidi"/>
          <w:sz w:val="26"/>
          <w:szCs w:val="26"/>
          <w:lang w:val="en-GB"/>
        </w:rPr>
      </w:pPr>
    </w:p>
    <w:p w:rsidR="00FE023B" w:rsidRDefault="00FE023B" w:rsidP="00FE023B">
      <w:pPr>
        <w:tabs>
          <w:tab w:val="right" w:pos="142"/>
          <w:tab w:val="num" w:pos="900"/>
        </w:tabs>
        <w:bidi w:val="0"/>
        <w:ind w:right="-1"/>
        <w:jc w:val="both"/>
        <w:rPr>
          <w:rFonts w:asciiTheme="majorBidi" w:hAnsiTheme="majorBidi" w:cstheme="majorBidi"/>
          <w:sz w:val="26"/>
          <w:szCs w:val="26"/>
          <w:lang w:val="en-GB"/>
        </w:rPr>
      </w:pPr>
    </w:p>
    <w:p w:rsidR="008D25AE" w:rsidRPr="00FE023B" w:rsidRDefault="008D25AE" w:rsidP="00FE023B">
      <w:pPr>
        <w:tabs>
          <w:tab w:val="right" w:pos="142"/>
          <w:tab w:val="num" w:pos="900"/>
        </w:tabs>
        <w:bidi w:val="0"/>
        <w:ind w:right="-1"/>
        <w:jc w:val="both"/>
        <w:rPr>
          <w:rFonts w:asciiTheme="majorBidi" w:hAnsiTheme="majorBidi" w:cstheme="majorBidi"/>
          <w:sz w:val="16"/>
          <w:szCs w:val="16"/>
          <w:rtl/>
          <w:lang w:val="en-GB"/>
        </w:rPr>
      </w:pPr>
      <w:r w:rsidRPr="00FE023B">
        <w:rPr>
          <w:rFonts w:asciiTheme="majorBidi" w:hAnsiTheme="majorBidi" w:cstheme="majorBidi"/>
          <w:sz w:val="26"/>
          <w:szCs w:val="26"/>
          <w:lang w:val="en-GB"/>
        </w:rPr>
        <w:t>The average weekly working hours for wage employees in the West Bank was 40.7 hours per week compared to 35.4 hours in Gaza Strip. The average monthly working days was 21.7 working days in the West Bank compared to 22.1 working days in Gaza Strip.</w:t>
      </w:r>
      <w:r w:rsidRPr="00FE023B">
        <w:rPr>
          <w:rFonts w:asciiTheme="majorBidi" w:hAnsiTheme="majorBidi" w:cstheme="majorBidi"/>
          <w:sz w:val="26"/>
          <w:szCs w:val="26"/>
          <w:lang w:val="en-GB"/>
        </w:rPr>
        <w:cr/>
      </w:r>
    </w:p>
    <w:p w:rsidR="008D25AE" w:rsidRPr="00FE023B" w:rsidRDefault="008D25AE" w:rsidP="00BA6F99">
      <w:pPr>
        <w:tabs>
          <w:tab w:val="right" w:pos="142"/>
          <w:tab w:val="num" w:pos="900"/>
        </w:tabs>
        <w:bidi w:val="0"/>
        <w:ind w:right="-1"/>
        <w:jc w:val="both"/>
        <w:rPr>
          <w:rFonts w:asciiTheme="majorBidi" w:hAnsiTheme="majorBidi" w:cstheme="majorBidi"/>
          <w:b/>
          <w:bCs/>
          <w:sz w:val="28"/>
          <w:szCs w:val="28"/>
          <w:lang w:val="en-GB"/>
        </w:rPr>
      </w:pPr>
      <w:r w:rsidRPr="00FE023B">
        <w:rPr>
          <w:rFonts w:asciiTheme="majorBidi" w:hAnsiTheme="majorBidi" w:cstheme="majorBidi"/>
          <w:b/>
          <w:bCs/>
          <w:sz w:val="28"/>
          <w:szCs w:val="28"/>
          <w:lang w:val="en-GB"/>
        </w:rPr>
        <w:t xml:space="preserve">A decrease in the number of </w:t>
      </w:r>
      <w:r w:rsidR="004B1D3B" w:rsidRPr="00FE023B">
        <w:rPr>
          <w:rFonts w:asciiTheme="majorBidi" w:hAnsiTheme="majorBidi" w:cstheme="majorBidi"/>
          <w:b/>
          <w:bCs/>
          <w:sz w:val="28"/>
          <w:szCs w:val="28"/>
          <w:lang w:val="en-GB"/>
        </w:rPr>
        <w:t xml:space="preserve">employed </w:t>
      </w:r>
      <w:r w:rsidR="0074229E" w:rsidRPr="00FE023B">
        <w:rPr>
          <w:rFonts w:asciiTheme="majorBidi" w:hAnsiTheme="majorBidi" w:cstheme="majorBidi"/>
          <w:b/>
          <w:bCs/>
          <w:sz w:val="28"/>
          <w:szCs w:val="28"/>
          <w:lang w:val="en-GB"/>
        </w:rPr>
        <w:t xml:space="preserve">persons </w:t>
      </w:r>
      <w:r w:rsidRPr="00FE023B">
        <w:rPr>
          <w:rFonts w:asciiTheme="majorBidi" w:hAnsiTheme="majorBidi" w:cstheme="majorBidi"/>
          <w:b/>
          <w:bCs/>
          <w:sz w:val="28"/>
          <w:szCs w:val="28"/>
          <w:lang w:val="en-GB"/>
        </w:rPr>
        <w:t xml:space="preserve">in Israel and Israeli settlements by 26 thousand between the </w:t>
      </w:r>
      <w:r w:rsidR="004B1D3B" w:rsidRPr="00FE023B">
        <w:rPr>
          <w:rFonts w:asciiTheme="majorBidi" w:hAnsiTheme="majorBidi" w:cstheme="majorBidi"/>
          <w:b/>
          <w:bCs/>
          <w:sz w:val="28"/>
          <w:szCs w:val="28"/>
          <w:lang w:val="en-GB"/>
        </w:rPr>
        <w:t>1</w:t>
      </w:r>
      <w:r w:rsidR="004B1D3B" w:rsidRPr="00FE023B">
        <w:rPr>
          <w:rFonts w:asciiTheme="majorBidi" w:hAnsiTheme="majorBidi" w:cstheme="majorBidi"/>
          <w:b/>
          <w:bCs/>
          <w:sz w:val="28"/>
          <w:szCs w:val="28"/>
          <w:vertAlign w:val="superscript"/>
          <w:lang w:val="en-GB"/>
        </w:rPr>
        <w:t>st</w:t>
      </w:r>
      <w:r w:rsidRPr="00FE023B">
        <w:rPr>
          <w:rFonts w:asciiTheme="majorBidi" w:hAnsiTheme="majorBidi" w:cstheme="majorBidi"/>
          <w:b/>
          <w:bCs/>
          <w:sz w:val="28"/>
          <w:szCs w:val="28"/>
          <w:lang w:val="en-GB"/>
        </w:rPr>
        <w:t xml:space="preserve"> and the </w:t>
      </w:r>
      <w:r w:rsidR="004B1D3B" w:rsidRPr="00FE023B">
        <w:rPr>
          <w:rFonts w:asciiTheme="majorBidi" w:hAnsiTheme="majorBidi" w:cstheme="majorBidi"/>
          <w:b/>
          <w:bCs/>
          <w:sz w:val="28"/>
          <w:szCs w:val="28"/>
          <w:lang w:val="en-GB"/>
        </w:rPr>
        <w:t>2</w:t>
      </w:r>
      <w:r w:rsidR="004B1D3B" w:rsidRPr="00FE023B">
        <w:rPr>
          <w:rFonts w:asciiTheme="majorBidi" w:hAnsiTheme="majorBidi" w:cstheme="majorBidi"/>
          <w:b/>
          <w:bCs/>
          <w:sz w:val="28"/>
          <w:szCs w:val="28"/>
          <w:vertAlign w:val="superscript"/>
          <w:lang w:val="en-GB"/>
        </w:rPr>
        <w:t>nd</w:t>
      </w:r>
      <w:r w:rsidR="004B1D3B" w:rsidRPr="00FE023B">
        <w:rPr>
          <w:rFonts w:asciiTheme="majorBidi" w:hAnsiTheme="majorBidi" w:cstheme="majorBidi"/>
          <w:b/>
          <w:bCs/>
          <w:sz w:val="28"/>
          <w:szCs w:val="28"/>
          <w:lang w:val="en-GB"/>
        </w:rPr>
        <w:t xml:space="preserve"> </w:t>
      </w:r>
      <w:r w:rsidRPr="00FE023B">
        <w:rPr>
          <w:rFonts w:asciiTheme="majorBidi" w:hAnsiTheme="majorBidi" w:cstheme="majorBidi"/>
          <w:b/>
          <w:bCs/>
          <w:sz w:val="28"/>
          <w:szCs w:val="28"/>
          <w:lang w:val="en-GB"/>
        </w:rPr>
        <w:t>quarter</w:t>
      </w:r>
      <w:r w:rsidR="00BA6F99" w:rsidRPr="00FE023B">
        <w:rPr>
          <w:rFonts w:asciiTheme="majorBidi" w:hAnsiTheme="majorBidi" w:cstheme="majorBidi"/>
          <w:b/>
          <w:bCs/>
          <w:sz w:val="28"/>
          <w:szCs w:val="28"/>
          <w:lang w:val="en-GB"/>
        </w:rPr>
        <w:t>s</w:t>
      </w:r>
      <w:r w:rsidRPr="00FE023B">
        <w:rPr>
          <w:rFonts w:asciiTheme="majorBidi" w:hAnsiTheme="majorBidi" w:cstheme="majorBidi"/>
          <w:b/>
          <w:bCs/>
          <w:sz w:val="28"/>
          <w:szCs w:val="28"/>
          <w:lang w:val="en-GB"/>
        </w:rPr>
        <w:t xml:space="preserve"> of 2020</w:t>
      </w:r>
    </w:p>
    <w:p w:rsidR="008D25AE" w:rsidRPr="00FE023B" w:rsidRDefault="008D25AE" w:rsidP="003F364A">
      <w:pPr>
        <w:tabs>
          <w:tab w:val="right" w:pos="142"/>
          <w:tab w:val="num" w:pos="900"/>
        </w:tabs>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t xml:space="preserve">The number of </w:t>
      </w:r>
      <w:r w:rsidR="004B1D3B" w:rsidRPr="00FE023B">
        <w:rPr>
          <w:rFonts w:asciiTheme="majorBidi" w:hAnsiTheme="majorBidi" w:cstheme="majorBidi"/>
          <w:sz w:val="26"/>
          <w:szCs w:val="26"/>
          <w:lang w:val="en-GB"/>
        </w:rPr>
        <w:t xml:space="preserve">employed </w:t>
      </w:r>
      <w:r w:rsidR="0074229E"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 xml:space="preserve">in Israel and settlements decreased from about 120 thousand </w:t>
      </w:r>
      <w:r w:rsidR="004B1D3B" w:rsidRPr="00FE023B">
        <w:rPr>
          <w:rFonts w:asciiTheme="majorBidi" w:hAnsiTheme="majorBidi" w:cstheme="majorBidi"/>
          <w:sz w:val="26"/>
          <w:szCs w:val="26"/>
          <w:lang w:val="en-GB"/>
        </w:rPr>
        <w:t xml:space="preserve">employed </w:t>
      </w:r>
      <w:r w:rsidR="0074229E"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 xml:space="preserve">in the </w:t>
      </w:r>
      <w:r w:rsidR="004B1D3B" w:rsidRPr="00FE023B">
        <w:rPr>
          <w:rFonts w:asciiTheme="majorBidi" w:hAnsiTheme="majorBidi" w:cstheme="majorBidi"/>
          <w:sz w:val="26"/>
          <w:szCs w:val="26"/>
          <w:lang w:val="en-GB"/>
        </w:rPr>
        <w:t>1</w:t>
      </w:r>
      <w:r w:rsidR="004B1D3B" w:rsidRPr="00FE023B">
        <w:rPr>
          <w:rFonts w:asciiTheme="majorBidi" w:hAnsiTheme="majorBidi" w:cstheme="majorBidi"/>
          <w:sz w:val="26"/>
          <w:szCs w:val="26"/>
          <w:vertAlign w:val="superscript"/>
          <w:lang w:val="en-GB"/>
        </w:rPr>
        <w:t>st</w:t>
      </w:r>
      <w:r w:rsidR="004B1D3B"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 xml:space="preserve">quarter of 2020 to 94 thousand </w:t>
      </w:r>
      <w:r w:rsidR="004B1D3B" w:rsidRPr="00FE023B">
        <w:rPr>
          <w:rFonts w:asciiTheme="majorBidi" w:hAnsiTheme="majorBidi" w:cstheme="majorBidi"/>
          <w:sz w:val="26"/>
          <w:szCs w:val="26"/>
          <w:lang w:val="en-GB"/>
        </w:rPr>
        <w:t xml:space="preserve">employed </w:t>
      </w:r>
      <w:r w:rsidR="0074229E"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 xml:space="preserve">in the </w:t>
      </w:r>
      <w:r w:rsidR="004B1D3B" w:rsidRPr="00FE023B">
        <w:rPr>
          <w:rFonts w:asciiTheme="majorBidi" w:hAnsiTheme="majorBidi" w:cstheme="majorBidi"/>
          <w:sz w:val="26"/>
          <w:szCs w:val="26"/>
          <w:lang w:val="en-GB"/>
        </w:rPr>
        <w:t>2</w:t>
      </w:r>
      <w:r w:rsidR="004B1D3B" w:rsidRPr="00FE023B">
        <w:rPr>
          <w:rFonts w:asciiTheme="majorBidi" w:hAnsiTheme="majorBidi" w:cstheme="majorBidi"/>
          <w:sz w:val="26"/>
          <w:szCs w:val="26"/>
          <w:vertAlign w:val="superscript"/>
          <w:lang w:val="en-GB"/>
        </w:rPr>
        <w:t>nd</w:t>
      </w:r>
      <w:r w:rsidR="004B1D3B"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quarter of 2020</w:t>
      </w:r>
      <w:r w:rsidR="00BA6F99" w:rsidRPr="00FE023B">
        <w:rPr>
          <w:rFonts w:asciiTheme="majorBidi" w:hAnsiTheme="majorBidi" w:cstheme="majorBidi"/>
          <w:sz w:val="26"/>
          <w:szCs w:val="26"/>
          <w:lang w:val="en-GB"/>
        </w:rPr>
        <w:t>;</w:t>
      </w:r>
      <w:r w:rsidR="0074229E"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 xml:space="preserve">this decrease is due to the measures taken to limit the </w:t>
      </w:r>
      <w:r w:rsidR="00773C89" w:rsidRPr="00FE023B">
        <w:rPr>
          <w:rFonts w:asciiTheme="majorBidi" w:hAnsiTheme="majorBidi" w:cstheme="majorBidi"/>
          <w:sz w:val="26"/>
          <w:szCs w:val="26"/>
          <w:lang w:val="en-GB"/>
        </w:rPr>
        <w:t>ou</w:t>
      </w:r>
      <w:r w:rsidR="001A3B8F" w:rsidRPr="00FE023B">
        <w:rPr>
          <w:rFonts w:asciiTheme="majorBidi" w:hAnsiTheme="majorBidi" w:cstheme="majorBidi"/>
          <w:sz w:val="26"/>
          <w:szCs w:val="26"/>
          <w:lang w:val="en-GB"/>
        </w:rPr>
        <w:t>t</w:t>
      </w:r>
      <w:bookmarkStart w:id="0" w:name="_GoBack"/>
      <w:bookmarkEnd w:id="0"/>
      <w:r w:rsidR="001A3B8F" w:rsidRPr="00FE023B">
        <w:rPr>
          <w:rFonts w:asciiTheme="majorBidi" w:hAnsiTheme="majorBidi" w:cstheme="majorBidi"/>
          <w:sz w:val="26"/>
          <w:szCs w:val="26"/>
          <w:lang w:val="en-GB"/>
        </w:rPr>
        <w:t>break</w:t>
      </w:r>
      <w:r w:rsidR="00773C89"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 xml:space="preserve">of the </w:t>
      </w:r>
      <w:proofErr w:type="spellStart"/>
      <w:r w:rsidRPr="00FE023B">
        <w:rPr>
          <w:rFonts w:asciiTheme="majorBidi" w:hAnsiTheme="majorBidi" w:cstheme="majorBidi"/>
          <w:sz w:val="26"/>
          <w:szCs w:val="26"/>
          <w:lang w:val="en-GB"/>
        </w:rPr>
        <w:t>Coronavirus</w:t>
      </w:r>
      <w:proofErr w:type="spellEnd"/>
      <w:r w:rsidRPr="00FE023B">
        <w:rPr>
          <w:rFonts w:asciiTheme="majorBidi" w:hAnsiTheme="majorBidi" w:cstheme="majorBidi"/>
          <w:sz w:val="26"/>
          <w:szCs w:val="26"/>
          <w:lang w:val="en-GB"/>
        </w:rPr>
        <w:t xml:space="preserve">, as the number of </w:t>
      </w:r>
      <w:r w:rsidR="004B1D3B" w:rsidRPr="00FE023B">
        <w:rPr>
          <w:rFonts w:asciiTheme="majorBidi" w:hAnsiTheme="majorBidi" w:cstheme="majorBidi"/>
          <w:sz w:val="26"/>
          <w:szCs w:val="26"/>
          <w:lang w:val="en-GB"/>
        </w:rPr>
        <w:t xml:space="preserve">employed </w:t>
      </w:r>
      <w:r w:rsidR="0074229E"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 xml:space="preserve">has decreased significantly among </w:t>
      </w:r>
      <w:r w:rsidR="0074229E" w:rsidRPr="00FE023B">
        <w:rPr>
          <w:rFonts w:asciiTheme="majorBidi" w:hAnsiTheme="majorBidi" w:cstheme="majorBidi"/>
          <w:sz w:val="26"/>
          <w:szCs w:val="26"/>
          <w:lang w:val="en-GB"/>
        </w:rPr>
        <w:t xml:space="preserve">employed persons aged 50 years and above, </w:t>
      </w:r>
      <w:r w:rsidR="004D513E" w:rsidRPr="00FE023B">
        <w:rPr>
          <w:rFonts w:asciiTheme="majorBidi" w:hAnsiTheme="majorBidi" w:cstheme="majorBidi"/>
          <w:sz w:val="26"/>
          <w:szCs w:val="26"/>
          <w:lang w:val="en-GB"/>
        </w:rPr>
        <w:t xml:space="preserve">where the </w:t>
      </w:r>
      <w:r w:rsidR="003F364A" w:rsidRPr="00FE023B">
        <w:rPr>
          <w:rFonts w:asciiTheme="majorBidi" w:hAnsiTheme="majorBidi" w:cstheme="majorBidi"/>
          <w:sz w:val="26"/>
          <w:szCs w:val="26"/>
          <w:lang w:val="en-GB"/>
        </w:rPr>
        <w:t>highest</w:t>
      </w:r>
      <w:r w:rsidR="004D513E" w:rsidRPr="00FE023B">
        <w:rPr>
          <w:rFonts w:asciiTheme="majorBidi" w:hAnsiTheme="majorBidi" w:cstheme="majorBidi"/>
          <w:sz w:val="26"/>
          <w:szCs w:val="26"/>
          <w:lang w:val="en-GB"/>
        </w:rPr>
        <w:t xml:space="preserve"> decrease was in the number of workers in instruction sector by 20,600 employed persons followed by industrial and agricultural sectors, 2,700 and 2,000 employed persons respectively. </w:t>
      </w:r>
      <w:r w:rsidRPr="00FE023B">
        <w:rPr>
          <w:rFonts w:asciiTheme="majorBidi" w:hAnsiTheme="majorBidi" w:cstheme="majorBidi"/>
          <w:sz w:val="26"/>
          <w:szCs w:val="26"/>
          <w:lang w:val="en-GB"/>
        </w:rPr>
        <w:t xml:space="preserve">The number of </w:t>
      </w:r>
      <w:r w:rsidR="004B1D3B" w:rsidRPr="00FE023B">
        <w:rPr>
          <w:rFonts w:asciiTheme="majorBidi" w:hAnsiTheme="majorBidi" w:cstheme="majorBidi"/>
          <w:sz w:val="26"/>
          <w:szCs w:val="26"/>
          <w:lang w:val="en-GB"/>
        </w:rPr>
        <w:t xml:space="preserve">employed </w:t>
      </w:r>
      <w:r w:rsidR="0074229E"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 xml:space="preserve">in Israeli settlements decreased from 21,000 in the </w:t>
      </w:r>
      <w:r w:rsidR="004B1D3B" w:rsidRPr="00FE023B">
        <w:rPr>
          <w:rFonts w:asciiTheme="majorBidi" w:hAnsiTheme="majorBidi" w:cstheme="majorBidi"/>
          <w:sz w:val="26"/>
          <w:szCs w:val="26"/>
          <w:lang w:val="en-GB"/>
        </w:rPr>
        <w:t>1</w:t>
      </w:r>
      <w:r w:rsidR="004B1D3B" w:rsidRPr="00FE023B">
        <w:rPr>
          <w:rFonts w:asciiTheme="majorBidi" w:hAnsiTheme="majorBidi" w:cstheme="majorBidi"/>
          <w:sz w:val="26"/>
          <w:szCs w:val="26"/>
          <w:vertAlign w:val="superscript"/>
          <w:lang w:val="en-GB"/>
        </w:rPr>
        <w:t>st</w:t>
      </w:r>
      <w:r w:rsidR="004B1D3B"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 xml:space="preserve">quarter 2020 to 13,000 in the </w:t>
      </w:r>
      <w:r w:rsidR="004B1D3B" w:rsidRPr="00FE023B">
        <w:rPr>
          <w:rFonts w:asciiTheme="majorBidi" w:hAnsiTheme="majorBidi" w:cstheme="majorBidi"/>
          <w:sz w:val="26"/>
          <w:szCs w:val="26"/>
          <w:lang w:val="en-GB"/>
        </w:rPr>
        <w:t>2</w:t>
      </w:r>
      <w:r w:rsidR="004B1D3B" w:rsidRPr="00FE023B">
        <w:rPr>
          <w:rFonts w:asciiTheme="majorBidi" w:hAnsiTheme="majorBidi" w:cstheme="majorBidi"/>
          <w:sz w:val="26"/>
          <w:szCs w:val="26"/>
          <w:vertAlign w:val="superscript"/>
          <w:lang w:val="en-GB"/>
        </w:rPr>
        <w:t>nd</w:t>
      </w:r>
      <w:r w:rsidR="004B1D3B"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quarter 2020.</w:t>
      </w:r>
    </w:p>
    <w:p w:rsidR="004B1D3B" w:rsidRPr="00FE023B" w:rsidRDefault="004B1D3B" w:rsidP="004B1D3B">
      <w:pPr>
        <w:tabs>
          <w:tab w:val="right" w:pos="142"/>
          <w:tab w:val="num" w:pos="900"/>
        </w:tabs>
        <w:bidi w:val="0"/>
        <w:ind w:right="-1"/>
        <w:jc w:val="both"/>
        <w:rPr>
          <w:rFonts w:asciiTheme="majorBidi" w:hAnsiTheme="majorBidi" w:cstheme="majorBidi"/>
          <w:sz w:val="16"/>
          <w:szCs w:val="16"/>
          <w:lang w:val="en-GB"/>
        </w:rPr>
      </w:pPr>
    </w:p>
    <w:p w:rsidR="004306A8" w:rsidRPr="00FE023B" w:rsidRDefault="004306A8" w:rsidP="004306A8">
      <w:pPr>
        <w:bidi w:val="0"/>
        <w:ind w:right="-1"/>
        <w:jc w:val="both"/>
        <w:rPr>
          <w:rFonts w:asciiTheme="majorBidi" w:hAnsiTheme="majorBidi" w:cstheme="majorBidi"/>
          <w:b/>
          <w:bCs/>
          <w:sz w:val="26"/>
          <w:szCs w:val="26"/>
        </w:rPr>
      </w:pPr>
      <w:r w:rsidRPr="00FE023B">
        <w:rPr>
          <w:rFonts w:asciiTheme="majorBidi" w:hAnsiTheme="majorBidi" w:cstheme="majorBidi"/>
          <w:sz w:val="26"/>
          <w:szCs w:val="26"/>
        </w:rPr>
        <w:t xml:space="preserve">The average daily wage for the wage employees in Israel and </w:t>
      </w:r>
      <w:r w:rsidRPr="00FE023B">
        <w:rPr>
          <w:rFonts w:asciiTheme="majorBidi" w:hAnsiTheme="majorBidi" w:cstheme="majorBidi"/>
          <w:color w:val="000000"/>
          <w:sz w:val="26"/>
          <w:szCs w:val="26"/>
        </w:rPr>
        <w:t>Israeli settlements</w:t>
      </w:r>
      <w:r w:rsidRPr="00FE023B">
        <w:rPr>
          <w:rFonts w:asciiTheme="majorBidi" w:hAnsiTheme="majorBidi" w:cstheme="majorBidi"/>
          <w:sz w:val="26"/>
          <w:szCs w:val="26"/>
        </w:rPr>
        <w:t xml:space="preserve"> decreased between the 1</w:t>
      </w:r>
      <w:r w:rsidRPr="00FE023B">
        <w:rPr>
          <w:rFonts w:asciiTheme="majorBidi" w:hAnsiTheme="majorBidi" w:cstheme="majorBidi"/>
          <w:sz w:val="26"/>
          <w:szCs w:val="26"/>
          <w:vertAlign w:val="superscript"/>
        </w:rPr>
        <w:t>st</w:t>
      </w:r>
      <w:r w:rsidRPr="00FE023B">
        <w:rPr>
          <w:rFonts w:asciiTheme="majorBidi" w:hAnsiTheme="majorBidi" w:cstheme="majorBidi"/>
          <w:sz w:val="26"/>
          <w:szCs w:val="26"/>
        </w:rPr>
        <w:t xml:space="preserve"> quarter 2020 and the 2</w:t>
      </w:r>
      <w:r w:rsidRPr="00FE023B">
        <w:rPr>
          <w:rFonts w:asciiTheme="majorBidi" w:hAnsiTheme="majorBidi" w:cstheme="majorBidi"/>
          <w:sz w:val="26"/>
          <w:szCs w:val="26"/>
          <w:vertAlign w:val="superscript"/>
        </w:rPr>
        <w:t>nd</w:t>
      </w:r>
      <w:r w:rsidRPr="00FE023B">
        <w:rPr>
          <w:rFonts w:asciiTheme="majorBidi" w:hAnsiTheme="majorBidi" w:cstheme="majorBidi"/>
          <w:sz w:val="26"/>
          <w:szCs w:val="26"/>
        </w:rPr>
        <w:t xml:space="preserve"> quarter 2020 from 265 NIS to 255 NIS respectively.</w:t>
      </w:r>
    </w:p>
    <w:p w:rsidR="00937149" w:rsidRPr="00FE023B" w:rsidRDefault="00937149">
      <w:pPr>
        <w:bidi w:val="0"/>
        <w:rPr>
          <w:rFonts w:asciiTheme="majorBidi" w:hAnsiTheme="majorBidi" w:cstheme="majorBidi"/>
          <w:b/>
          <w:bCs/>
          <w:sz w:val="16"/>
          <w:szCs w:val="16"/>
          <w:lang w:val="en-GB"/>
        </w:rPr>
      </w:pPr>
    </w:p>
    <w:p w:rsidR="004B1D3B" w:rsidRPr="00FE023B" w:rsidRDefault="004B1D3B" w:rsidP="0074229E">
      <w:pPr>
        <w:tabs>
          <w:tab w:val="right" w:pos="142"/>
          <w:tab w:val="num" w:pos="900"/>
        </w:tabs>
        <w:bidi w:val="0"/>
        <w:ind w:right="-1"/>
        <w:jc w:val="both"/>
        <w:rPr>
          <w:rFonts w:asciiTheme="majorBidi" w:hAnsiTheme="majorBidi" w:cstheme="majorBidi"/>
          <w:b/>
          <w:bCs/>
          <w:sz w:val="28"/>
          <w:szCs w:val="28"/>
          <w:lang w:val="en-GB"/>
        </w:rPr>
      </w:pPr>
      <w:r w:rsidRPr="00FE023B">
        <w:rPr>
          <w:rFonts w:asciiTheme="majorBidi" w:hAnsiTheme="majorBidi" w:cstheme="majorBidi"/>
          <w:b/>
          <w:bCs/>
          <w:sz w:val="28"/>
          <w:szCs w:val="28"/>
          <w:lang w:val="en-GB"/>
        </w:rPr>
        <w:t xml:space="preserve">7 out of 10 employed </w:t>
      </w:r>
      <w:r w:rsidR="0074229E" w:rsidRPr="00FE023B">
        <w:rPr>
          <w:rFonts w:asciiTheme="majorBidi" w:hAnsiTheme="majorBidi" w:cstheme="majorBidi"/>
          <w:b/>
          <w:bCs/>
          <w:sz w:val="28"/>
          <w:szCs w:val="28"/>
          <w:lang w:val="en-GB"/>
        </w:rPr>
        <w:t xml:space="preserve">persons </w:t>
      </w:r>
      <w:r w:rsidRPr="00FE023B">
        <w:rPr>
          <w:rFonts w:asciiTheme="majorBidi" w:hAnsiTheme="majorBidi" w:cstheme="majorBidi"/>
          <w:b/>
          <w:bCs/>
          <w:sz w:val="28"/>
          <w:szCs w:val="28"/>
          <w:lang w:val="en-GB"/>
        </w:rPr>
        <w:t>are wage employees</w:t>
      </w:r>
    </w:p>
    <w:p w:rsidR="00E078FB" w:rsidRPr="00FE023B" w:rsidRDefault="004B1D3B" w:rsidP="008B479D">
      <w:pPr>
        <w:tabs>
          <w:tab w:val="right" w:pos="142"/>
          <w:tab w:val="num" w:pos="900"/>
        </w:tabs>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t>71% of</w:t>
      </w:r>
      <w:r w:rsidR="0074229E" w:rsidRPr="00FE023B">
        <w:rPr>
          <w:rFonts w:asciiTheme="majorBidi" w:hAnsiTheme="majorBidi" w:cstheme="majorBidi"/>
          <w:sz w:val="26"/>
          <w:szCs w:val="26"/>
          <w:lang w:val="en-GB"/>
        </w:rPr>
        <w:t xml:space="preserve"> employed persons</w:t>
      </w:r>
      <w:r w:rsidRPr="00FE023B">
        <w:rPr>
          <w:rFonts w:asciiTheme="majorBidi" w:hAnsiTheme="majorBidi" w:cstheme="majorBidi"/>
          <w:sz w:val="26"/>
          <w:szCs w:val="26"/>
          <w:lang w:val="en-GB"/>
        </w:rPr>
        <w:t xml:space="preserve"> are wage employees, 14% </w:t>
      </w:r>
      <w:r w:rsidR="0074229E" w:rsidRPr="00FE023B">
        <w:rPr>
          <w:rFonts w:asciiTheme="majorBidi" w:hAnsiTheme="majorBidi" w:cstheme="majorBidi"/>
          <w:sz w:val="26"/>
          <w:szCs w:val="26"/>
          <w:lang w:val="en-GB"/>
        </w:rPr>
        <w:t xml:space="preserve">of employed persons </w:t>
      </w:r>
      <w:r w:rsidRPr="00FE023B">
        <w:rPr>
          <w:rFonts w:asciiTheme="majorBidi" w:hAnsiTheme="majorBidi" w:cstheme="majorBidi"/>
          <w:sz w:val="26"/>
          <w:szCs w:val="26"/>
          <w:lang w:val="en-GB"/>
        </w:rPr>
        <w:t xml:space="preserve">are self-employed and employers, and 15% are unpaid family members. </w:t>
      </w:r>
    </w:p>
    <w:p w:rsidR="00E078FB" w:rsidRPr="00FE023B" w:rsidRDefault="00E078FB" w:rsidP="00E078FB">
      <w:pPr>
        <w:tabs>
          <w:tab w:val="right" w:pos="142"/>
          <w:tab w:val="num" w:pos="900"/>
        </w:tabs>
        <w:bidi w:val="0"/>
        <w:ind w:right="-1"/>
        <w:jc w:val="both"/>
        <w:rPr>
          <w:rFonts w:asciiTheme="majorBidi" w:hAnsiTheme="majorBidi" w:cstheme="majorBidi"/>
          <w:sz w:val="16"/>
          <w:szCs w:val="16"/>
          <w:lang w:val="en-GB"/>
        </w:rPr>
      </w:pPr>
    </w:p>
    <w:p w:rsidR="00E078FB" w:rsidRPr="00FE023B" w:rsidRDefault="00E078FB" w:rsidP="00FE023B">
      <w:pPr>
        <w:bidi w:val="0"/>
        <w:jc w:val="both"/>
        <w:rPr>
          <w:rFonts w:asciiTheme="majorBidi" w:hAnsiTheme="majorBidi" w:cstheme="majorBidi"/>
          <w:b/>
          <w:bCs/>
          <w:sz w:val="28"/>
          <w:szCs w:val="28"/>
        </w:rPr>
      </w:pPr>
      <w:r w:rsidRPr="00FE023B">
        <w:rPr>
          <w:rFonts w:asciiTheme="majorBidi" w:hAnsiTheme="majorBidi" w:cstheme="majorBidi"/>
          <w:b/>
          <w:bCs/>
          <w:sz w:val="28"/>
          <w:szCs w:val="28"/>
        </w:rPr>
        <w:t>About half of the wage employees in the private sector were hired without any contract.</w:t>
      </w:r>
    </w:p>
    <w:p w:rsidR="00E078FB" w:rsidRPr="00FE023B" w:rsidRDefault="00E078FB" w:rsidP="00186EC6">
      <w:pPr>
        <w:bidi w:val="0"/>
        <w:jc w:val="both"/>
        <w:rPr>
          <w:rFonts w:asciiTheme="majorBidi" w:hAnsiTheme="majorBidi" w:cstheme="majorBidi"/>
          <w:sz w:val="26"/>
          <w:szCs w:val="26"/>
        </w:rPr>
      </w:pPr>
      <w:r w:rsidRPr="00FE023B">
        <w:rPr>
          <w:rFonts w:asciiTheme="majorBidi" w:hAnsiTheme="majorBidi" w:cstheme="majorBidi"/>
          <w:sz w:val="26"/>
          <w:szCs w:val="26"/>
        </w:rPr>
        <w:t xml:space="preserve">46% of wage employees in the private sector were hired without any contract, and 37% of wage employees </w:t>
      </w:r>
      <w:r w:rsidR="008B479D" w:rsidRPr="00FE023B">
        <w:rPr>
          <w:rFonts w:asciiTheme="majorBidi" w:hAnsiTheme="majorBidi" w:cstheme="majorBidi"/>
          <w:sz w:val="26"/>
          <w:szCs w:val="26"/>
        </w:rPr>
        <w:t xml:space="preserve">receive a contribution </w:t>
      </w:r>
      <w:r w:rsidRPr="00FE023B">
        <w:rPr>
          <w:rFonts w:asciiTheme="majorBidi" w:hAnsiTheme="majorBidi" w:cstheme="majorBidi"/>
          <w:sz w:val="26"/>
          <w:szCs w:val="26"/>
        </w:rPr>
        <w:t>to a pension fund</w:t>
      </w:r>
      <w:r w:rsidR="008B479D" w:rsidRPr="00FE023B">
        <w:rPr>
          <w:rFonts w:asciiTheme="majorBidi" w:hAnsiTheme="majorBidi" w:cstheme="majorBidi"/>
          <w:sz w:val="26"/>
          <w:szCs w:val="26"/>
        </w:rPr>
        <w:t>/end of service compensation</w:t>
      </w:r>
      <w:r w:rsidRPr="00FE023B">
        <w:rPr>
          <w:rFonts w:asciiTheme="majorBidi" w:hAnsiTheme="majorBidi" w:cstheme="majorBidi"/>
          <w:sz w:val="26"/>
          <w:szCs w:val="26"/>
        </w:rPr>
        <w:t xml:space="preserve">. </w:t>
      </w:r>
      <w:r w:rsidR="008B479D" w:rsidRPr="00FE023B">
        <w:rPr>
          <w:rFonts w:asciiTheme="majorBidi" w:hAnsiTheme="majorBidi" w:cstheme="majorBidi"/>
          <w:sz w:val="26"/>
          <w:szCs w:val="26"/>
        </w:rPr>
        <w:t>Moreover</w:t>
      </w:r>
      <w:r w:rsidRPr="00FE023B">
        <w:rPr>
          <w:rFonts w:asciiTheme="majorBidi" w:hAnsiTheme="majorBidi" w:cstheme="majorBidi"/>
          <w:sz w:val="26"/>
          <w:szCs w:val="26"/>
        </w:rPr>
        <w:t xml:space="preserve">, more than half of wage female employees (57%) </w:t>
      </w:r>
      <w:r w:rsidR="00186EC6" w:rsidRPr="00FE023B">
        <w:rPr>
          <w:rFonts w:asciiTheme="majorBidi" w:hAnsiTheme="majorBidi" w:cstheme="majorBidi"/>
          <w:sz w:val="26"/>
          <w:szCs w:val="26"/>
        </w:rPr>
        <w:t xml:space="preserve">have </w:t>
      </w:r>
      <w:r w:rsidRPr="00FE023B">
        <w:rPr>
          <w:rFonts w:asciiTheme="majorBidi" w:hAnsiTheme="majorBidi" w:cstheme="majorBidi"/>
          <w:sz w:val="26"/>
          <w:szCs w:val="26"/>
        </w:rPr>
        <w:t>a paid maternity leave.</w:t>
      </w:r>
    </w:p>
    <w:p w:rsidR="00E078FB" w:rsidRPr="00FE023B" w:rsidRDefault="00E078FB" w:rsidP="00E078FB">
      <w:pPr>
        <w:bidi w:val="0"/>
        <w:jc w:val="both"/>
        <w:rPr>
          <w:rFonts w:asciiTheme="majorBidi" w:hAnsiTheme="majorBidi" w:cstheme="majorBidi"/>
          <w:sz w:val="16"/>
          <w:szCs w:val="16"/>
          <w:rtl/>
        </w:rPr>
      </w:pPr>
    </w:p>
    <w:p w:rsidR="00E078FB" w:rsidRPr="00FE023B" w:rsidRDefault="00E078FB" w:rsidP="00FE023B">
      <w:pPr>
        <w:bidi w:val="0"/>
        <w:jc w:val="both"/>
        <w:rPr>
          <w:rFonts w:asciiTheme="majorBidi" w:hAnsiTheme="majorBidi" w:cstheme="majorBidi"/>
          <w:b/>
          <w:bCs/>
          <w:sz w:val="28"/>
          <w:szCs w:val="28"/>
        </w:rPr>
      </w:pPr>
      <w:r w:rsidRPr="00FE023B">
        <w:rPr>
          <w:rFonts w:asciiTheme="majorBidi" w:hAnsiTheme="majorBidi" w:cstheme="majorBidi"/>
          <w:b/>
          <w:bCs/>
          <w:sz w:val="28"/>
          <w:szCs w:val="28"/>
        </w:rPr>
        <w:t>34% of wage employees in the private sector received less than the minimum wage (1,450 NIS) in Palestine</w:t>
      </w:r>
    </w:p>
    <w:p w:rsidR="00E078FB" w:rsidRPr="00FE023B" w:rsidRDefault="00E078FB" w:rsidP="00186EC6">
      <w:pPr>
        <w:bidi w:val="0"/>
        <w:jc w:val="both"/>
        <w:rPr>
          <w:rFonts w:asciiTheme="majorBidi" w:hAnsiTheme="majorBidi" w:cstheme="majorBidi"/>
          <w:sz w:val="26"/>
          <w:szCs w:val="26"/>
        </w:rPr>
      </w:pPr>
      <w:r w:rsidRPr="00FE023B">
        <w:rPr>
          <w:rFonts w:asciiTheme="majorBidi" w:hAnsiTheme="majorBidi" w:cstheme="majorBidi"/>
          <w:sz w:val="26"/>
          <w:szCs w:val="26"/>
        </w:rPr>
        <w:t>The percentage of wage employees in the private sector who received less than the minimum wage in the West Bank decrease</w:t>
      </w:r>
      <w:r w:rsidR="00186EC6" w:rsidRPr="00FE023B">
        <w:rPr>
          <w:rFonts w:asciiTheme="majorBidi" w:hAnsiTheme="majorBidi" w:cstheme="majorBidi"/>
          <w:sz w:val="26"/>
          <w:szCs w:val="26"/>
        </w:rPr>
        <w:t>d</w:t>
      </w:r>
      <w:r w:rsidRPr="00FE023B">
        <w:rPr>
          <w:rFonts w:asciiTheme="majorBidi" w:hAnsiTheme="majorBidi" w:cstheme="majorBidi"/>
          <w:sz w:val="26"/>
          <w:szCs w:val="26"/>
        </w:rPr>
        <w:t xml:space="preserve"> from 9% in the 1</w:t>
      </w:r>
      <w:r w:rsidRPr="00FE023B">
        <w:rPr>
          <w:rFonts w:asciiTheme="majorBidi" w:hAnsiTheme="majorBidi" w:cstheme="majorBidi"/>
          <w:sz w:val="26"/>
          <w:szCs w:val="26"/>
          <w:vertAlign w:val="superscript"/>
        </w:rPr>
        <w:t>st</w:t>
      </w:r>
      <w:r w:rsidRPr="00FE023B">
        <w:rPr>
          <w:rFonts w:asciiTheme="majorBidi" w:hAnsiTheme="majorBidi" w:cstheme="majorBidi"/>
          <w:sz w:val="26"/>
          <w:szCs w:val="26"/>
        </w:rPr>
        <w:t xml:space="preserve"> quarter 2020 to 8% in the 2</w:t>
      </w:r>
      <w:r w:rsidRPr="00FE023B">
        <w:rPr>
          <w:rFonts w:asciiTheme="majorBidi" w:hAnsiTheme="majorBidi" w:cstheme="majorBidi"/>
          <w:sz w:val="26"/>
          <w:szCs w:val="26"/>
          <w:vertAlign w:val="superscript"/>
        </w:rPr>
        <w:t>nd</w:t>
      </w:r>
      <w:r w:rsidRPr="00FE023B">
        <w:rPr>
          <w:rFonts w:asciiTheme="majorBidi" w:hAnsiTheme="majorBidi" w:cstheme="majorBidi"/>
          <w:sz w:val="26"/>
          <w:szCs w:val="26"/>
        </w:rPr>
        <w:t xml:space="preserve"> quarter 2020, while the percentage increased slightly from 81% to 82% </w:t>
      </w:r>
      <w:r w:rsidR="00186EC6" w:rsidRPr="00FE023B">
        <w:rPr>
          <w:rFonts w:asciiTheme="majorBidi" w:hAnsiTheme="majorBidi" w:cstheme="majorBidi"/>
          <w:sz w:val="26"/>
          <w:szCs w:val="26"/>
        </w:rPr>
        <w:t xml:space="preserve">in Gaza Strip </w:t>
      </w:r>
      <w:r w:rsidRPr="00FE023B">
        <w:rPr>
          <w:rFonts w:asciiTheme="majorBidi" w:hAnsiTheme="majorBidi" w:cstheme="majorBidi"/>
          <w:sz w:val="26"/>
          <w:szCs w:val="26"/>
        </w:rPr>
        <w:t>during the same period</w:t>
      </w:r>
      <w:r w:rsidRPr="00FE023B">
        <w:rPr>
          <w:rFonts w:asciiTheme="majorBidi" w:hAnsiTheme="majorBidi" w:cstheme="majorBidi"/>
          <w:sz w:val="26"/>
          <w:szCs w:val="26"/>
          <w:rtl/>
        </w:rPr>
        <w:t>.</w:t>
      </w:r>
    </w:p>
    <w:p w:rsidR="00E078FB" w:rsidRPr="00FE023B" w:rsidRDefault="00E078FB" w:rsidP="00E078FB">
      <w:pPr>
        <w:bidi w:val="0"/>
        <w:jc w:val="both"/>
        <w:rPr>
          <w:rFonts w:asciiTheme="majorBidi" w:hAnsiTheme="majorBidi" w:cstheme="majorBidi"/>
          <w:sz w:val="16"/>
          <w:szCs w:val="16"/>
          <w:rtl/>
        </w:rPr>
      </w:pPr>
    </w:p>
    <w:p w:rsidR="00E078FB" w:rsidRPr="00FE023B" w:rsidRDefault="00E078FB" w:rsidP="00773C89">
      <w:pPr>
        <w:bidi w:val="0"/>
        <w:jc w:val="both"/>
        <w:rPr>
          <w:rFonts w:asciiTheme="majorBidi" w:hAnsiTheme="majorBidi" w:cstheme="majorBidi"/>
          <w:sz w:val="26"/>
          <w:szCs w:val="26"/>
        </w:rPr>
      </w:pPr>
      <w:r w:rsidRPr="00FE023B">
        <w:rPr>
          <w:rFonts w:asciiTheme="majorBidi" w:hAnsiTheme="majorBidi" w:cstheme="majorBidi"/>
          <w:sz w:val="26"/>
          <w:szCs w:val="26"/>
        </w:rPr>
        <w:t>The</w:t>
      </w:r>
      <w:r w:rsidRPr="00FE023B">
        <w:rPr>
          <w:rFonts w:asciiTheme="majorBidi" w:hAnsiTheme="majorBidi" w:cstheme="majorBidi"/>
          <w:sz w:val="26"/>
          <w:szCs w:val="26"/>
          <w:rtl/>
        </w:rPr>
        <w:t xml:space="preserve"> </w:t>
      </w:r>
      <w:r w:rsidRPr="00FE023B">
        <w:rPr>
          <w:rFonts w:asciiTheme="majorBidi" w:hAnsiTheme="majorBidi" w:cstheme="majorBidi"/>
          <w:sz w:val="26"/>
          <w:szCs w:val="26"/>
        </w:rPr>
        <w:t xml:space="preserve">monthly minimum wage in Gaza Strip was </w:t>
      </w:r>
      <w:r w:rsidR="002808DF" w:rsidRPr="00FE023B">
        <w:rPr>
          <w:rFonts w:asciiTheme="majorBidi" w:hAnsiTheme="majorBidi" w:cstheme="majorBidi"/>
          <w:sz w:val="26"/>
          <w:szCs w:val="26"/>
        </w:rPr>
        <w:t>(</w:t>
      </w:r>
      <w:r w:rsidRPr="00FE023B">
        <w:rPr>
          <w:rFonts w:asciiTheme="majorBidi" w:hAnsiTheme="majorBidi" w:cstheme="majorBidi"/>
          <w:sz w:val="26"/>
          <w:szCs w:val="26"/>
        </w:rPr>
        <w:t>647 NIS</w:t>
      </w:r>
      <w:r w:rsidR="002808DF" w:rsidRPr="00FE023B">
        <w:rPr>
          <w:rFonts w:asciiTheme="majorBidi" w:hAnsiTheme="majorBidi" w:cstheme="majorBidi"/>
          <w:sz w:val="26"/>
          <w:szCs w:val="26"/>
        </w:rPr>
        <w:t>)</w:t>
      </w:r>
      <w:r w:rsidRPr="00FE023B">
        <w:rPr>
          <w:rFonts w:asciiTheme="majorBidi" w:hAnsiTheme="majorBidi" w:cstheme="majorBidi"/>
          <w:sz w:val="26"/>
          <w:szCs w:val="26"/>
        </w:rPr>
        <w:t xml:space="preserve"> compared with </w:t>
      </w:r>
      <w:r w:rsidR="002808DF" w:rsidRPr="00FE023B">
        <w:rPr>
          <w:rFonts w:asciiTheme="majorBidi" w:hAnsiTheme="majorBidi" w:cstheme="majorBidi"/>
          <w:sz w:val="26"/>
          <w:szCs w:val="26"/>
        </w:rPr>
        <w:t>(</w:t>
      </w:r>
      <w:r w:rsidRPr="00FE023B">
        <w:rPr>
          <w:rFonts w:asciiTheme="majorBidi" w:hAnsiTheme="majorBidi" w:cstheme="majorBidi"/>
          <w:sz w:val="26"/>
          <w:szCs w:val="26"/>
        </w:rPr>
        <w:t>1,</w:t>
      </w:r>
      <w:r w:rsidR="00773C89" w:rsidRPr="00FE023B">
        <w:rPr>
          <w:rFonts w:asciiTheme="majorBidi" w:hAnsiTheme="majorBidi" w:cstheme="majorBidi"/>
          <w:sz w:val="26"/>
          <w:szCs w:val="26"/>
        </w:rPr>
        <w:t xml:space="preserve">146 </w:t>
      </w:r>
      <w:r w:rsidRPr="00FE023B">
        <w:rPr>
          <w:rFonts w:asciiTheme="majorBidi" w:hAnsiTheme="majorBidi" w:cstheme="majorBidi"/>
          <w:sz w:val="26"/>
          <w:szCs w:val="26"/>
        </w:rPr>
        <w:t>NIS</w:t>
      </w:r>
      <w:r w:rsidR="002808DF" w:rsidRPr="00FE023B">
        <w:rPr>
          <w:rFonts w:asciiTheme="majorBidi" w:hAnsiTheme="majorBidi" w:cstheme="majorBidi"/>
          <w:sz w:val="26"/>
          <w:szCs w:val="26"/>
        </w:rPr>
        <w:t>)</w:t>
      </w:r>
      <w:r w:rsidRPr="00FE023B">
        <w:rPr>
          <w:rFonts w:asciiTheme="majorBidi" w:hAnsiTheme="majorBidi" w:cstheme="majorBidi"/>
          <w:sz w:val="26"/>
          <w:szCs w:val="26"/>
        </w:rPr>
        <w:t xml:space="preserve"> in the West Bank</w:t>
      </w:r>
      <w:r w:rsidRPr="00FE023B">
        <w:rPr>
          <w:rFonts w:asciiTheme="majorBidi" w:hAnsiTheme="majorBidi" w:cstheme="majorBidi"/>
          <w:sz w:val="26"/>
          <w:szCs w:val="26"/>
          <w:rtl/>
        </w:rPr>
        <w:t>.</w:t>
      </w:r>
    </w:p>
    <w:p w:rsidR="00E078FB" w:rsidRPr="00FE023B" w:rsidRDefault="00E078FB" w:rsidP="00E078FB">
      <w:pPr>
        <w:tabs>
          <w:tab w:val="right" w:pos="142"/>
          <w:tab w:val="num" w:pos="900"/>
        </w:tabs>
        <w:bidi w:val="0"/>
        <w:ind w:right="-1"/>
        <w:jc w:val="both"/>
        <w:rPr>
          <w:rFonts w:asciiTheme="majorBidi" w:hAnsiTheme="majorBidi" w:cstheme="majorBidi"/>
          <w:sz w:val="16"/>
          <w:szCs w:val="16"/>
        </w:rPr>
      </w:pPr>
    </w:p>
    <w:p w:rsidR="00C45F9F" w:rsidRPr="00FE023B" w:rsidRDefault="00186EC6" w:rsidP="00C45F9F">
      <w:pPr>
        <w:tabs>
          <w:tab w:val="right" w:pos="142"/>
          <w:tab w:val="num" w:pos="900"/>
        </w:tabs>
        <w:bidi w:val="0"/>
        <w:ind w:right="-1"/>
        <w:jc w:val="both"/>
        <w:rPr>
          <w:rFonts w:asciiTheme="majorBidi" w:hAnsiTheme="majorBidi" w:cstheme="majorBidi"/>
          <w:b/>
          <w:bCs/>
          <w:sz w:val="28"/>
          <w:szCs w:val="28"/>
        </w:rPr>
      </w:pPr>
      <w:r w:rsidRPr="00FE023B">
        <w:rPr>
          <w:rFonts w:asciiTheme="majorBidi" w:hAnsiTheme="majorBidi" w:cstheme="majorBidi"/>
          <w:b/>
          <w:bCs/>
          <w:sz w:val="28"/>
          <w:szCs w:val="28"/>
        </w:rPr>
        <w:t xml:space="preserve">A </w:t>
      </w:r>
      <w:r w:rsidR="00C45F9F" w:rsidRPr="00FE023B">
        <w:rPr>
          <w:rFonts w:asciiTheme="majorBidi" w:hAnsiTheme="majorBidi" w:cstheme="majorBidi"/>
          <w:b/>
          <w:bCs/>
          <w:sz w:val="28"/>
          <w:szCs w:val="28"/>
        </w:rPr>
        <w:t xml:space="preserve">decrease in the </w:t>
      </w:r>
      <w:proofErr w:type="spellStart"/>
      <w:r w:rsidR="00C45F9F" w:rsidRPr="00FE023B">
        <w:rPr>
          <w:rFonts w:asciiTheme="majorBidi" w:hAnsiTheme="majorBidi" w:cstheme="majorBidi"/>
          <w:b/>
          <w:bCs/>
          <w:sz w:val="28"/>
          <w:szCs w:val="28"/>
        </w:rPr>
        <w:t>labour</w:t>
      </w:r>
      <w:proofErr w:type="spellEnd"/>
      <w:r w:rsidR="00C45F9F" w:rsidRPr="00FE023B">
        <w:rPr>
          <w:rFonts w:asciiTheme="majorBidi" w:hAnsiTheme="majorBidi" w:cstheme="majorBidi"/>
          <w:b/>
          <w:bCs/>
          <w:sz w:val="28"/>
          <w:szCs w:val="28"/>
        </w:rPr>
        <w:t xml:space="preserve"> force participation</w:t>
      </w:r>
    </w:p>
    <w:p w:rsidR="00C45F9F" w:rsidRPr="00FE023B" w:rsidRDefault="00C45F9F" w:rsidP="002808DF">
      <w:pPr>
        <w:tabs>
          <w:tab w:val="right" w:pos="142"/>
          <w:tab w:val="num" w:pos="900"/>
        </w:tabs>
        <w:bidi w:val="0"/>
        <w:ind w:right="-1"/>
        <w:jc w:val="both"/>
        <w:rPr>
          <w:rFonts w:asciiTheme="majorBidi" w:hAnsiTheme="majorBidi" w:cstheme="majorBidi"/>
          <w:sz w:val="26"/>
          <w:szCs w:val="26"/>
        </w:rPr>
      </w:pPr>
      <w:r w:rsidRPr="00FE023B">
        <w:rPr>
          <w:rFonts w:asciiTheme="majorBidi" w:hAnsiTheme="majorBidi" w:cstheme="majorBidi"/>
          <w:sz w:val="26"/>
          <w:szCs w:val="26"/>
        </w:rPr>
        <w:t xml:space="preserve">The home quarantine imposed </w:t>
      </w:r>
      <w:r w:rsidR="002808DF" w:rsidRPr="00FE023B">
        <w:rPr>
          <w:rFonts w:asciiTheme="majorBidi" w:hAnsiTheme="majorBidi" w:cstheme="majorBidi"/>
          <w:sz w:val="26"/>
          <w:szCs w:val="26"/>
        </w:rPr>
        <w:t xml:space="preserve">due to </w:t>
      </w:r>
      <w:r w:rsidRPr="00FE023B">
        <w:rPr>
          <w:rFonts w:asciiTheme="majorBidi" w:hAnsiTheme="majorBidi" w:cstheme="majorBidi"/>
          <w:sz w:val="26"/>
          <w:szCs w:val="26"/>
        </w:rPr>
        <w:t xml:space="preserve">the </w:t>
      </w:r>
      <w:r w:rsidR="00186EC6" w:rsidRPr="00FE023B">
        <w:rPr>
          <w:rFonts w:asciiTheme="majorBidi" w:hAnsiTheme="majorBidi" w:cstheme="majorBidi"/>
          <w:sz w:val="26"/>
          <w:szCs w:val="26"/>
        </w:rPr>
        <w:t>COVID</w:t>
      </w:r>
      <w:r w:rsidR="002808DF" w:rsidRPr="00FE023B">
        <w:rPr>
          <w:rFonts w:asciiTheme="majorBidi" w:hAnsiTheme="majorBidi" w:cstheme="majorBidi"/>
          <w:sz w:val="26"/>
          <w:szCs w:val="26"/>
        </w:rPr>
        <w:t>-</w:t>
      </w:r>
      <w:r w:rsidRPr="00FE023B">
        <w:rPr>
          <w:rFonts w:asciiTheme="majorBidi" w:hAnsiTheme="majorBidi" w:cstheme="majorBidi"/>
          <w:sz w:val="26"/>
          <w:szCs w:val="26"/>
        </w:rPr>
        <w:t xml:space="preserve">19 pandemic led to the reluctance of individuals </w:t>
      </w:r>
      <w:r w:rsidR="00186EC6" w:rsidRPr="00FE023B">
        <w:rPr>
          <w:rFonts w:asciiTheme="majorBidi" w:hAnsiTheme="majorBidi" w:cstheme="majorBidi"/>
          <w:sz w:val="26"/>
          <w:szCs w:val="26"/>
        </w:rPr>
        <w:t xml:space="preserve">aged </w:t>
      </w:r>
      <w:r w:rsidRPr="00FE023B">
        <w:rPr>
          <w:rFonts w:asciiTheme="majorBidi" w:hAnsiTheme="majorBidi" w:cstheme="majorBidi"/>
          <w:sz w:val="26"/>
          <w:szCs w:val="26"/>
        </w:rPr>
        <w:t xml:space="preserve">15 years and </w:t>
      </w:r>
      <w:r w:rsidR="00186EC6" w:rsidRPr="00FE023B">
        <w:rPr>
          <w:rFonts w:asciiTheme="majorBidi" w:hAnsiTheme="majorBidi" w:cstheme="majorBidi"/>
          <w:sz w:val="26"/>
          <w:szCs w:val="26"/>
        </w:rPr>
        <w:t xml:space="preserve">above </w:t>
      </w:r>
      <w:r w:rsidRPr="00FE023B">
        <w:rPr>
          <w:rFonts w:asciiTheme="majorBidi" w:hAnsiTheme="majorBidi" w:cstheme="majorBidi"/>
          <w:sz w:val="26"/>
          <w:szCs w:val="26"/>
        </w:rPr>
        <w:t xml:space="preserve">to enter the </w:t>
      </w:r>
      <w:proofErr w:type="spellStart"/>
      <w:r w:rsidRPr="00FE023B">
        <w:rPr>
          <w:rFonts w:asciiTheme="majorBidi" w:hAnsiTheme="majorBidi" w:cstheme="majorBidi"/>
          <w:sz w:val="26"/>
          <w:szCs w:val="26"/>
        </w:rPr>
        <w:t>labour</w:t>
      </w:r>
      <w:proofErr w:type="spellEnd"/>
      <w:r w:rsidRPr="00FE023B">
        <w:rPr>
          <w:rFonts w:asciiTheme="majorBidi" w:hAnsiTheme="majorBidi" w:cstheme="majorBidi"/>
          <w:sz w:val="26"/>
          <w:szCs w:val="26"/>
        </w:rPr>
        <w:t xml:space="preserve"> market, which negatively affected the participation rate in the </w:t>
      </w:r>
      <w:proofErr w:type="spellStart"/>
      <w:r w:rsidRPr="00FE023B">
        <w:rPr>
          <w:rFonts w:asciiTheme="majorBidi" w:hAnsiTheme="majorBidi" w:cstheme="majorBidi"/>
          <w:sz w:val="26"/>
          <w:szCs w:val="26"/>
        </w:rPr>
        <w:t>labour</w:t>
      </w:r>
      <w:proofErr w:type="spellEnd"/>
      <w:r w:rsidRPr="00FE023B">
        <w:rPr>
          <w:rFonts w:asciiTheme="majorBidi" w:hAnsiTheme="majorBidi" w:cstheme="majorBidi"/>
          <w:sz w:val="26"/>
          <w:szCs w:val="26"/>
        </w:rPr>
        <w:t xml:space="preserve"> force, as it decreased to 39% in the </w:t>
      </w:r>
      <w:r w:rsidR="00E70CB2" w:rsidRPr="00FE023B">
        <w:rPr>
          <w:rFonts w:asciiTheme="majorBidi" w:hAnsiTheme="majorBidi" w:cstheme="majorBidi"/>
          <w:sz w:val="26"/>
          <w:szCs w:val="26"/>
        </w:rPr>
        <w:t>2</w:t>
      </w:r>
      <w:r w:rsidR="00E70CB2" w:rsidRPr="00FE023B">
        <w:rPr>
          <w:rFonts w:asciiTheme="majorBidi" w:hAnsiTheme="majorBidi" w:cstheme="majorBidi"/>
          <w:sz w:val="26"/>
          <w:szCs w:val="26"/>
          <w:vertAlign w:val="superscript"/>
        </w:rPr>
        <w:t>nd</w:t>
      </w:r>
      <w:r w:rsidR="00E70CB2" w:rsidRPr="00FE023B">
        <w:rPr>
          <w:rFonts w:asciiTheme="majorBidi" w:hAnsiTheme="majorBidi" w:cstheme="majorBidi"/>
          <w:sz w:val="26"/>
          <w:szCs w:val="26"/>
        </w:rPr>
        <w:t xml:space="preserve"> </w:t>
      </w:r>
      <w:r w:rsidRPr="00FE023B">
        <w:rPr>
          <w:rFonts w:asciiTheme="majorBidi" w:hAnsiTheme="majorBidi" w:cstheme="majorBidi"/>
          <w:sz w:val="26"/>
          <w:szCs w:val="26"/>
        </w:rPr>
        <w:t xml:space="preserve">quarter 2020 compared to 43% in the </w:t>
      </w:r>
      <w:r w:rsidR="00E70CB2" w:rsidRPr="00FE023B">
        <w:rPr>
          <w:rFonts w:asciiTheme="majorBidi" w:hAnsiTheme="majorBidi" w:cstheme="majorBidi"/>
          <w:sz w:val="26"/>
          <w:szCs w:val="26"/>
        </w:rPr>
        <w:t>1</w:t>
      </w:r>
      <w:r w:rsidR="00E70CB2" w:rsidRPr="00FE023B">
        <w:rPr>
          <w:rFonts w:asciiTheme="majorBidi" w:hAnsiTheme="majorBidi" w:cstheme="majorBidi"/>
          <w:sz w:val="26"/>
          <w:szCs w:val="26"/>
          <w:vertAlign w:val="superscript"/>
        </w:rPr>
        <w:t>st</w:t>
      </w:r>
      <w:r w:rsidR="00E70CB2" w:rsidRPr="00FE023B">
        <w:rPr>
          <w:rFonts w:asciiTheme="majorBidi" w:hAnsiTheme="majorBidi" w:cstheme="majorBidi"/>
          <w:sz w:val="26"/>
          <w:szCs w:val="26"/>
        </w:rPr>
        <w:t xml:space="preserve"> </w:t>
      </w:r>
      <w:r w:rsidRPr="00FE023B">
        <w:rPr>
          <w:rFonts w:asciiTheme="majorBidi" w:hAnsiTheme="majorBidi" w:cstheme="majorBidi"/>
          <w:sz w:val="26"/>
          <w:szCs w:val="26"/>
        </w:rPr>
        <w:t>quarter 2020</w:t>
      </w:r>
      <w:r w:rsidR="00186EC6" w:rsidRPr="00FE023B">
        <w:rPr>
          <w:rFonts w:asciiTheme="majorBidi" w:hAnsiTheme="majorBidi" w:cstheme="majorBidi"/>
          <w:sz w:val="26"/>
          <w:szCs w:val="26"/>
        </w:rPr>
        <w:t xml:space="preserve">. Also, </w:t>
      </w:r>
      <w:r w:rsidRPr="00FE023B">
        <w:rPr>
          <w:rFonts w:asciiTheme="majorBidi" w:hAnsiTheme="majorBidi" w:cstheme="majorBidi"/>
          <w:sz w:val="26"/>
          <w:szCs w:val="26"/>
        </w:rPr>
        <w:t>data indicated that this percentage decreased from 46% to 41% in the West Bank and decreased from 39% to 35% in Gaza Strip during the same period.</w:t>
      </w:r>
    </w:p>
    <w:p w:rsidR="00E078FB" w:rsidRPr="00FE023B" w:rsidRDefault="0016228B" w:rsidP="00425478">
      <w:pPr>
        <w:tabs>
          <w:tab w:val="right" w:pos="142"/>
          <w:tab w:val="num" w:pos="900"/>
        </w:tabs>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t>The male participation rate decreased from 68% in the 1</w:t>
      </w:r>
      <w:r w:rsidRPr="00FE023B">
        <w:rPr>
          <w:rFonts w:asciiTheme="majorBidi" w:hAnsiTheme="majorBidi" w:cstheme="majorBidi"/>
          <w:sz w:val="26"/>
          <w:szCs w:val="26"/>
          <w:vertAlign w:val="superscript"/>
          <w:lang w:val="en-GB"/>
        </w:rPr>
        <w:t>st</w:t>
      </w:r>
      <w:r w:rsidRPr="00FE023B">
        <w:rPr>
          <w:rFonts w:asciiTheme="majorBidi" w:hAnsiTheme="majorBidi" w:cstheme="majorBidi"/>
          <w:sz w:val="26"/>
          <w:szCs w:val="26"/>
          <w:lang w:val="en-GB"/>
        </w:rPr>
        <w:t xml:space="preserve"> quarter of 2020 to 61% in the 2</w:t>
      </w:r>
      <w:r w:rsidRPr="00FE023B">
        <w:rPr>
          <w:rFonts w:asciiTheme="majorBidi" w:hAnsiTheme="majorBidi" w:cstheme="majorBidi"/>
          <w:sz w:val="26"/>
          <w:szCs w:val="26"/>
          <w:vertAlign w:val="superscript"/>
          <w:lang w:val="en-GB"/>
        </w:rPr>
        <w:t>nd</w:t>
      </w:r>
      <w:r w:rsidRPr="00FE023B">
        <w:rPr>
          <w:rFonts w:asciiTheme="majorBidi" w:hAnsiTheme="majorBidi" w:cstheme="majorBidi"/>
          <w:sz w:val="26"/>
          <w:szCs w:val="26"/>
          <w:lang w:val="en-GB"/>
        </w:rPr>
        <w:t xml:space="preserve"> </w:t>
      </w:r>
      <w:r w:rsidR="00425478"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quarter 2020, and for females it decreased from 17% to 15% during the same period.</w:t>
      </w:r>
    </w:p>
    <w:p w:rsidR="0016228B" w:rsidRPr="00FE023B" w:rsidRDefault="0016228B" w:rsidP="0016228B">
      <w:pPr>
        <w:tabs>
          <w:tab w:val="right" w:pos="142"/>
          <w:tab w:val="num" w:pos="900"/>
        </w:tabs>
        <w:bidi w:val="0"/>
        <w:ind w:right="-1"/>
        <w:jc w:val="both"/>
        <w:rPr>
          <w:rFonts w:asciiTheme="majorBidi" w:hAnsiTheme="majorBidi" w:cstheme="majorBidi"/>
          <w:sz w:val="16"/>
          <w:szCs w:val="16"/>
          <w:lang w:val="en-GB"/>
        </w:rPr>
      </w:pPr>
    </w:p>
    <w:p w:rsidR="00773C89" w:rsidRPr="00FE023B" w:rsidRDefault="00773C89" w:rsidP="00FE023B">
      <w:pPr>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lastRenderedPageBreak/>
        <w:t>This explains why unemployment rates didn’t increase significantly during the pandemic period, as the unemployment rate among labour force participants (15 years and over) in the 2</w:t>
      </w:r>
      <w:r w:rsidRPr="00FE023B">
        <w:rPr>
          <w:rFonts w:asciiTheme="majorBidi" w:hAnsiTheme="majorBidi" w:cstheme="majorBidi"/>
          <w:sz w:val="26"/>
          <w:szCs w:val="26"/>
          <w:vertAlign w:val="superscript"/>
          <w:lang w:val="en-GB"/>
        </w:rPr>
        <w:t>nd</w:t>
      </w:r>
      <w:r w:rsidR="004306A8"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quarter was about 27%, while the total underemployment of labour was about 39%, according to the revised International Labo</w:t>
      </w:r>
      <w:r w:rsidR="004306A8" w:rsidRPr="00FE023B">
        <w:rPr>
          <w:rFonts w:asciiTheme="majorBidi" w:hAnsiTheme="majorBidi" w:cstheme="majorBidi"/>
          <w:sz w:val="26"/>
          <w:szCs w:val="26"/>
          <w:lang w:val="en-GB"/>
        </w:rPr>
        <w:t>u</w:t>
      </w:r>
      <w:r w:rsidRPr="00FE023B">
        <w:rPr>
          <w:rFonts w:asciiTheme="majorBidi" w:hAnsiTheme="majorBidi" w:cstheme="majorBidi"/>
          <w:sz w:val="26"/>
          <w:szCs w:val="26"/>
          <w:lang w:val="en-GB"/>
        </w:rPr>
        <w:t>r Organization standards (ICLS-19th).</w:t>
      </w:r>
    </w:p>
    <w:p w:rsidR="00773C89" w:rsidRPr="00FE023B" w:rsidRDefault="00773C89" w:rsidP="00773C89">
      <w:pPr>
        <w:tabs>
          <w:tab w:val="right" w:pos="142"/>
          <w:tab w:val="num" w:pos="900"/>
        </w:tabs>
        <w:bidi w:val="0"/>
        <w:ind w:right="-1"/>
        <w:jc w:val="both"/>
        <w:rPr>
          <w:rFonts w:asciiTheme="majorBidi" w:hAnsiTheme="majorBidi" w:cstheme="majorBidi"/>
          <w:sz w:val="16"/>
          <w:szCs w:val="16"/>
          <w:lang w:val="en-GB"/>
        </w:rPr>
      </w:pPr>
    </w:p>
    <w:p w:rsidR="001C0AB6" w:rsidRPr="00FE023B" w:rsidRDefault="001C0AB6" w:rsidP="007C084D">
      <w:pPr>
        <w:bidi w:val="0"/>
        <w:ind w:right="-1"/>
        <w:jc w:val="both"/>
        <w:rPr>
          <w:rFonts w:asciiTheme="majorBidi" w:hAnsiTheme="majorBidi" w:cstheme="majorBidi"/>
          <w:sz w:val="26"/>
          <w:szCs w:val="26"/>
          <w:lang w:val="en-GB"/>
        </w:rPr>
      </w:pPr>
      <w:r w:rsidRPr="00FE023B">
        <w:rPr>
          <w:rFonts w:asciiTheme="majorBidi" w:hAnsiTheme="majorBidi" w:cstheme="majorBidi"/>
          <w:sz w:val="26"/>
          <w:szCs w:val="26"/>
          <w:lang w:val="en-GB"/>
        </w:rPr>
        <w:t xml:space="preserve">The number of unemployed </w:t>
      </w:r>
      <w:r w:rsidR="00186EC6"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 xml:space="preserve">reached 321,400 in the </w:t>
      </w:r>
      <w:r w:rsidR="007C084D" w:rsidRPr="00FE023B">
        <w:rPr>
          <w:rFonts w:asciiTheme="majorBidi" w:hAnsiTheme="majorBidi" w:cstheme="majorBidi"/>
          <w:sz w:val="26"/>
          <w:szCs w:val="26"/>
          <w:lang w:val="en-GB"/>
        </w:rPr>
        <w:t>2</w:t>
      </w:r>
      <w:r w:rsidR="007C084D" w:rsidRPr="00FE023B">
        <w:rPr>
          <w:rFonts w:asciiTheme="majorBidi" w:hAnsiTheme="majorBidi" w:cstheme="majorBidi"/>
          <w:sz w:val="26"/>
          <w:szCs w:val="26"/>
          <w:vertAlign w:val="superscript"/>
          <w:lang w:val="en-GB"/>
        </w:rPr>
        <w:t>nd</w:t>
      </w:r>
      <w:r w:rsidR="007C084D" w:rsidRPr="00FE023B">
        <w:rPr>
          <w:rFonts w:asciiTheme="majorBidi" w:hAnsiTheme="majorBidi" w:cstheme="majorBidi"/>
          <w:sz w:val="26"/>
          <w:szCs w:val="26"/>
          <w:lang w:val="en-GB"/>
        </w:rPr>
        <w:t xml:space="preserve"> </w:t>
      </w:r>
      <w:r w:rsidRPr="00FE023B">
        <w:rPr>
          <w:rFonts w:asciiTheme="majorBidi" w:hAnsiTheme="majorBidi" w:cstheme="majorBidi"/>
          <w:sz w:val="26"/>
          <w:szCs w:val="26"/>
          <w:lang w:val="en-GB"/>
        </w:rPr>
        <w:t xml:space="preserve">quarter of 2020; </w:t>
      </w:r>
      <w:r w:rsidR="00186EC6" w:rsidRPr="00FE023B">
        <w:rPr>
          <w:rFonts w:asciiTheme="majorBidi" w:hAnsiTheme="majorBidi" w:cstheme="majorBidi"/>
          <w:sz w:val="26"/>
          <w:szCs w:val="26"/>
          <w:lang w:val="en-GB"/>
        </w:rPr>
        <w:t xml:space="preserve">of which </w:t>
      </w:r>
      <w:r w:rsidRPr="00FE023B">
        <w:rPr>
          <w:rFonts w:asciiTheme="majorBidi" w:hAnsiTheme="majorBidi" w:cstheme="majorBidi"/>
          <w:sz w:val="26"/>
          <w:szCs w:val="26"/>
          <w:lang w:val="en-GB"/>
        </w:rPr>
        <w:t xml:space="preserve">203,200 </w:t>
      </w:r>
      <w:r w:rsidR="00186EC6"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 xml:space="preserve">in Gaza Strip and 118,200 </w:t>
      </w:r>
      <w:r w:rsidR="00186EC6" w:rsidRPr="00FE023B">
        <w:rPr>
          <w:rFonts w:asciiTheme="majorBidi" w:hAnsiTheme="majorBidi" w:cstheme="majorBidi"/>
          <w:sz w:val="26"/>
          <w:szCs w:val="26"/>
          <w:lang w:val="en-GB"/>
        </w:rPr>
        <w:t xml:space="preserve">persons </w:t>
      </w:r>
      <w:r w:rsidRPr="00FE023B">
        <w:rPr>
          <w:rFonts w:asciiTheme="majorBidi" w:hAnsiTheme="majorBidi" w:cstheme="majorBidi"/>
          <w:sz w:val="26"/>
          <w:szCs w:val="26"/>
          <w:lang w:val="en-GB"/>
        </w:rPr>
        <w:t>in</w:t>
      </w:r>
      <w:r w:rsidRPr="00FE023B">
        <w:rPr>
          <w:rFonts w:asciiTheme="majorBidi" w:hAnsiTheme="majorBidi" w:cstheme="majorBidi"/>
          <w:sz w:val="26"/>
          <w:szCs w:val="26"/>
        </w:rPr>
        <w:t xml:space="preserve"> </w:t>
      </w:r>
      <w:r w:rsidRPr="00FE023B">
        <w:rPr>
          <w:rFonts w:asciiTheme="majorBidi" w:hAnsiTheme="majorBidi" w:cstheme="majorBidi"/>
          <w:sz w:val="26"/>
          <w:szCs w:val="26"/>
          <w:lang w:val="en-GB"/>
        </w:rPr>
        <w:t>the West Bank</w:t>
      </w:r>
      <w:r w:rsidR="00186EC6" w:rsidRPr="00FE023B">
        <w:rPr>
          <w:rFonts w:asciiTheme="majorBidi" w:hAnsiTheme="majorBidi" w:cstheme="majorBidi"/>
          <w:sz w:val="26"/>
          <w:szCs w:val="26"/>
          <w:lang w:val="en-GB"/>
        </w:rPr>
        <w:t xml:space="preserve">. Hence, </w:t>
      </w:r>
      <w:r w:rsidRPr="00FE023B">
        <w:rPr>
          <w:rFonts w:asciiTheme="majorBidi" w:hAnsiTheme="majorBidi" w:cstheme="majorBidi"/>
          <w:sz w:val="26"/>
          <w:szCs w:val="26"/>
          <w:lang w:val="en-GB"/>
        </w:rPr>
        <w:t xml:space="preserve">the disparity remains large in the unemployment rate between the West Bank and Gaza Strip, </w:t>
      </w:r>
      <w:r w:rsidR="00186EC6" w:rsidRPr="00FE023B">
        <w:rPr>
          <w:rFonts w:asciiTheme="majorBidi" w:hAnsiTheme="majorBidi" w:cstheme="majorBidi"/>
          <w:sz w:val="26"/>
          <w:szCs w:val="26"/>
          <w:lang w:val="en-GB"/>
        </w:rPr>
        <w:t xml:space="preserve">as this </w:t>
      </w:r>
      <w:r w:rsidRPr="00FE023B">
        <w:rPr>
          <w:rFonts w:asciiTheme="majorBidi" w:hAnsiTheme="majorBidi" w:cstheme="majorBidi"/>
          <w:sz w:val="26"/>
          <w:szCs w:val="26"/>
          <w:lang w:val="en-GB"/>
        </w:rPr>
        <w:t>rate reach</w:t>
      </w:r>
      <w:r w:rsidR="007C084D" w:rsidRPr="00FE023B">
        <w:rPr>
          <w:rFonts w:asciiTheme="majorBidi" w:hAnsiTheme="majorBidi" w:cstheme="majorBidi"/>
          <w:sz w:val="26"/>
          <w:szCs w:val="26"/>
          <w:lang w:val="en-GB"/>
        </w:rPr>
        <w:t>ed</w:t>
      </w:r>
      <w:r w:rsidRPr="00FE023B">
        <w:rPr>
          <w:rFonts w:asciiTheme="majorBidi" w:hAnsiTheme="majorBidi" w:cstheme="majorBidi"/>
          <w:sz w:val="26"/>
          <w:szCs w:val="26"/>
          <w:lang w:val="en-GB"/>
        </w:rPr>
        <w:t xml:space="preserve"> 49% in Gaza Strip compared to 15% in the West Bank. As for the </w:t>
      </w:r>
      <w:r w:rsidR="00186EC6" w:rsidRPr="00FE023B">
        <w:rPr>
          <w:rFonts w:asciiTheme="majorBidi" w:hAnsiTheme="majorBidi" w:cstheme="majorBidi"/>
          <w:sz w:val="26"/>
          <w:szCs w:val="26"/>
          <w:lang w:val="en-GB"/>
        </w:rPr>
        <w:t xml:space="preserve">sex </w:t>
      </w:r>
      <w:r w:rsidRPr="00FE023B">
        <w:rPr>
          <w:rFonts w:asciiTheme="majorBidi" w:hAnsiTheme="majorBidi" w:cstheme="majorBidi"/>
          <w:sz w:val="26"/>
          <w:szCs w:val="26"/>
          <w:lang w:val="en-GB"/>
        </w:rPr>
        <w:t>level, the unemployment rate for males in Palestine reached 23% compared to 41% for females.</w:t>
      </w:r>
    </w:p>
    <w:p w:rsidR="001C0AB6" w:rsidRPr="00FE023B" w:rsidRDefault="001C0AB6" w:rsidP="001C0AB6">
      <w:pPr>
        <w:bidi w:val="0"/>
        <w:ind w:right="-1"/>
        <w:jc w:val="both"/>
        <w:rPr>
          <w:rFonts w:asciiTheme="majorBidi" w:hAnsiTheme="majorBidi" w:cstheme="majorBidi"/>
          <w:sz w:val="16"/>
          <w:szCs w:val="16"/>
          <w:rtl/>
          <w:lang w:val="en-GB"/>
        </w:rPr>
      </w:pPr>
    </w:p>
    <w:p w:rsidR="00AA3435" w:rsidRPr="00FE023B" w:rsidRDefault="001C0AB6" w:rsidP="00186EC6">
      <w:pPr>
        <w:bidi w:val="0"/>
        <w:ind w:right="-1"/>
        <w:jc w:val="both"/>
        <w:rPr>
          <w:rFonts w:asciiTheme="majorBidi" w:hAnsiTheme="majorBidi" w:cstheme="majorBidi"/>
          <w:sz w:val="26"/>
          <w:szCs w:val="26"/>
          <w:rtl/>
          <w:lang w:val="en-GB"/>
        </w:rPr>
      </w:pPr>
      <w:r w:rsidRPr="00FE023B">
        <w:rPr>
          <w:rFonts w:asciiTheme="majorBidi" w:hAnsiTheme="majorBidi" w:cstheme="majorBidi"/>
          <w:sz w:val="26"/>
          <w:szCs w:val="26"/>
          <w:lang w:val="en-GB"/>
        </w:rPr>
        <w:t xml:space="preserve"> </w:t>
      </w:r>
      <w:r w:rsidR="00186EC6" w:rsidRPr="00FE023B">
        <w:rPr>
          <w:rFonts w:asciiTheme="majorBidi" w:hAnsiTheme="majorBidi" w:cstheme="majorBidi"/>
          <w:sz w:val="26"/>
          <w:szCs w:val="26"/>
          <w:lang w:val="en-GB"/>
        </w:rPr>
        <w:t xml:space="preserve">Within the same </w:t>
      </w:r>
      <w:r w:rsidRPr="00FE023B">
        <w:rPr>
          <w:rFonts w:asciiTheme="majorBidi" w:hAnsiTheme="majorBidi" w:cstheme="majorBidi"/>
          <w:sz w:val="26"/>
          <w:szCs w:val="26"/>
          <w:lang w:val="en-GB"/>
        </w:rPr>
        <w:t xml:space="preserve">context, the total underutilisation reached 549,400 </w:t>
      </w:r>
      <w:r w:rsidR="00186EC6" w:rsidRPr="00FE023B">
        <w:rPr>
          <w:rFonts w:asciiTheme="majorBidi" w:hAnsiTheme="majorBidi" w:cstheme="majorBidi"/>
          <w:sz w:val="26"/>
          <w:szCs w:val="26"/>
          <w:lang w:val="en-GB"/>
        </w:rPr>
        <w:t>persons</w:t>
      </w:r>
      <w:r w:rsidRPr="00FE023B">
        <w:rPr>
          <w:rFonts w:asciiTheme="majorBidi" w:hAnsiTheme="majorBidi" w:cstheme="majorBidi"/>
          <w:sz w:val="26"/>
          <w:szCs w:val="26"/>
          <w:lang w:val="en-GB"/>
        </w:rPr>
        <w:t>, as this number includes 124,200 discouraged job seekers and 12,200 in time-related underemployment.</w:t>
      </w:r>
    </w:p>
    <w:p w:rsidR="00F96F8D" w:rsidRPr="00FE023B" w:rsidRDefault="00F96F8D" w:rsidP="00FE023B">
      <w:pPr>
        <w:pStyle w:val="xl74"/>
        <w:pBdr>
          <w:left w:val="none" w:sz="0" w:space="0" w:color="auto"/>
        </w:pBdr>
        <w:autoSpaceDE w:val="0"/>
        <w:autoSpaceDN w:val="0"/>
        <w:spacing w:before="0" w:beforeAutospacing="0" w:after="0" w:afterAutospacing="0"/>
        <w:ind w:right="-1"/>
        <w:jc w:val="left"/>
        <w:textAlignment w:val="auto"/>
        <w:rPr>
          <w:rFonts w:asciiTheme="majorBidi" w:hAnsiTheme="majorBidi" w:cstheme="majorBidi"/>
          <w:sz w:val="16"/>
          <w:szCs w:val="16"/>
        </w:rPr>
      </w:pPr>
    </w:p>
    <w:p w:rsidR="00FE023B" w:rsidRDefault="00E3564A" w:rsidP="00F96F8D">
      <w:pPr>
        <w:pStyle w:val="xl74"/>
        <w:pBdr>
          <w:left w:val="none" w:sz="0" w:space="0" w:color="auto"/>
        </w:pBdr>
        <w:autoSpaceDE w:val="0"/>
        <w:autoSpaceDN w:val="0"/>
        <w:spacing w:before="0" w:beforeAutospacing="0" w:after="0" w:afterAutospacing="0"/>
        <w:ind w:right="-1"/>
        <w:textAlignment w:val="auto"/>
        <w:rPr>
          <w:rFonts w:asciiTheme="majorBidi" w:hAnsiTheme="majorBidi" w:cstheme="majorBidi"/>
          <w:sz w:val="26"/>
          <w:szCs w:val="26"/>
        </w:rPr>
      </w:pPr>
      <w:r w:rsidRPr="00FE023B">
        <w:rPr>
          <w:rFonts w:asciiTheme="majorBidi" w:hAnsiTheme="majorBidi" w:cstheme="majorBidi"/>
          <w:sz w:val="26"/>
          <w:szCs w:val="26"/>
        </w:rPr>
        <w:t xml:space="preserve">Revised ILO Standards </w:t>
      </w:r>
      <w:r w:rsidR="008A3D5F" w:rsidRPr="00FE023B">
        <w:rPr>
          <w:rFonts w:asciiTheme="majorBidi" w:hAnsiTheme="majorBidi" w:cstheme="majorBidi"/>
          <w:sz w:val="26"/>
          <w:szCs w:val="26"/>
        </w:rPr>
        <w:t>(</w:t>
      </w:r>
      <w:r w:rsidRPr="00FE023B">
        <w:rPr>
          <w:rFonts w:asciiTheme="majorBidi" w:hAnsiTheme="majorBidi" w:cstheme="majorBidi"/>
          <w:sz w:val="26"/>
          <w:szCs w:val="26"/>
        </w:rPr>
        <w:t>ICLS 19</w:t>
      </w:r>
      <w:r w:rsidR="008A3D5F" w:rsidRPr="00FE023B">
        <w:rPr>
          <w:rFonts w:asciiTheme="majorBidi" w:hAnsiTheme="majorBidi" w:cstheme="majorBidi"/>
          <w:sz w:val="26"/>
          <w:szCs w:val="26"/>
          <w:vertAlign w:val="superscript"/>
        </w:rPr>
        <w:t>th</w:t>
      </w:r>
      <w:r w:rsidR="008A3D5F" w:rsidRPr="00FE023B">
        <w:rPr>
          <w:rFonts w:asciiTheme="majorBidi" w:hAnsiTheme="majorBidi" w:cstheme="majorBidi"/>
          <w:sz w:val="26"/>
          <w:szCs w:val="26"/>
        </w:rPr>
        <w:t>)</w:t>
      </w:r>
      <w:r w:rsidRPr="00FE023B">
        <w:rPr>
          <w:rFonts w:asciiTheme="majorBidi" w:hAnsiTheme="majorBidi" w:cstheme="majorBidi"/>
          <w:sz w:val="26"/>
          <w:szCs w:val="26"/>
        </w:rPr>
        <w:t xml:space="preserve"> </w:t>
      </w:r>
      <w:r w:rsidR="00AA3435" w:rsidRPr="00FE023B">
        <w:rPr>
          <w:rFonts w:asciiTheme="majorBidi" w:hAnsiTheme="majorBidi" w:cstheme="majorBidi"/>
          <w:sz w:val="26"/>
          <w:szCs w:val="26"/>
        </w:rPr>
        <w:t>Unemployment</w:t>
      </w:r>
    </w:p>
    <w:p w:rsidR="00AA3435" w:rsidRPr="00FE023B" w:rsidRDefault="00AA3435" w:rsidP="00FE023B">
      <w:pPr>
        <w:pStyle w:val="xl74"/>
        <w:pBdr>
          <w:left w:val="none" w:sz="0" w:space="0" w:color="auto"/>
        </w:pBdr>
        <w:autoSpaceDE w:val="0"/>
        <w:autoSpaceDN w:val="0"/>
        <w:spacing w:before="0" w:beforeAutospacing="0" w:after="0" w:afterAutospacing="0"/>
        <w:ind w:right="-1"/>
        <w:textAlignment w:val="auto"/>
        <w:rPr>
          <w:rFonts w:asciiTheme="majorBidi" w:hAnsiTheme="majorBidi" w:cstheme="majorBidi"/>
          <w:sz w:val="26"/>
          <w:szCs w:val="26"/>
        </w:rPr>
      </w:pPr>
      <w:r w:rsidRPr="00FE023B">
        <w:rPr>
          <w:rFonts w:asciiTheme="majorBidi" w:hAnsiTheme="majorBidi" w:cstheme="majorBidi"/>
          <w:sz w:val="26"/>
          <w:szCs w:val="26"/>
        </w:rPr>
        <w:t xml:space="preserve"> Rate</w:t>
      </w:r>
      <w:r w:rsidR="00E96DBB" w:rsidRPr="00FE023B">
        <w:rPr>
          <w:rStyle w:val="FootnoteReference"/>
          <w:rFonts w:asciiTheme="majorBidi" w:hAnsiTheme="majorBidi" w:cstheme="majorBidi"/>
          <w:sz w:val="26"/>
          <w:szCs w:val="26"/>
        </w:rPr>
        <w:footnoteReference w:id="1"/>
      </w:r>
      <w:r w:rsidRPr="00FE023B">
        <w:rPr>
          <w:rFonts w:asciiTheme="majorBidi" w:hAnsiTheme="majorBidi" w:cstheme="majorBidi"/>
          <w:sz w:val="26"/>
          <w:szCs w:val="26"/>
        </w:rPr>
        <w:t xml:space="preserve"> by</w:t>
      </w:r>
      <w:r w:rsidR="00FE023B">
        <w:rPr>
          <w:rFonts w:asciiTheme="majorBidi" w:hAnsiTheme="majorBidi" w:cstheme="majorBidi"/>
          <w:sz w:val="26"/>
          <w:szCs w:val="26"/>
        </w:rPr>
        <w:t xml:space="preserve"> </w:t>
      </w:r>
      <w:r w:rsidRPr="00FE023B">
        <w:rPr>
          <w:rFonts w:asciiTheme="majorBidi" w:hAnsiTheme="majorBidi" w:cstheme="majorBidi"/>
          <w:sz w:val="26"/>
          <w:szCs w:val="26"/>
        </w:rPr>
        <w:t xml:space="preserve">Region, </w:t>
      </w:r>
      <w:r w:rsidR="000944BA" w:rsidRPr="00FE023B">
        <w:rPr>
          <w:rFonts w:asciiTheme="majorBidi" w:hAnsiTheme="majorBidi" w:cstheme="majorBidi"/>
          <w:sz w:val="26"/>
          <w:szCs w:val="26"/>
        </w:rPr>
        <w:t>1</w:t>
      </w:r>
      <w:r w:rsidR="000944BA" w:rsidRPr="00FE023B">
        <w:rPr>
          <w:rFonts w:asciiTheme="majorBidi" w:hAnsiTheme="majorBidi" w:cstheme="majorBidi"/>
          <w:sz w:val="26"/>
          <w:szCs w:val="26"/>
          <w:vertAlign w:val="superscript"/>
        </w:rPr>
        <w:t>st</w:t>
      </w:r>
      <w:r w:rsidR="00C55B39" w:rsidRPr="00FE023B">
        <w:rPr>
          <w:rFonts w:asciiTheme="majorBidi" w:hAnsiTheme="majorBidi" w:cstheme="majorBidi"/>
          <w:sz w:val="26"/>
          <w:szCs w:val="26"/>
        </w:rPr>
        <w:t xml:space="preserve"> Quarter of 2018 </w:t>
      </w:r>
      <w:r w:rsidR="003101AD" w:rsidRPr="00FE023B">
        <w:rPr>
          <w:rFonts w:asciiTheme="majorBidi" w:hAnsiTheme="majorBidi" w:cstheme="majorBidi"/>
          <w:sz w:val="26"/>
          <w:szCs w:val="26"/>
        </w:rPr>
        <w:t>–</w:t>
      </w:r>
      <w:r w:rsidR="00C55B39" w:rsidRPr="00FE023B">
        <w:rPr>
          <w:rFonts w:asciiTheme="majorBidi" w:hAnsiTheme="majorBidi" w:cstheme="majorBidi"/>
          <w:sz w:val="26"/>
          <w:szCs w:val="26"/>
        </w:rPr>
        <w:t xml:space="preserve"> </w:t>
      </w:r>
      <w:r w:rsidR="00937149" w:rsidRPr="00FE023B">
        <w:rPr>
          <w:rFonts w:asciiTheme="majorBidi" w:hAnsiTheme="majorBidi" w:cstheme="majorBidi"/>
          <w:sz w:val="26"/>
          <w:szCs w:val="26"/>
        </w:rPr>
        <w:t>Q2</w:t>
      </w:r>
      <w:r w:rsidR="003101AD" w:rsidRPr="00FE023B">
        <w:rPr>
          <w:rFonts w:asciiTheme="majorBidi" w:hAnsiTheme="majorBidi" w:cstheme="majorBidi"/>
          <w:sz w:val="26"/>
          <w:szCs w:val="26"/>
        </w:rPr>
        <w:t>-</w:t>
      </w:r>
      <w:r w:rsidR="00061F53" w:rsidRPr="00FE023B">
        <w:rPr>
          <w:rFonts w:asciiTheme="majorBidi" w:hAnsiTheme="majorBidi" w:cstheme="majorBidi"/>
          <w:sz w:val="26"/>
          <w:szCs w:val="26"/>
        </w:rPr>
        <w:t>2020</w:t>
      </w:r>
    </w:p>
    <w:p w:rsidR="00BC47B0" w:rsidRPr="00FE023B" w:rsidRDefault="00BC47B0" w:rsidP="00105F27">
      <w:pPr>
        <w:pStyle w:val="xl74"/>
        <w:pBdr>
          <w:left w:val="none" w:sz="0" w:space="0" w:color="auto"/>
        </w:pBdr>
        <w:autoSpaceDE w:val="0"/>
        <w:autoSpaceDN w:val="0"/>
        <w:spacing w:before="0" w:beforeAutospacing="0" w:after="0" w:afterAutospacing="0"/>
        <w:ind w:right="-1"/>
        <w:textAlignment w:val="auto"/>
        <w:rPr>
          <w:rFonts w:asciiTheme="majorBidi" w:hAnsiTheme="majorBidi" w:cstheme="majorBidi"/>
          <w:b w:val="0"/>
          <w:bCs w:val="0"/>
          <w:sz w:val="16"/>
          <w:szCs w:val="16"/>
        </w:rPr>
      </w:pPr>
    </w:p>
    <w:p w:rsidR="00AA3435" w:rsidRPr="00FE023B" w:rsidRDefault="001B33FD" w:rsidP="00F96F8D">
      <w:pPr>
        <w:pStyle w:val="xl74"/>
        <w:pBdr>
          <w:left w:val="none" w:sz="0" w:space="0" w:color="auto"/>
        </w:pBdr>
        <w:autoSpaceDE w:val="0"/>
        <w:autoSpaceDN w:val="0"/>
        <w:spacing w:before="0" w:beforeAutospacing="0" w:after="0" w:afterAutospacing="0"/>
        <w:ind w:left="720" w:right="566"/>
        <w:textAlignment w:val="auto"/>
        <w:rPr>
          <w:rFonts w:asciiTheme="majorBidi" w:hAnsiTheme="majorBidi" w:cstheme="majorBidi"/>
          <w:b w:val="0"/>
          <w:bCs w:val="0"/>
          <w:sz w:val="26"/>
          <w:szCs w:val="26"/>
        </w:rPr>
      </w:pPr>
      <w:r w:rsidRPr="00FE023B">
        <w:rPr>
          <w:rFonts w:asciiTheme="majorBidi" w:hAnsiTheme="majorBidi" w:cstheme="majorBidi"/>
          <w:b w:val="0"/>
          <w:bCs w:val="0"/>
          <w:noProof/>
          <w:sz w:val="26"/>
          <w:szCs w:val="26"/>
          <w:bdr w:val="single" w:sz="4" w:space="0" w:color="auto"/>
          <w:lang w:eastAsia="en-US"/>
        </w:rPr>
        <w:drawing>
          <wp:inline distT="0" distB="0" distL="0" distR="0">
            <wp:extent cx="3638550" cy="27908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019B3" w:rsidRDefault="00C019B3" w:rsidP="00AA3435">
      <w:pPr>
        <w:bidi w:val="0"/>
        <w:ind w:right="-1"/>
        <w:jc w:val="both"/>
        <w:rPr>
          <w:rFonts w:asciiTheme="majorBidi" w:hAnsiTheme="majorBidi" w:cstheme="majorBidi"/>
          <w:sz w:val="26"/>
          <w:szCs w:val="26"/>
        </w:rPr>
      </w:pPr>
    </w:p>
    <w:p w:rsidR="00C019B3" w:rsidRPr="00C019B3" w:rsidRDefault="00C019B3" w:rsidP="00C019B3">
      <w:pPr>
        <w:bidi w:val="0"/>
        <w:rPr>
          <w:rFonts w:asciiTheme="majorBidi" w:hAnsiTheme="majorBidi" w:cstheme="majorBidi"/>
          <w:sz w:val="26"/>
          <w:szCs w:val="26"/>
        </w:rPr>
      </w:pPr>
    </w:p>
    <w:p w:rsidR="00C019B3" w:rsidRPr="00C019B3" w:rsidRDefault="00C019B3" w:rsidP="00C019B3">
      <w:pPr>
        <w:bidi w:val="0"/>
        <w:rPr>
          <w:rFonts w:asciiTheme="majorBidi" w:hAnsiTheme="majorBidi" w:cstheme="majorBidi"/>
          <w:sz w:val="26"/>
          <w:szCs w:val="26"/>
        </w:rPr>
      </w:pPr>
    </w:p>
    <w:p w:rsidR="00C019B3" w:rsidRPr="00C019B3" w:rsidRDefault="00C019B3" w:rsidP="00C019B3">
      <w:pPr>
        <w:bidi w:val="0"/>
        <w:rPr>
          <w:rFonts w:asciiTheme="majorBidi" w:hAnsiTheme="majorBidi" w:cstheme="majorBidi"/>
          <w:sz w:val="26"/>
          <w:szCs w:val="26"/>
        </w:rPr>
      </w:pPr>
    </w:p>
    <w:p w:rsidR="00C019B3" w:rsidRPr="00C019B3" w:rsidRDefault="00C019B3" w:rsidP="00C019B3">
      <w:pPr>
        <w:bidi w:val="0"/>
        <w:rPr>
          <w:rFonts w:asciiTheme="majorBidi" w:hAnsiTheme="majorBidi" w:cstheme="majorBidi"/>
          <w:sz w:val="26"/>
          <w:szCs w:val="26"/>
        </w:rPr>
      </w:pPr>
    </w:p>
    <w:p w:rsidR="00C019B3" w:rsidRPr="00C019B3" w:rsidRDefault="00C019B3" w:rsidP="00C019B3">
      <w:pPr>
        <w:bidi w:val="0"/>
        <w:rPr>
          <w:rFonts w:asciiTheme="majorBidi" w:hAnsiTheme="majorBidi" w:cstheme="majorBidi"/>
          <w:sz w:val="26"/>
          <w:szCs w:val="26"/>
        </w:rPr>
      </w:pPr>
    </w:p>
    <w:p w:rsidR="00C019B3" w:rsidRPr="00C019B3" w:rsidRDefault="00C019B3" w:rsidP="00C019B3">
      <w:pPr>
        <w:bidi w:val="0"/>
        <w:rPr>
          <w:rFonts w:asciiTheme="majorBidi" w:hAnsiTheme="majorBidi" w:cstheme="majorBidi"/>
          <w:sz w:val="26"/>
          <w:szCs w:val="26"/>
        </w:rPr>
      </w:pPr>
    </w:p>
    <w:p w:rsidR="00C019B3" w:rsidRPr="00C019B3" w:rsidRDefault="00C019B3" w:rsidP="00C019B3">
      <w:pPr>
        <w:bidi w:val="0"/>
        <w:rPr>
          <w:rFonts w:asciiTheme="majorBidi" w:hAnsiTheme="majorBidi" w:cstheme="majorBidi"/>
          <w:sz w:val="26"/>
          <w:szCs w:val="26"/>
        </w:rPr>
      </w:pPr>
    </w:p>
    <w:p w:rsidR="00C019B3" w:rsidRPr="00C019B3" w:rsidRDefault="00C019B3" w:rsidP="00C019B3">
      <w:pPr>
        <w:bidi w:val="0"/>
        <w:rPr>
          <w:rFonts w:asciiTheme="majorBidi" w:hAnsiTheme="majorBidi" w:cstheme="majorBidi"/>
          <w:sz w:val="26"/>
          <w:szCs w:val="26"/>
        </w:rPr>
      </w:pPr>
    </w:p>
    <w:p w:rsidR="00C019B3" w:rsidRDefault="00C019B3" w:rsidP="00C019B3">
      <w:pPr>
        <w:bidi w:val="0"/>
        <w:rPr>
          <w:rFonts w:asciiTheme="majorBidi" w:hAnsiTheme="majorBidi" w:cstheme="majorBidi"/>
          <w:sz w:val="26"/>
          <w:szCs w:val="26"/>
        </w:rPr>
      </w:pPr>
    </w:p>
    <w:p w:rsidR="00C019B3" w:rsidRPr="00C019B3" w:rsidRDefault="00C019B3" w:rsidP="00C019B3">
      <w:pPr>
        <w:pStyle w:val="FootnoteText"/>
        <w:bidi w:val="0"/>
        <w:rPr>
          <w:b/>
          <w:bCs/>
          <w:sz w:val="18"/>
          <w:szCs w:val="18"/>
        </w:rPr>
      </w:pPr>
      <w:r w:rsidRPr="00C019B3">
        <w:rPr>
          <w:rFonts w:asciiTheme="majorBidi" w:hAnsiTheme="majorBidi" w:cstheme="majorBidi"/>
          <w:b/>
          <w:bCs/>
          <w:sz w:val="26"/>
          <w:szCs w:val="26"/>
        </w:rPr>
        <w:tab/>
      </w:r>
      <w:r w:rsidRPr="00C019B3">
        <w:rPr>
          <w:rStyle w:val="FootnoteReference"/>
          <w:b/>
          <w:bCs/>
          <w:sz w:val="18"/>
          <w:szCs w:val="18"/>
        </w:rPr>
        <w:footnoteRef/>
      </w:r>
      <w:r w:rsidRPr="00C019B3">
        <w:rPr>
          <w:b/>
          <w:bCs/>
          <w:sz w:val="18"/>
          <w:szCs w:val="18"/>
          <w:rtl/>
        </w:rPr>
        <w:t xml:space="preserve"> </w:t>
      </w:r>
      <w:r w:rsidRPr="00C019B3">
        <w:rPr>
          <w:b/>
          <w:bCs/>
          <w:sz w:val="18"/>
          <w:szCs w:val="18"/>
        </w:rPr>
        <w:t>Return back to the notice for users</w:t>
      </w:r>
    </w:p>
    <w:p w:rsidR="00551305" w:rsidRPr="00C019B3" w:rsidRDefault="00551305" w:rsidP="00C019B3">
      <w:pPr>
        <w:tabs>
          <w:tab w:val="left" w:pos="900"/>
        </w:tabs>
        <w:bidi w:val="0"/>
        <w:rPr>
          <w:rFonts w:asciiTheme="majorBidi" w:hAnsiTheme="majorBidi" w:cstheme="majorBidi"/>
          <w:sz w:val="26"/>
          <w:szCs w:val="26"/>
          <w:u w:val="single"/>
        </w:rPr>
      </w:pPr>
    </w:p>
    <w:sectPr w:rsidR="00551305" w:rsidRPr="00C019B3" w:rsidSect="00FE023B">
      <w:headerReference w:type="default" r:id="rId9"/>
      <w:footerReference w:type="even" r:id="rId10"/>
      <w:footerReference w:type="default" r:id="rId11"/>
      <w:pgSz w:w="11906" w:h="16838"/>
      <w:pgMar w:top="1138" w:right="1138" w:bottom="1138" w:left="1138" w:header="706" w:footer="403" w:gutter="0"/>
      <w:pgNumType w:start="1"/>
      <w:cols w:space="282"/>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BA3" w:rsidRDefault="00C46BA3" w:rsidP="004A4144">
      <w:r>
        <w:separator/>
      </w:r>
    </w:p>
  </w:endnote>
  <w:endnote w:type="continuationSeparator" w:id="0">
    <w:p w:rsidR="00C46BA3" w:rsidRDefault="00C46BA3" w:rsidP="004A41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02" w:rsidRDefault="005C5202" w:rsidP="00CF7882">
    <w:pPr>
      <w:pStyle w:val="Footer"/>
      <w:jc w:val="center"/>
      <w:rPr>
        <w:rtl/>
      </w:rPr>
    </w:pPr>
    <w:r>
      <w:t>]</w:t>
    </w:r>
    <w:r w:rsidR="00E54FB2">
      <w:fldChar w:fldCharType="begin"/>
    </w:r>
    <w:r w:rsidR="0012780A">
      <w:instrText xml:space="preserve"> PAGE   \* MERGEFORMAT </w:instrText>
    </w:r>
    <w:r w:rsidR="00E54FB2">
      <w:fldChar w:fldCharType="separate"/>
    </w:r>
    <w:r w:rsidR="00C019B3">
      <w:rPr>
        <w:noProof/>
        <w:rtl/>
      </w:rPr>
      <w:t>2</w:t>
    </w:r>
    <w:r w:rsidR="00E54FB2">
      <w:rPr>
        <w:noProof/>
      </w:rPr>
      <w:fldChar w:fldCharType="end"/>
    </w:r>
    <w:r>
      <w:t>[</w:t>
    </w:r>
  </w:p>
  <w:p w:rsidR="005C5202" w:rsidRDefault="005C5202" w:rsidP="00CF7882">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20517407"/>
      <w:docPartObj>
        <w:docPartGallery w:val="Page Numbers (Bottom of Page)"/>
        <w:docPartUnique/>
      </w:docPartObj>
    </w:sdtPr>
    <w:sdtContent>
      <w:p w:rsidR="00FE023B" w:rsidRDefault="00E54FB2">
        <w:pPr>
          <w:pStyle w:val="Footer"/>
          <w:jc w:val="center"/>
        </w:pPr>
        <w:fldSimple w:instr=" PAGE   \* MERGEFORMAT ">
          <w:r w:rsidR="00C019B3">
            <w:rPr>
              <w:noProof/>
              <w:rtl/>
            </w:rPr>
            <w:t>1</w:t>
          </w:r>
        </w:fldSimple>
      </w:p>
    </w:sdtContent>
  </w:sdt>
  <w:p w:rsidR="005C5202" w:rsidRDefault="005C5202" w:rsidP="00646389">
    <w:pPr>
      <w:pStyle w:val="Footer"/>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BA3" w:rsidRDefault="00C46BA3" w:rsidP="004A4144">
      <w:r>
        <w:separator/>
      </w:r>
    </w:p>
  </w:footnote>
  <w:footnote w:type="continuationSeparator" w:id="0">
    <w:p w:rsidR="00C46BA3" w:rsidRDefault="00C46BA3" w:rsidP="004A4144">
      <w:r>
        <w:continuationSeparator/>
      </w:r>
    </w:p>
  </w:footnote>
  <w:footnote w:id="1">
    <w:p w:rsidR="00E96DBB" w:rsidRPr="00C019B3" w:rsidRDefault="00E96DBB" w:rsidP="00C019B3">
      <w:pPr>
        <w:pStyle w:val="FootnoteText"/>
        <w:rPr>
          <w:rFonts w:hint="cs"/>
          <w:szCs w:val="18"/>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02" w:rsidRDefault="005C5202" w:rsidP="00124D82">
    <w:pPr>
      <w:pStyle w:val="Header"/>
      <w:jc w:val="right"/>
      <w:rPr>
        <w:rFonts w:cs="Simplified Arabic"/>
        <w:sz w:val="20"/>
        <w:szCs w:val="20"/>
        <w:rtl/>
      </w:rPr>
    </w:pPr>
  </w:p>
  <w:p w:rsidR="005C5202" w:rsidRPr="00C55B39" w:rsidRDefault="005C5202" w:rsidP="00311D20">
    <w:pPr>
      <w:bidi w:val="0"/>
      <w:ind w:right="-30"/>
      <w:jc w:val="center"/>
      <w:rPr>
        <w:b/>
        <w:bCs/>
        <w:sz w:val="10"/>
        <w:szCs w:val="10"/>
      </w:rPr>
    </w:pPr>
  </w:p>
  <w:p w:rsidR="005C5202" w:rsidRPr="00425478" w:rsidRDefault="005C5202" w:rsidP="00124D82">
    <w:pPr>
      <w:jc w:val="cente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21F1B"/>
    <w:multiLevelType w:val="hybridMultilevel"/>
    <w:tmpl w:val="B26A09D6"/>
    <w:lvl w:ilvl="0" w:tplc="E4CE7266">
      <w:start w:val="1"/>
      <w:numFmt w:val="bullet"/>
      <w:lvlText w:val=""/>
      <w:lvlJc w:val="left"/>
      <w:pPr>
        <w:tabs>
          <w:tab w:val="num" w:pos="720"/>
        </w:tabs>
        <w:ind w:left="720" w:hanging="360"/>
      </w:pPr>
      <w:rPr>
        <w:rFonts w:ascii="Wingdings" w:hAnsi="Wingdings"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7AAE468A"/>
    <w:multiLevelType w:val="hybridMultilevel"/>
    <w:tmpl w:val="C2B4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evenAndOddHeaders/>
  <w:drawingGridHorizontalSpacing w:val="12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4A4144"/>
    <w:rsid w:val="00000E90"/>
    <w:rsid w:val="00001884"/>
    <w:rsid w:val="00002056"/>
    <w:rsid w:val="000022AA"/>
    <w:rsid w:val="0000253E"/>
    <w:rsid w:val="00004B57"/>
    <w:rsid w:val="00007C4B"/>
    <w:rsid w:val="00013DC1"/>
    <w:rsid w:val="00016C9F"/>
    <w:rsid w:val="00017709"/>
    <w:rsid w:val="00023654"/>
    <w:rsid w:val="000236D6"/>
    <w:rsid w:val="00023EBF"/>
    <w:rsid w:val="0002546E"/>
    <w:rsid w:val="00027290"/>
    <w:rsid w:val="000279EA"/>
    <w:rsid w:val="00030489"/>
    <w:rsid w:val="0003065A"/>
    <w:rsid w:val="000312FA"/>
    <w:rsid w:val="00033848"/>
    <w:rsid w:val="00033C24"/>
    <w:rsid w:val="000346C6"/>
    <w:rsid w:val="00036A99"/>
    <w:rsid w:val="000400DB"/>
    <w:rsid w:val="000402E9"/>
    <w:rsid w:val="000452A4"/>
    <w:rsid w:val="00045ECF"/>
    <w:rsid w:val="00046CD0"/>
    <w:rsid w:val="0005016D"/>
    <w:rsid w:val="000551C7"/>
    <w:rsid w:val="0005630B"/>
    <w:rsid w:val="00056A77"/>
    <w:rsid w:val="00061F53"/>
    <w:rsid w:val="00062292"/>
    <w:rsid w:val="00063154"/>
    <w:rsid w:val="00063455"/>
    <w:rsid w:val="0006417A"/>
    <w:rsid w:val="00065794"/>
    <w:rsid w:val="00072351"/>
    <w:rsid w:val="0007446D"/>
    <w:rsid w:val="00075A4B"/>
    <w:rsid w:val="0007766D"/>
    <w:rsid w:val="0007778F"/>
    <w:rsid w:val="00081227"/>
    <w:rsid w:val="000818BE"/>
    <w:rsid w:val="00084918"/>
    <w:rsid w:val="0008530B"/>
    <w:rsid w:val="00087B7F"/>
    <w:rsid w:val="00087D64"/>
    <w:rsid w:val="00091A30"/>
    <w:rsid w:val="00093CA0"/>
    <w:rsid w:val="000944BA"/>
    <w:rsid w:val="00094B37"/>
    <w:rsid w:val="00097F46"/>
    <w:rsid w:val="000A1F38"/>
    <w:rsid w:val="000A2ED6"/>
    <w:rsid w:val="000A30F6"/>
    <w:rsid w:val="000A6162"/>
    <w:rsid w:val="000A6830"/>
    <w:rsid w:val="000B302E"/>
    <w:rsid w:val="000B4511"/>
    <w:rsid w:val="000B4F29"/>
    <w:rsid w:val="000B621F"/>
    <w:rsid w:val="000B691D"/>
    <w:rsid w:val="000C1932"/>
    <w:rsid w:val="000C3276"/>
    <w:rsid w:val="000C34F3"/>
    <w:rsid w:val="000C7FBC"/>
    <w:rsid w:val="000D595D"/>
    <w:rsid w:val="000D6B0E"/>
    <w:rsid w:val="000D720A"/>
    <w:rsid w:val="000E01F8"/>
    <w:rsid w:val="000E0253"/>
    <w:rsid w:val="000E5260"/>
    <w:rsid w:val="000E70E3"/>
    <w:rsid w:val="000F0CA7"/>
    <w:rsid w:val="000F122A"/>
    <w:rsid w:val="000F1DAF"/>
    <w:rsid w:val="000F2DA8"/>
    <w:rsid w:val="000F2DAC"/>
    <w:rsid w:val="000F3213"/>
    <w:rsid w:val="000F7573"/>
    <w:rsid w:val="0010196C"/>
    <w:rsid w:val="001019BB"/>
    <w:rsid w:val="00102F9D"/>
    <w:rsid w:val="00105F27"/>
    <w:rsid w:val="00106597"/>
    <w:rsid w:val="001066D0"/>
    <w:rsid w:val="001073A5"/>
    <w:rsid w:val="00112478"/>
    <w:rsid w:val="001129CE"/>
    <w:rsid w:val="00112B72"/>
    <w:rsid w:val="00112C19"/>
    <w:rsid w:val="00115F3F"/>
    <w:rsid w:val="00120144"/>
    <w:rsid w:val="0012057E"/>
    <w:rsid w:val="00124D82"/>
    <w:rsid w:val="00125E19"/>
    <w:rsid w:val="00126F97"/>
    <w:rsid w:val="0012780A"/>
    <w:rsid w:val="0013540D"/>
    <w:rsid w:val="00137895"/>
    <w:rsid w:val="0014054C"/>
    <w:rsid w:val="00140B11"/>
    <w:rsid w:val="00140F41"/>
    <w:rsid w:val="00142D8A"/>
    <w:rsid w:val="001438E3"/>
    <w:rsid w:val="0014445F"/>
    <w:rsid w:val="001451E6"/>
    <w:rsid w:val="001500EB"/>
    <w:rsid w:val="00151A71"/>
    <w:rsid w:val="001544A0"/>
    <w:rsid w:val="0015468E"/>
    <w:rsid w:val="0015470B"/>
    <w:rsid w:val="00160D22"/>
    <w:rsid w:val="001610AE"/>
    <w:rsid w:val="0016228B"/>
    <w:rsid w:val="001624BD"/>
    <w:rsid w:val="00170D97"/>
    <w:rsid w:val="00171350"/>
    <w:rsid w:val="00172134"/>
    <w:rsid w:val="00172475"/>
    <w:rsid w:val="001743A8"/>
    <w:rsid w:val="00175AAA"/>
    <w:rsid w:val="001765CD"/>
    <w:rsid w:val="00176969"/>
    <w:rsid w:val="00177065"/>
    <w:rsid w:val="0018001A"/>
    <w:rsid w:val="00180A6F"/>
    <w:rsid w:val="00183374"/>
    <w:rsid w:val="001850A2"/>
    <w:rsid w:val="00186D25"/>
    <w:rsid w:val="00186EC6"/>
    <w:rsid w:val="001872DF"/>
    <w:rsid w:val="00192C84"/>
    <w:rsid w:val="00193FAB"/>
    <w:rsid w:val="001941B3"/>
    <w:rsid w:val="0019444D"/>
    <w:rsid w:val="00194B3A"/>
    <w:rsid w:val="00195A8E"/>
    <w:rsid w:val="00196676"/>
    <w:rsid w:val="001968C3"/>
    <w:rsid w:val="001A1506"/>
    <w:rsid w:val="001A242A"/>
    <w:rsid w:val="001A37AE"/>
    <w:rsid w:val="001A3B8F"/>
    <w:rsid w:val="001B06A2"/>
    <w:rsid w:val="001B1126"/>
    <w:rsid w:val="001B1DB0"/>
    <w:rsid w:val="001B33FD"/>
    <w:rsid w:val="001B3FA6"/>
    <w:rsid w:val="001B6343"/>
    <w:rsid w:val="001B691A"/>
    <w:rsid w:val="001B6A97"/>
    <w:rsid w:val="001B74D7"/>
    <w:rsid w:val="001C0015"/>
    <w:rsid w:val="001C0AB6"/>
    <w:rsid w:val="001C1C71"/>
    <w:rsid w:val="001C3BBB"/>
    <w:rsid w:val="001C4601"/>
    <w:rsid w:val="001C6908"/>
    <w:rsid w:val="001D3419"/>
    <w:rsid w:val="001D34BF"/>
    <w:rsid w:val="001D40C6"/>
    <w:rsid w:val="001D4D03"/>
    <w:rsid w:val="001D4DE6"/>
    <w:rsid w:val="001E0407"/>
    <w:rsid w:val="001E284C"/>
    <w:rsid w:val="001E3110"/>
    <w:rsid w:val="001E59DE"/>
    <w:rsid w:val="001E7573"/>
    <w:rsid w:val="001F680E"/>
    <w:rsid w:val="001F7D08"/>
    <w:rsid w:val="00203501"/>
    <w:rsid w:val="00203772"/>
    <w:rsid w:val="002041DE"/>
    <w:rsid w:val="00215E32"/>
    <w:rsid w:val="00220082"/>
    <w:rsid w:val="00222735"/>
    <w:rsid w:val="0022305A"/>
    <w:rsid w:val="00224BDE"/>
    <w:rsid w:val="00226322"/>
    <w:rsid w:val="0022688E"/>
    <w:rsid w:val="0023159B"/>
    <w:rsid w:val="0023720A"/>
    <w:rsid w:val="00241CE9"/>
    <w:rsid w:val="002444B0"/>
    <w:rsid w:val="0024707E"/>
    <w:rsid w:val="00247BC9"/>
    <w:rsid w:val="002544C3"/>
    <w:rsid w:val="00264DAF"/>
    <w:rsid w:val="00264E7C"/>
    <w:rsid w:val="00267C77"/>
    <w:rsid w:val="0027061F"/>
    <w:rsid w:val="00271108"/>
    <w:rsid w:val="002718B8"/>
    <w:rsid w:val="00272A85"/>
    <w:rsid w:val="00273A4A"/>
    <w:rsid w:val="002747C2"/>
    <w:rsid w:val="00274AAD"/>
    <w:rsid w:val="00274E7C"/>
    <w:rsid w:val="00276965"/>
    <w:rsid w:val="00277394"/>
    <w:rsid w:val="00277BC7"/>
    <w:rsid w:val="002808DF"/>
    <w:rsid w:val="00283251"/>
    <w:rsid w:val="00283616"/>
    <w:rsid w:val="0028383D"/>
    <w:rsid w:val="002851FB"/>
    <w:rsid w:val="00285883"/>
    <w:rsid w:val="00285CFF"/>
    <w:rsid w:val="00287504"/>
    <w:rsid w:val="00290550"/>
    <w:rsid w:val="00294094"/>
    <w:rsid w:val="00295909"/>
    <w:rsid w:val="00297401"/>
    <w:rsid w:val="002A48B9"/>
    <w:rsid w:val="002A4DDF"/>
    <w:rsid w:val="002A5387"/>
    <w:rsid w:val="002A57D0"/>
    <w:rsid w:val="002A70ED"/>
    <w:rsid w:val="002A74C1"/>
    <w:rsid w:val="002A7A15"/>
    <w:rsid w:val="002B1BBE"/>
    <w:rsid w:val="002B1E46"/>
    <w:rsid w:val="002B3129"/>
    <w:rsid w:val="002B3ADD"/>
    <w:rsid w:val="002B54E9"/>
    <w:rsid w:val="002B66B6"/>
    <w:rsid w:val="002C1250"/>
    <w:rsid w:val="002C22FF"/>
    <w:rsid w:val="002C2D10"/>
    <w:rsid w:val="002C3AED"/>
    <w:rsid w:val="002C3FED"/>
    <w:rsid w:val="002C469D"/>
    <w:rsid w:val="002C5E1A"/>
    <w:rsid w:val="002C77E7"/>
    <w:rsid w:val="002C7A89"/>
    <w:rsid w:val="002D17B7"/>
    <w:rsid w:val="002D1F20"/>
    <w:rsid w:val="002D2419"/>
    <w:rsid w:val="002D79F5"/>
    <w:rsid w:val="002E2CCC"/>
    <w:rsid w:val="002E2EAC"/>
    <w:rsid w:val="002E4C0C"/>
    <w:rsid w:val="002E4C2F"/>
    <w:rsid w:val="002E54C0"/>
    <w:rsid w:val="002E5E64"/>
    <w:rsid w:val="002E7329"/>
    <w:rsid w:val="002E787C"/>
    <w:rsid w:val="002F328F"/>
    <w:rsid w:val="00300D41"/>
    <w:rsid w:val="00300F4A"/>
    <w:rsid w:val="00303AFE"/>
    <w:rsid w:val="0030642E"/>
    <w:rsid w:val="00306669"/>
    <w:rsid w:val="003071FF"/>
    <w:rsid w:val="00307C86"/>
    <w:rsid w:val="003101AD"/>
    <w:rsid w:val="0031032F"/>
    <w:rsid w:val="003103B0"/>
    <w:rsid w:val="0031169C"/>
    <w:rsid w:val="003117D9"/>
    <w:rsid w:val="00311D20"/>
    <w:rsid w:val="00312A21"/>
    <w:rsid w:val="003229F9"/>
    <w:rsid w:val="00322B76"/>
    <w:rsid w:val="00322DFE"/>
    <w:rsid w:val="00323BE2"/>
    <w:rsid w:val="0032434B"/>
    <w:rsid w:val="00324B10"/>
    <w:rsid w:val="00326C7F"/>
    <w:rsid w:val="00333B75"/>
    <w:rsid w:val="00334D47"/>
    <w:rsid w:val="00337809"/>
    <w:rsid w:val="00337E1F"/>
    <w:rsid w:val="00342086"/>
    <w:rsid w:val="00343C40"/>
    <w:rsid w:val="00346995"/>
    <w:rsid w:val="00347C81"/>
    <w:rsid w:val="003541FE"/>
    <w:rsid w:val="0035671A"/>
    <w:rsid w:val="00357807"/>
    <w:rsid w:val="003618B2"/>
    <w:rsid w:val="0036385B"/>
    <w:rsid w:val="0037052D"/>
    <w:rsid w:val="00370A97"/>
    <w:rsid w:val="00373724"/>
    <w:rsid w:val="00380F7F"/>
    <w:rsid w:val="0038146D"/>
    <w:rsid w:val="00384DFA"/>
    <w:rsid w:val="00385E71"/>
    <w:rsid w:val="003870C5"/>
    <w:rsid w:val="00394D45"/>
    <w:rsid w:val="003A1420"/>
    <w:rsid w:val="003B133C"/>
    <w:rsid w:val="003B2A9D"/>
    <w:rsid w:val="003B74AF"/>
    <w:rsid w:val="003C4630"/>
    <w:rsid w:val="003C4B15"/>
    <w:rsid w:val="003C6CF0"/>
    <w:rsid w:val="003D1AE7"/>
    <w:rsid w:val="003D450D"/>
    <w:rsid w:val="003D6D35"/>
    <w:rsid w:val="003E0F51"/>
    <w:rsid w:val="003E0F5E"/>
    <w:rsid w:val="003E3128"/>
    <w:rsid w:val="003E3FC6"/>
    <w:rsid w:val="003E401C"/>
    <w:rsid w:val="003E58AC"/>
    <w:rsid w:val="003F364A"/>
    <w:rsid w:val="003F5AC8"/>
    <w:rsid w:val="003F5B4B"/>
    <w:rsid w:val="003F6566"/>
    <w:rsid w:val="003F7492"/>
    <w:rsid w:val="003F7718"/>
    <w:rsid w:val="003F799B"/>
    <w:rsid w:val="00400A29"/>
    <w:rsid w:val="00401850"/>
    <w:rsid w:val="00401DAC"/>
    <w:rsid w:val="00404E66"/>
    <w:rsid w:val="00406A07"/>
    <w:rsid w:val="00407304"/>
    <w:rsid w:val="004076E8"/>
    <w:rsid w:val="00407D8C"/>
    <w:rsid w:val="004101F8"/>
    <w:rsid w:val="004109C7"/>
    <w:rsid w:val="004112FE"/>
    <w:rsid w:val="00411D88"/>
    <w:rsid w:val="004120E4"/>
    <w:rsid w:val="004125E6"/>
    <w:rsid w:val="00413431"/>
    <w:rsid w:val="00415357"/>
    <w:rsid w:val="00415488"/>
    <w:rsid w:val="00417BB5"/>
    <w:rsid w:val="004201D4"/>
    <w:rsid w:val="00421430"/>
    <w:rsid w:val="00421A30"/>
    <w:rsid w:val="00421E45"/>
    <w:rsid w:val="00422F1B"/>
    <w:rsid w:val="00422FB4"/>
    <w:rsid w:val="00425478"/>
    <w:rsid w:val="004262E9"/>
    <w:rsid w:val="0042799A"/>
    <w:rsid w:val="0043060B"/>
    <w:rsid w:val="004306A8"/>
    <w:rsid w:val="00431BA4"/>
    <w:rsid w:val="004337AE"/>
    <w:rsid w:val="00436DF5"/>
    <w:rsid w:val="0044466A"/>
    <w:rsid w:val="0044490F"/>
    <w:rsid w:val="00444E44"/>
    <w:rsid w:val="00445A4E"/>
    <w:rsid w:val="00452A1C"/>
    <w:rsid w:val="00454DFD"/>
    <w:rsid w:val="0045557E"/>
    <w:rsid w:val="00460E61"/>
    <w:rsid w:val="004648C0"/>
    <w:rsid w:val="00465F4A"/>
    <w:rsid w:val="004668D3"/>
    <w:rsid w:val="00467B89"/>
    <w:rsid w:val="00467C0C"/>
    <w:rsid w:val="004713B9"/>
    <w:rsid w:val="00472016"/>
    <w:rsid w:val="0047233D"/>
    <w:rsid w:val="00472A09"/>
    <w:rsid w:val="00474B82"/>
    <w:rsid w:val="00474FA0"/>
    <w:rsid w:val="004756E4"/>
    <w:rsid w:val="00477019"/>
    <w:rsid w:val="00477904"/>
    <w:rsid w:val="00477B93"/>
    <w:rsid w:val="00482C3F"/>
    <w:rsid w:val="00483032"/>
    <w:rsid w:val="0048366F"/>
    <w:rsid w:val="00484549"/>
    <w:rsid w:val="00484597"/>
    <w:rsid w:val="00484E2C"/>
    <w:rsid w:val="00486147"/>
    <w:rsid w:val="00486ED3"/>
    <w:rsid w:val="00487B0A"/>
    <w:rsid w:val="00490035"/>
    <w:rsid w:val="004900B7"/>
    <w:rsid w:val="00493DBB"/>
    <w:rsid w:val="00496836"/>
    <w:rsid w:val="00497ADF"/>
    <w:rsid w:val="004A060C"/>
    <w:rsid w:val="004A0769"/>
    <w:rsid w:val="004A0DFA"/>
    <w:rsid w:val="004A4144"/>
    <w:rsid w:val="004A4882"/>
    <w:rsid w:val="004B1D3B"/>
    <w:rsid w:val="004B20D8"/>
    <w:rsid w:val="004B4168"/>
    <w:rsid w:val="004C0802"/>
    <w:rsid w:val="004C2B57"/>
    <w:rsid w:val="004C46BE"/>
    <w:rsid w:val="004C49FF"/>
    <w:rsid w:val="004C4D1D"/>
    <w:rsid w:val="004C7EE0"/>
    <w:rsid w:val="004D0E3E"/>
    <w:rsid w:val="004D1590"/>
    <w:rsid w:val="004D1ED0"/>
    <w:rsid w:val="004D28FA"/>
    <w:rsid w:val="004D513E"/>
    <w:rsid w:val="004D51E0"/>
    <w:rsid w:val="004D7AB8"/>
    <w:rsid w:val="004E1C78"/>
    <w:rsid w:val="004E2297"/>
    <w:rsid w:val="004E39F3"/>
    <w:rsid w:val="004E46F5"/>
    <w:rsid w:val="004E57CB"/>
    <w:rsid w:val="004E6171"/>
    <w:rsid w:val="004E6944"/>
    <w:rsid w:val="004F02FB"/>
    <w:rsid w:val="004F1785"/>
    <w:rsid w:val="004F23CA"/>
    <w:rsid w:val="004F3E2E"/>
    <w:rsid w:val="004F47D1"/>
    <w:rsid w:val="004F494A"/>
    <w:rsid w:val="004F5E44"/>
    <w:rsid w:val="004F653C"/>
    <w:rsid w:val="004F6ABB"/>
    <w:rsid w:val="004F741B"/>
    <w:rsid w:val="00500A92"/>
    <w:rsid w:val="00502906"/>
    <w:rsid w:val="0050386E"/>
    <w:rsid w:val="0050468D"/>
    <w:rsid w:val="00506764"/>
    <w:rsid w:val="00511BF8"/>
    <w:rsid w:val="005139E9"/>
    <w:rsid w:val="005207F7"/>
    <w:rsid w:val="00521339"/>
    <w:rsid w:val="00522341"/>
    <w:rsid w:val="005229E1"/>
    <w:rsid w:val="00524C28"/>
    <w:rsid w:val="00524F7C"/>
    <w:rsid w:val="0052617E"/>
    <w:rsid w:val="00526470"/>
    <w:rsid w:val="00526D6B"/>
    <w:rsid w:val="00527454"/>
    <w:rsid w:val="00531C06"/>
    <w:rsid w:val="00531E67"/>
    <w:rsid w:val="005357FC"/>
    <w:rsid w:val="00535FC5"/>
    <w:rsid w:val="0053637A"/>
    <w:rsid w:val="005369E6"/>
    <w:rsid w:val="00537617"/>
    <w:rsid w:val="005409BF"/>
    <w:rsid w:val="005435FA"/>
    <w:rsid w:val="005440DD"/>
    <w:rsid w:val="00545426"/>
    <w:rsid w:val="00551305"/>
    <w:rsid w:val="00552E8C"/>
    <w:rsid w:val="0055525B"/>
    <w:rsid w:val="005559C2"/>
    <w:rsid w:val="00556DD8"/>
    <w:rsid w:val="00560B22"/>
    <w:rsid w:val="00560C3B"/>
    <w:rsid w:val="00561068"/>
    <w:rsid w:val="00562EE2"/>
    <w:rsid w:val="00563D31"/>
    <w:rsid w:val="0057567C"/>
    <w:rsid w:val="00576C85"/>
    <w:rsid w:val="00577306"/>
    <w:rsid w:val="00577B7C"/>
    <w:rsid w:val="005800B9"/>
    <w:rsid w:val="005808F2"/>
    <w:rsid w:val="00581BEE"/>
    <w:rsid w:val="0058282E"/>
    <w:rsid w:val="00586C6C"/>
    <w:rsid w:val="0059044D"/>
    <w:rsid w:val="00590AD9"/>
    <w:rsid w:val="00590BFA"/>
    <w:rsid w:val="005913A8"/>
    <w:rsid w:val="0059302D"/>
    <w:rsid w:val="00594E6C"/>
    <w:rsid w:val="005953FD"/>
    <w:rsid w:val="00596600"/>
    <w:rsid w:val="00596C1F"/>
    <w:rsid w:val="005A03AF"/>
    <w:rsid w:val="005A057E"/>
    <w:rsid w:val="005A137E"/>
    <w:rsid w:val="005A33D8"/>
    <w:rsid w:val="005A4350"/>
    <w:rsid w:val="005A44BA"/>
    <w:rsid w:val="005A58B7"/>
    <w:rsid w:val="005A73FF"/>
    <w:rsid w:val="005B08B9"/>
    <w:rsid w:val="005B1430"/>
    <w:rsid w:val="005B5706"/>
    <w:rsid w:val="005B78F1"/>
    <w:rsid w:val="005C48B7"/>
    <w:rsid w:val="005C5202"/>
    <w:rsid w:val="005C54D4"/>
    <w:rsid w:val="005C7A05"/>
    <w:rsid w:val="005D2D60"/>
    <w:rsid w:val="005D3C41"/>
    <w:rsid w:val="005D4ECE"/>
    <w:rsid w:val="005D52E0"/>
    <w:rsid w:val="005D7221"/>
    <w:rsid w:val="005D7D8B"/>
    <w:rsid w:val="005E3943"/>
    <w:rsid w:val="005E636E"/>
    <w:rsid w:val="005E6B32"/>
    <w:rsid w:val="005E77D4"/>
    <w:rsid w:val="005F07EB"/>
    <w:rsid w:val="005F1FDF"/>
    <w:rsid w:val="005F2269"/>
    <w:rsid w:val="005F5263"/>
    <w:rsid w:val="005F7DA9"/>
    <w:rsid w:val="006036E6"/>
    <w:rsid w:val="00604AF8"/>
    <w:rsid w:val="00604B49"/>
    <w:rsid w:val="006074BB"/>
    <w:rsid w:val="00611F17"/>
    <w:rsid w:val="00612607"/>
    <w:rsid w:val="00613363"/>
    <w:rsid w:val="0061410C"/>
    <w:rsid w:val="0061637D"/>
    <w:rsid w:val="006169FF"/>
    <w:rsid w:val="006214DD"/>
    <w:rsid w:val="00624A31"/>
    <w:rsid w:val="00625958"/>
    <w:rsid w:val="00627FEC"/>
    <w:rsid w:val="00630464"/>
    <w:rsid w:val="00633E9D"/>
    <w:rsid w:val="0064085B"/>
    <w:rsid w:val="006437E2"/>
    <w:rsid w:val="00646389"/>
    <w:rsid w:val="00646C62"/>
    <w:rsid w:val="00656776"/>
    <w:rsid w:val="00660333"/>
    <w:rsid w:val="00660722"/>
    <w:rsid w:val="006619DF"/>
    <w:rsid w:val="00663C8A"/>
    <w:rsid w:val="00664023"/>
    <w:rsid w:val="00673336"/>
    <w:rsid w:val="00675236"/>
    <w:rsid w:val="006760FD"/>
    <w:rsid w:val="00677274"/>
    <w:rsid w:val="00677DC4"/>
    <w:rsid w:val="006810DA"/>
    <w:rsid w:val="00681803"/>
    <w:rsid w:val="00681CF3"/>
    <w:rsid w:val="00682182"/>
    <w:rsid w:val="00683810"/>
    <w:rsid w:val="0068776A"/>
    <w:rsid w:val="006877F5"/>
    <w:rsid w:val="00691491"/>
    <w:rsid w:val="00691CDF"/>
    <w:rsid w:val="006927E4"/>
    <w:rsid w:val="0069448A"/>
    <w:rsid w:val="00695356"/>
    <w:rsid w:val="006955F0"/>
    <w:rsid w:val="006965C9"/>
    <w:rsid w:val="00696BA4"/>
    <w:rsid w:val="0069732B"/>
    <w:rsid w:val="006A0C31"/>
    <w:rsid w:val="006A2393"/>
    <w:rsid w:val="006A3405"/>
    <w:rsid w:val="006A4838"/>
    <w:rsid w:val="006A69BD"/>
    <w:rsid w:val="006B4225"/>
    <w:rsid w:val="006B5F40"/>
    <w:rsid w:val="006B75D9"/>
    <w:rsid w:val="006C09A3"/>
    <w:rsid w:val="006C13E1"/>
    <w:rsid w:val="006C1DC4"/>
    <w:rsid w:val="006C2E45"/>
    <w:rsid w:val="006C54A1"/>
    <w:rsid w:val="006C5D90"/>
    <w:rsid w:val="006C6AAA"/>
    <w:rsid w:val="006C7A81"/>
    <w:rsid w:val="006D045A"/>
    <w:rsid w:val="006D1653"/>
    <w:rsid w:val="006D1805"/>
    <w:rsid w:val="006D1F83"/>
    <w:rsid w:val="006D2113"/>
    <w:rsid w:val="006D2162"/>
    <w:rsid w:val="006D2FFF"/>
    <w:rsid w:val="006D3C3D"/>
    <w:rsid w:val="006D3F09"/>
    <w:rsid w:val="006D578B"/>
    <w:rsid w:val="006E11E3"/>
    <w:rsid w:val="006E385A"/>
    <w:rsid w:val="006E3D37"/>
    <w:rsid w:val="006E4C45"/>
    <w:rsid w:val="006E78EC"/>
    <w:rsid w:val="006E7949"/>
    <w:rsid w:val="006F0BE5"/>
    <w:rsid w:val="006F1B22"/>
    <w:rsid w:val="006F2016"/>
    <w:rsid w:val="006F3B03"/>
    <w:rsid w:val="006F7F41"/>
    <w:rsid w:val="007009DB"/>
    <w:rsid w:val="00700EA0"/>
    <w:rsid w:val="00701DAD"/>
    <w:rsid w:val="007023DB"/>
    <w:rsid w:val="0070280D"/>
    <w:rsid w:val="0070295C"/>
    <w:rsid w:val="00703457"/>
    <w:rsid w:val="00707529"/>
    <w:rsid w:val="00710499"/>
    <w:rsid w:val="00712171"/>
    <w:rsid w:val="00712221"/>
    <w:rsid w:val="00715757"/>
    <w:rsid w:val="007172A3"/>
    <w:rsid w:val="00722021"/>
    <w:rsid w:val="0072310C"/>
    <w:rsid w:val="0072364E"/>
    <w:rsid w:val="007306EF"/>
    <w:rsid w:val="00731593"/>
    <w:rsid w:val="00734B31"/>
    <w:rsid w:val="00734E1D"/>
    <w:rsid w:val="00736E88"/>
    <w:rsid w:val="007373DA"/>
    <w:rsid w:val="00740FE9"/>
    <w:rsid w:val="007417FF"/>
    <w:rsid w:val="0074229E"/>
    <w:rsid w:val="00743687"/>
    <w:rsid w:val="0074536B"/>
    <w:rsid w:val="00745ABA"/>
    <w:rsid w:val="00745F47"/>
    <w:rsid w:val="00746680"/>
    <w:rsid w:val="00751E9E"/>
    <w:rsid w:val="00756463"/>
    <w:rsid w:val="007577F0"/>
    <w:rsid w:val="007619A9"/>
    <w:rsid w:val="0076578E"/>
    <w:rsid w:val="00767A7D"/>
    <w:rsid w:val="00770B3A"/>
    <w:rsid w:val="00773BE5"/>
    <w:rsid w:val="00773C89"/>
    <w:rsid w:val="00773CD5"/>
    <w:rsid w:val="0077524C"/>
    <w:rsid w:val="0077550B"/>
    <w:rsid w:val="00775EF2"/>
    <w:rsid w:val="00780E66"/>
    <w:rsid w:val="00781D71"/>
    <w:rsid w:val="00782404"/>
    <w:rsid w:val="00782817"/>
    <w:rsid w:val="007831B8"/>
    <w:rsid w:val="00783339"/>
    <w:rsid w:val="00783FAE"/>
    <w:rsid w:val="0078481F"/>
    <w:rsid w:val="007859AA"/>
    <w:rsid w:val="007863FB"/>
    <w:rsid w:val="00786BC0"/>
    <w:rsid w:val="007870A2"/>
    <w:rsid w:val="00791B31"/>
    <w:rsid w:val="00791DCB"/>
    <w:rsid w:val="00793156"/>
    <w:rsid w:val="00793C76"/>
    <w:rsid w:val="00795E16"/>
    <w:rsid w:val="007A2B1A"/>
    <w:rsid w:val="007A47CA"/>
    <w:rsid w:val="007B0C91"/>
    <w:rsid w:val="007B21FA"/>
    <w:rsid w:val="007B28F8"/>
    <w:rsid w:val="007B506A"/>
    <w:rsid w:val="007B56C0"/>
    <w:rsid w:val="007B62A7"/>
    <w:rsid w:val="007B6BD2"/>
    <w:rsid w:val="007B6BFD"/>
    <w:rsid w:val="007B7E54"/>
    <w:rsid w:val="007C0333"/>
    <w:rsid w:val="007C084D"/>
    <w:rsid w:val="007C5844"/>
    <w:rsid w:val="007C72F1"/>
    <w:rsid w:val="007D15A0"/>
    <w:rsid w:val="007D6D78"/>
    <w:rsid w:val="007E2A08"/>
    <w:rsid w:val="007E7468"/>
    <w:rsid w:val="007F01C8"/>
    <w:rsid w:val="007F057B"/>
    <w:rsid w:val="007F071F"/>
    <w:rsid w:val="007F3BE5"/>
    <w:rsid w:val="007F548A"/>
    <w:rsid w:val="007F7795"/>
    <w:rsid w:val="00800C69"/>
    <w:rsid w:val="008010F8"/>
    <w:rsid w:val="008072F2"/>
    <w:rsid w:val="008108D4"/>
    <w:rsid w:val="00814C44"/>
    <w:rsid w:val="0081689B"/>
    <w:rsid w:val="00816BF0"/>
    <w:rsid w:val="008208E8"/>
    <w:rsid w:val="00821288"/>
    <w:rsid w:val="00822911"/>
    <w:rsid w:val="0082459D"/>
    <w:rsid w:val="00830BB9"/>
    <w:rsid w:val="008311C7"/>
    <w:rsid w:val="008325AA"/>
    <w:rsid w:val="00832679"/>
    <w:rsid w:val="00834BDF"/>
    <w:rsid w:val="008423C2"/>
    <w:rsid w:val="0084396C"/>
    <w:rsid w:val="00843A81"/>
    <w:rsid w:val="008457C9"/>
    <w:rsid w:val="0085144E"/>
    <w:rsid w:val="00852D76"/>
    <w:rsid w:val="008561C7"/>
    <w:rsid w:val="00856932"/>
    <w:rsid w:val="00857338"/>
    <w:rsid w:val="008634AE"/>
    <w:rsid w:val="00866C40"/>
    <w:rsid w:val="00872874"/>
    <w:rsid w:val="00875C28"/>
    <w:rsid w:val="00875E61"/>
    <w:rsid w:val="008822EA"/>
    <w:rsid w:val="00882DA7"/>
    <w:rsid w:val="008834B1"/>
    <w:rsid w:val="00883547"/>
    <w:rsid w:val="008854CD"/>
    <w:rsid w:val="0088664A"/>
    <w:rsid w:val="00887A45"/>
    <w:rsid w:val="00887B4B"/>
    <w:rsid w:val="00887C08"/>
    <w:rsid w:val="00891A9D"/>
    <w:rsid w:val="00892216"/>
    <w:rsid w:val="008924F3"/>
    <w:rsid w:val="008963D9"/>
    <w:rsid w:val="008A0EAA"/>
    <w:rsid w:val="008A128E"/>
    <w:rsid w:val="008A2E37"/>
    <w:rsid w:val="008A3D5F"/>
    <w:rsid w:val="008A3D9D"/>
    <w:rsid w:val="008A4450"/>
    <w:rsid w:val="008A50F2"/>
    <w:rsid w:val="008A66FF"/>
    <w:rsid w:val="008A6777"/>
    <w:rsid w:val="008A69BB"/>
    <w:rsid w:val="008B031F"/>
    <w:rsid w:val="008B31EA"/>
    <w:rsid w:val="008B3AA4"/>
    <w:rsid w:val="008B3C81"/>
    <w:rsid w:val="008B3FDB"/>
    <w:rsid w:val="008B479D"/>
    <w:rsid w:val="008B63C3"/>
    <w:rsid w:val="008B6D16"/>
    <w:rsid w:val="008B713B"/>
    <w:rsid w:val="008C0F67"/>
    <w:rsid w:val="008C1858"/>
    <w:rsid w:val="008C1E35"/>
    <w:rsid w:val="008C3E37"/>
    <w:rsid w:val="008C4865"/>
    <w:rsid w:val="008C4E89"/>
    <w:rsid w:val="008C70B0"/>
    <w:rsid w:val="008D1C56"/>
    <w:rsid w:val="008D25AE"/>
    <w:rsid w:val="008D2DC2"/>
    <w:rsid w:val="008D33E7"/>
    <w:rsid w:val="008D5AAE"/>
    <w:rsid w:val="008D5D5E"/>
    <w:rsid w:val="008D76A8"/>
    <w:rsid w:val="008E7DE3"/>
    <w:rsid w:val="008F152E"/>
    <w:rsid w:val="008F2BA1"/>
    <w:rsid w:val="008F2CC0"/>
    <w:rsid w:val="008F2D51"/>
    <w:rsid w:val="008F3125"/>
    <w:rsid w:val="008F3D62"/>
    <w:rsid w:val="008F3DA8"/>
    <w:rsid w:val="008F5980"/>
    <w:rsid w:val="008F792A"/>
    <w:rsid w:val="009008B2"/>
    <w:rsid w:val="00900AF9"/>
    <w:rsid w:val="009032CA"/>
    <w:rsid w:val="0090334C"/>
    <w:rsid w:val="009105F0"/>
    <w:rsid w:val="00911DD5"/>
    <w:rsid w:val="00913895"/>
    <w:rsid w:val="0091638A"/>
    <w:rsid w:val="0092619A"/>
    <w:rsid w:val="00927966"/>
    <w:rsid w:val="0093041A"/>
    <w:rsid w:val="00932567"/>
    <w:rsid w:val="0093514A"/>
    <w:rsid w:val="0093593F"/>
    <w:rsid w:val="009359B6"/>
    <w:rsid w:val="00936759"/>
    <w:rsid w:val="00937149"/>
    <w:rsid w:val="009420D1"/>
    <w:rsid w:val="009433BA"/>
    <w:rsid w:val="00945A9A"/>
    <w:rsid w:val="00945C88"/>
    <w:rsid w:val="00947965"/>
    <w:rsid w:val="0095068E"/>
    <w:rsid w:val="00953D0C"/>
    <w:rsid w:val="00954ACD"/>
    <w:rsid w:val="00960039"/>
    <w:rsid w:val="00961A95"/>
    <w:rsid w:val="00962EEE"/>
    <w:rsid w:val="00964970"/>
    <w:rsid w:val="00964B4F"/>
    <w:rsid w:val="00965CD3"/>
    <w:rsid w:val="00977470"/>
    <w:rsid w:val="009800C4"/>
    <w:rsid w:val="00981B4D"/>
    <w:rsid w:val="0098429B"/>
    <w:rsid w:val="009858B4"/>
    <w:rsid w:val="00987118"/>
    <w:rsid w:val="00987EE9"/>
    <w:rsid w:val="00990E69"/>
    <w:rsid w:val="00991031"/>
    <w:rsid w:val="00994353"/>
    <w:rsid w:val="00994C08"/>
    <w:rsid w:val="009A0530"/>
    <w:rsid w:val="009A1B8E"/>
    <w:rsid w:val="009A2169"/>
    <w:rsid w:val="009A3F8E"/>
    <w:rsid w:val="009A6CE9"/>
    <w:rsid w:val="009A7C59"/>
    <w:rsid w:val="009B18B9"/>
    <w:rsid w:val="009B4FCC"/>
    <w:rsid w:val="009C17E1"/>
    <w:rsid w:val="009C2EF1"/>
    <w:rsid w:val="009C35FA"/>
    <w:rsid w:val="009C37A0"/>
    <w:rsid w:val="009C4DC8"/>
    <w:rsid w:val="009C55F1"/>
    <w:rsid w:val="009D0967"/>
    <w:rsid w:val="009D2E84"/>
    <w:rsid w:val="009D3395"/>
    <w:rsid w:val="009D492F"/>
    <w:rsid w:val="009D5736"/>
    <w:rsid w:val="009E07DE"/>
    <w:rsid w:val="009E0C1C"/>
    <w:rsid w:val="009E4CA7"/>
    <w:rsid w:val="009E4F4A"/>
    <w:rsid w:val="009E70EF"/>
    <w:rsid w:val="009E7198"/>
    <w:rsid w:val="009E7E9F"/>
    <w:rsid w:val="009F0D1B"/>
    <w:rsid w:val="009F2A79"/>
    <w:rsid w:val="009F72A7"/>
    <w:rsid w:val="009F7795"/>
    <w:rsid w:val="00A01FF2"/>
    <w:rsid w:val="00A044F1"/>
    <w:rsid w:val="00A0676B"/>
    <w:rsid w:val="00A1211C"/>
    <w:rsid w:val="00A15961"/>
    <w:rsid w:val="00A17F8D"/>
    <w:rsid w:val="00A2009A"/>
    <w:rsid w:val="00A20D7E"/>
    <w:rsid w:val="00A22E9E"/>
    <w:rsid w:val="00A27103"/>
    <w:rsid w:val="00A327A6"/>
    <w:rsid w:val="00A32A92"/>
    <w:rsid w:val="00A33D9D"/>
    <w:rsid w:val="00A3616A"/>
    <w:rsid w:val="00A40EC9"/>
    <w:rsid w:val="00A420F6"/>
    <w:rsid w:val="00A42959"/>
    <w:rsid w:val="00A42ECC"/>
    <w:rsid w:val="00A47BD4"/>
    <w:rsid w:val="00A513A2"/>
    <w:rsid w:val="00A530A0"/>
    <w:rsid w:val="00A54C1D"/>
    <w:rsid w:val="00A56754"/>
    <w:rsid w:val="00A5677E"/>
    <w:rsid w:val="00A57CF5"/>
    <w:rsid w:val="00A62570"/>
    <w:rsid w:val="00A65712"/>
    <w:rsid w:val="00A664DA"/>
    <w:rsid w:val="00A72DE9"/>
    <w:rsid w:val="00A7771C"/>
    <w:rsid w:val="00A822A7"/>
    <w:rsid w:val="00A824C9"/>
    <w:rsid w:val="00A84054"/>
    <w:rsid w:val="00A876B1"/>
    <w:rsid w:val="00A90DF3"/>
    <w:rsid w:val="00A92181"/>
    <w:rsid w:val="00A94825"/>
    <w:rsid w:val="00A948DD"/>
    <w:rsid w:val="00A96902"/>
    <w:rsid w:val="00A97741"/>
    <w:rsid w:val="00AA069F"/>
    <w:rsid w:val="00AA16CE"/>
    <w:rsid w:val="00AA1CFC"/>
    <w:rsid w:val="00AA2697"/>
    <w:rsid w:val="00AA33AB"/>
    <w:rsid w:val="00AA3435"/>
    <w:rsid w:val="00AA6432"/>
    <w:rsid w:val="00AA64BC"/>
    <w:rsid w:val="00AA661C"/>
    <w:rsid w:val="00AA79E6"/>
    <w:rsid w:val="00AA7FA8"/>
    <w:rsid w:val="00AB1807"/>
    <w:rsid w:val="00AB5F7A"/>
    <w:rsid w:val="00AB6BC4"/>
    <w:rsid w:val="00AC30B6"/>
    <w:rsid w:val="00AC33BE"/>
    <w:rsid w:val="00AC3BBC"/>
    <w:rsid w:val="00AC52C0"/>
    <w:rsid w:val="00AC7321"/>
    <w:rsid w:val="00AD06AE"/>
    <w:rsid w:val="00AD0C07"/>
    <w:rsid w:val="00AD1D85"/>
    <w:rsid w:val="00AD2B3A"/>
    <w:rsid w:val="00AD61CC"/>
    <w:rsid w:val="00AD78FA"/>
    <w:rsid w:val="00AE03CA"/>
    <w:rsid w:val="00AE5BBF"/>
    <w:rsid w:val="00AF25A1"/>
    <w:rsid w:val="00AF2F9F"/>
    <w:rsid w:val="00AF338A"/>
    <w:rsid w:val="00AF378B"/>
    <w:rsid w:val="00AF41D2"/>
    <w:rsid w:val="00AF58C7"/>
    <w:rsid w:val="00AF61C4"/>
    <w:rsid w:val="00B00093"/>
    <w:rsid w:val="00B0047C"/>
    <w:rsid w:val="00B00CBF"/>
    <w:rsid w:val="00B05F37"/>
    <w:rsid w:val="00B06DE3"/>
    <w:rsid w:val="00B10800"/>
    <w:rsid w:val="00B141D7"/>
    <w:rsid w:val="00B16C47"/>
    <w:rsid w:val="00B20CDA"/>
    <w:rsid w:val="00B2550B"/>
    <w:rsid w:val="00B2583A"/>
    <w:rsid w:val="00B2634A"/>
    <w:rsid w:val="00B33948"/>
    <w:rsid w:val="00B35346"/>
    <w:rsid w:val="00B3751A"/>
    <w:rsid w:val="00B37936"/>
    <w:rsid w:val="00B44A5E"/>
    <w:rsid w:val="00B45C6D"/>
    <w:rsid w:val="00B52501"/>
    <w:rsid w:val="00B544DF"/>
    <w:rsid w:val="00B56811"/>
    <w:rsid w:val="00B57D56"/>
    <w:rsid w:val="00B57EB8"/>
    <w:rsid w:val="00B61826"/>
    <w:rsid w:val="00B62F44"/>
    <w:rsid w:val="00B63D5F"/>
    <w:rsid w:val="00B666E0"/>
    <w:rsid w:val="00B703FF"/>
    <w:rsid w:val="00B71A90"/>
    <w:rsid w:val="00B73679"/>
    <w:rsid w:val="00B7375D"/>
    <w:rsid w:val="00B74A73"/>
    <w:rsid w:val="00B76802"/>
    <w:rsid w:val="00B80FE3"/>
    <w:rsid w:val="00B8210D"/>
    <w:rsid w:val="00B84511"/>
    <w:rsid w:val="00B8456F"/>
    <w:rsid w:val="00B852BD"/>
    <w:rsid w:val="00B8532A"/>
    <w:rsid w:val="00B86FAF"/>
    <w:rsid w:val="00B91C92"/>
    <w:rsid w:val="00B921FA"/>
    <w:rsid w:val="00B923B5"/>
    <w:rsid w:val="00B927C5"/>
    <w:rsid w:val="00B93012"/>
    <w:rsid w:val="00B9330A"/>
    <w:rsid w:val="00B9487A"/>
    <w:rsid w:val="00B95CC9"/>
    <w:rsid w:val="00B966E3"/>
    <w:rsid w:val="00BA10DA"/>
    <w:rsid w:val="00BA2686"/>
    <w:rsid w:val="00BA4510"/>
    <w:rsid w:val="00BA6F99"/>
    <w:rsid w:val="00BB351C"/>
    <w:rsid w:val="00BB578E"/>
    <w:rsid w:val="00BB64AA"/>
    <w:rsid w:val="00BC47B0"/>
    <w:rsid w:val="00BC4BBD"/>
    <w:rsid w:val="00BC7003"/>
    <w:rsid w:val="00BC7718"/>
    <w:rsid w:val="00BC7BB2"/>
    <w:rsid w:val="00BD529A"/>
    <w:rsid w:val="00BD7408"/>
    <w:rsid w:val="00BE370F"/>
    <w:rsid w:val="00BE4CD0"/>
    <w:rsid w:val="00BE5BAB"/>
    <w:rsid w:val="00BE5E95"/>
    <w:rsid w:val="00BF0C6A"/>
    <w:rsid w:val="00BF5365"/>
    <w:rsid w:val="00BF7C14"/>
    <w:rsid w:val="00C00FA5"/>
    <w:rsid w:val="00C019B3"/>
    <w:rsid w:val="00C0344C"/>
    <w:rsid w:val="00C043E5"/>
    <w:rsid w:val="00C07695"/>
    <w:rsid w:val="00C0776D"/>
    <w:rsid w:val="00C15429"/>
    <w:rsid w:val="00C157E1"/>
    <w:rsid w:val="00C15C34"/>
    <w:rsid w:val="00C20430"/>
    <w:rsid w:val="00C227F5"/>
    <w:rsid w:val="00C22A0B"/>
    <w:rsid w:val="00C23BFD"/>
    <w:rsid w:val="00C23CC8"/>
    <w:rsid w:val="00C25243"/>
    <w:rsid w:val="00C2666B"/>
    <w:rsid w:val="00C30F4D"/>
    <w:rsid w:val="00C3466E"/>
    <w:rsid w:val="00C34F81"/>
    <w:rsid w:val="00C405E3"/>
    <w:rsid w:val="00C43CA1"/>
    <w:rsid w:val="00C45F9F"/>
    <w:rsid w:val="00C46BA3"/>
    <w:rsid w:val="00C4720C"/>
    <w:rsid w:val="00C50DD4"/>
    <w:rsid w:val="00C51F42"/>
    <w:rsid w:val="00C55B39"/>
    <w:rsid w:val="00C56939"/>
    <w:rsid w:val="00C56C6F"/>
    <w:rsid w:val="00C5788A"/>
    <w:rsid w:val="00C6520B"/>
    <w:rsid w:val="00C664EB"/>
    <w:rsid w:val="00C67682"/>
    <w:rsid w:val="00C67965"/>
    <w:rsid w:val="00C70A14"/>
    <w:rsid w:val="00C72D6F"/>
    <w:rsid w:val="00C77203"/>
    <w:rsid w:val="00C775C6"/>
    <w:rsid w:val="00C77C13"/>
    <w:rsid w:val="00C90072"/>
    <w:rsid w:val="00C9075B"/>
    <w:rsid w:val="00C9416D"/>
    <w:rsid w:val="00C94FC1"/>
    <w:rsid w:val="00C95463"/>
    <w:rsid w:val="00C97B3E"/>
    <w:rsid w:val="00CA0816"/>
    <w:rsid w:val="00CA1AC4"/>
    <w:rsid w:val="00CA20AD"/>
    <w:rsid w:val="00CA24C1"/>
    <w:rsid w:val="00CA474D"/>
    <w:rsid w:val="00CA6B34"/>
    <w:rsid w:val="00CB2F96"/>
    <w:rsid w:val="00CB45B3"/>
    <w:rsid w:val="00CB5100"/>
    <w:rsid w:val="00CB5A61"/>
    <w:rsid w:val="00CB67E0"/>
    <w:rsid w:val="00CB6995"/>
    <w:rsid w:val="00CB7A73"/>
    <w:rsid w:val="00CC4816"/>
    <w:rsid w:val="00CC4FE6"/>
    <w:rsid w:val="00CC69F4"/>
    <w:rsid w:val="00CD0CE7"/>
    <w:rsid w:val="00CD2A75"/>
    <w:rsid w:val="00CD2D37"/>
    <w:rsid w:val="00CD47AC"/>
    <w:rsid w:val="00CD6382"/>
    <w:rsid w:val="00CD6838"/>
    <w:rsid w:val="00CD7EDB"/>
    <w:rsid w:val="00CE1194"/>
    <w:rsid w:val="00CE18DC"/>
    <w:rsid w:val="00CE3517"/>
    <w:rsid w:val="00CE55DD"/>
    <w:rsid w:val="00CE75A8"/>
    <w:rsid w:val="00CF275D"/>
    <w:rsid w:val="00CF3727"/>
    <w:rsid w:val="00CF47F6"/>
    <w:rsid w:val="00CF6BF2"/>
    <w:rsid w:val="00CF7882"/>
    <w:rsid w:val="00D01EAF"/>
    <w:rsid w:val="00D0338B"/>
    <w:rsid w:val="00D04983"/>
    <w:rsid w:val="00D06C74"/>
    <w:rsid w:val="00D076B6"/>
    <w:rsid w:val="00D105F6"/>
    <w:rsid w:val="00D10AB9"/>
    <w:rsid w:val="00D11800"/>
    <w:rsid w:val="00D15855"/>
    <w:rsid w:val="00D20143"/>
    <w:rsid w:val="00D2174A"/>
    <w:rsid w:val="00D217DC"/>
    <w:rsid w:val="00D225B0"/>
    <w:rsid w:val="00D22EFC"/>
    <w:rsid w:val="00D24C06"/>
    <w:rsid w:val="00D259EF"/>
    <w:rsid w:val="00D273B2"/>
    <w:rsid w:val="00D27DA9"/>
    <w:rsid w:val="00D30051"/>
    <w:rsid w:val="00D403F3"/>
    <w:rsid w:val="00D42744"/>
    <w:rsid w:val="00D42CF0"/>
    <w:rsid w:val="00D45677"/>
    <w:rsid w:val="00D464B1"/>
    <w:rsid w:val="00D46588"/>
    <w:rsid w:val="00D501BB"/>
    <w:rsid w:val="00D53F51"/>
    <w:rsid w:val="00D57870"/>
    <w:rsid w:val="00D57D2E"/>
    <w:rsid w:val="00D60812"/>
    <w:rsid w:val="00D60897"/>
    <w:rsid w:val="00D61142"/>
    <w:rsid w:val="00D639E9"/>
    <w:rsid w:val="00D66190"/>
    <w:rsid w:val="00D67F68"/>
    <w:rsid w:val="00D72FFE"/>
    <w:rsid w:val="00D734B4"/>
    <w:rsid w:val="00D76638"/>
    <w:rsid w:val="00D811D5"/>
    <w:rsid w:val="00D82DF0"/>
    <w:rsid w:val="00D84E7F"/>
    <w:rsid w:val="00D861B6"/>
    <w:rsid w:val="00D8663E"/>
    <w:rsid w:val="00D93513"/>
    <w:rsid w:val="00D942FA"/>
    <w:rsid w:val="00D9465E"/>
    <w:rsid w:val="00D946E2"/>
    <w:rsid w:val="00D948EF"/>
    <w:rsid w:val="00D96AF5"/>
    <w:rsid w:val="00D96FAB"/>
    <w:rsid w:val="00D97232"/>
    <w:rsid w:val="00D97BCC"/>
    <w:rsid w:val="00DA0055"/>
    <w:rsid w:val="00DA2806"/>
    <w:rsid w:val="00DA38AE"/>
    <w:rsid w:val="00DB0AE9"/>
    <w:rsid w:val="00DB18AF"/>
    <w:rsid w:val="00DB42A9"/>
    <w:rsid w:val="00DB5C35"/>
    <w:rsid w:val="00DC53D1"/>
    <w:rsid w:val="00DC6B85"/>
    <w:rsid w:val="00DC7280"/>
    <w:rsid w:val="00DD0C7D"/>
    <w:rsid w:val="00DD2FA2"/>
    <w:rsid w:val="00DD648A"/>
    <w:rsid w:val="00DD6590"/>
    <w:rsid w:val="00DE0275"/>
    <w:rsid w:val="00DE61CA"/>
    <w:rsid w:val="00DF181C"/>
    <w:rsid w:val="00DF220E"/>
    <w:rsid w:val="00DF2305"/>
    <w:rsid w:val="00DF6A07"/>
    <w:rsid w:val="00E00F49"/>
    <w:rsid w:val="00E0163E"/>
    <w:rsid w:val="00E020B0"/>
    <w:rsid w:val="00E02BEE"/>
    <w:rsid w:val="00E04063"/>
    <w:rsid w:val="00E058EA"/>
    <w:rsid w:val="00E06B2C"/>
    <w:rsid w:val="00E0763E"/>
    <w:rsid w:val="00E078FB"/>
    <w:rsid w:val="00E07C55"/>
    <w:rsid w:val="00E14D1F"/>
    <w:rsid w:val="00E2018B"/>
    <w:rsid w:val="00E21227"/>
    <w:rsid w:val="00E21C59"/>
    <w:rsid w:val="00E21D0B"/>
    <w:rsid w:val="00E235A3"/>
    <w:rsid w:val="00E27214"/>
    <w:rsid w:val="00E305CE"/>
    <w:rsid w:val="00E3234A"/>
    <w:rsid w:val="00E32C51"/>
    <w:rsid w:val="00E34522"/>
    <w:rsid w:val="00E3564A"/>
    <w:rsid w:val="00E36F28"/>
    <w:rsid w:val="00E409EF"/>
    <w:rsid w:val="00E42713"/>
    <w:rsid w:val="00E437DD"/>
    <w:rsid w:val="00E44475"/>
    <w:rsid w:val="00E46756"/>
    <w:rsid w:val="00E46FA2"/>
    <w:rsid w:val="00E47AE2"/>
    <w:rsid w:val="00E50BDA"/>
    <w:rsid w:val="00E521F6"/>
    <w:rsid w:val="00E549CE"/>
    <w:rsid w:val="00E54FB2"/>
    <w:rsid w:val="00E55C37"/>
    <w:rsid w:val="00E617CD"/>
    <w:rsid w:val="00E61972"/>
    <w:rsid w:val="00E63F28"/>
    <w:rsid w:val="00E65D63"/>
    <w:rsid w:val="00E70CB2"/>
    <w:rsid w:val="00E71710"/>
    <w:rsid w:val="00E727B4"/>
    <w:rsid w:val="00E73812"/>
    <w:rsid w:val="00E75AEA"/>
    <w:rsid w:val="00E75C28"/>
    <w:rsid w:val="00E7630F"/>
    <w:rsid w:val="00E76FC8"/>
    <w:rsid w:val="00E82FD4"/>
    <w:rsid w:val="00E8358D"/>
    <w:rsid w:val="00E83772"/>
    <w:rsid w:val="00E83EA2"/>
    <w:rsid w:val="00E84F64"/>
    <w:rsid w:val="00E85FAB"/>
    <w:rsid w:val="00E86289"/>
    <w:rsid w:val="00E876E1"/>
    <w:rsid w:val="00E95005"/>
    <w:rsid w:val="00E958AF"/>
    <w:rsid w:val="00E96DBB"/>
    <w:rsid w:val="00E97078"/>
    <w:rsid w:val="00EA1AFF"/>
    <w:rsid w:val="00EA43CE"/>
    <w:rsid w:val="00EA4A9F"/>
    <w:rsid w:val="00EA7597"/>
    <w:rsid w:val="00EA78CF"/>
    <w:rsid w:val="00EB0001"/>
    <w:rsid w:val="00EB0B93"/>
    <w:rsid w:val="00EB2135"/>
    <w:rsid w:val="00EC0B08"/>
    <w:rsid w:val="00EC1000"/>
    <w:rsid w:val="00EC3A38"/>
    <w:rsid w:val="00EC41C6"/>
    <w:rsid w:val="00EC45DA"/>
    <w:rsid w:val="00EC4954"/>
    <w:rsid w:val="00EC6B99"/>
    <w:rsid w:val="00EC6D0E"/>
    <w:rsid w:val="00ED28F8"/>
    <w:rsid w:val="00ED2948"/>
    <w:rsid w:val="00ED32BB"/>
    <w:rsid w:val="00ED33FA"/>
    <w:rsid w:val="00EE1140"/>
    <w:rsid w:val="00EE1326"/>
    <w:rsid w:val="00EE331E"/>
    <w:rsid w:val="00EE3993"/>
    <w:rsid w:val="00EE53C1"/>
    <w:rsid w:val="00EE6380"/>
    <w:rsid w:val="00EE6C4A"/>
    <w:rsid w:val="00EF1051"/>
    <w:rsid w:val="00EF1442"/>
    <w:rsid w:val="00EF2907"/>
    <w:rsid w:val="00EF493D"/>
    <w:rsid w:val="00EF7D2C"/>
    <w:rsid w:val="00F00FE2"/>
    <w:rsid w:val="00F03313"/>
    <w:rsid w:val="00F04193"/>
    <w:rsid w:val="00F051AB"/>
    <w:rsid w:val="00F069A7"/>
    <w:rsid w:val="00F102D1"/>
    <w:rsid w:val="00F13045"/>
    <w:rsid w:val="00F140D6"/>
    <w:rsid w:val="00F156DC"/>
    <w:rsid w:val="00F17F7F"/>
    <w:rsid w:val="00F208A7"/>
    <w:rsid w:val="00F23D8D"/>
    <w:rsid w:val="00F326D9"/>
    <w:rsid w:val="00F36050"/>
    <w:rsid w:val="00F36B68"/>
    <w:rsid w:val="00F42D20"/>
    <w:rsid w:val="00F4338B"/>
    <w:rsid w:val="00F43ECE"/>
    <w:rsid w:val="00F44AEC"/>
    <w:rsid w:val="00F459EE"/>
    <w:rsid w:val="00F470F8"/>
    <w:rsid w:val="00F47743"/>
    <w:rsid w:val="00F5050B"/>
    <w:rsid w:val="00F514FB"/>
    <w:rsid w:val="00F530FD"/>
    <w:rsid w:val="00F53A97"/>
    <w:rsid w:val="00F55B28"/>
    <w:rsid w:val="00F56429"/>
    <w:rsid w:val="00F564A1"/>
    <w:rsid w:val="00F60697"/>
    <w:rsid w:val="00F60FF2"/>
    <w:rsid w:val="00F64141"/>
    <w:rsid w:val="00F657FF"/>
    <w:rsid w:val="00F66630"/>
    <w:rsid w:val="00F67280"/>
    <w:rsid w:val="00F710C1"/>
    <w:rsid w:val="00F7384E"/>
    <w:rsid w:val="00F762C6"/>
    <w:rsid w:val="00F77B18"/>
    <w:rsid w:val="00F81765"/>
    <w:rsid w:val="00F819C0"/>
    <w:rsid w:val="00F843C6"/>
    <w:rsid w:val="00F85906"/>
    <w:rsid w:val="00F8695D"/>
    <w:rsid w:val="00F875F5"/>
    <w:rsid w:val="00F876E3"/>
    <w:rsid w:val="00F87773"/>
    <w:rsid w:val="00F91018"/>
    <w:rsid w:val="00F910CB"/>
    <w:rsid w:val="00F92067"/>
    <w:rsid w:val="00F95443"/>
    <w:rsid w:val="00F96F8D"/>
    <w:rsid w:val="00FA604E"/>
    <w:rsid w:val="00FA64AD"/>
    <w:rsid w:val="00FB02D4"/>
    <w:rsid w:val="00FB0357"/>
    <w:rsid w:val="00FB1445"/>
    <w:rsid w:val="00FB2FB0"/>
    <w:rsid w:val="00FC1869"/>
    <w:rsid w:val="00FC1F9E"/>
    <w:rsid w:val="00FC3126"/>
    <w:rsid w:val="00FC5BA6"/>
    <w:rsid w:val="00FD1C3C"/>
    <w:rsid w:val="00FD5C82"/>
    <w:rsid w:val="00FE023B"/>
    <w:rsid w:val="00FE3C35"/>
    <w:rsid w:val="00FE3EAF"/>
    <w:rsid w:val="00FE415D"/>
    <w:rsid w:val="00FE703D"/>
    <w:rsid w:val="00FF0069"/>
    <w:rsid w:val="00FF045D"/>
    <w:rsid w:val="00FF1244"/>
    <w:rsid w:val="00FF3917"/>
    <w:rsid w:val="00FF4F1B"/>
    <w:rsid w:val="00FF506C"/>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144"/>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44"/>
    <w:pPr>
      <w:tabs>
        <w:tab w:val="center" w:pos="4153"/>
        <w:tab w:val="right" w:pos="8306"/>
      </w:tabs>
    </w:pPr>
  </w:style>
  <w:style w:type="character" w:customStyle="1" w:styleId="HeaderChar">
    <w:name w:val="Header Char"/>
    <w:basedOn w:val="DefaultParagraphFont"/>
    <w:link w:val="Header"/>
    <w:uiPriority w:val="99"/>
    <w:rsid w:val="004A4144"/>
  </w:style>
  <w:style w:type="paragraph" w:styleId="Footer">
    <w:name w:val="footer"/>
    <w:basedOn w:val="Normal"/>
    <w:link w:val="FooterChar"/>
    <w:uiPriority w:val="99"/>
    <w:unhideWhenUsed/>
    <w:rsid w:val="004A4144"/>
    <w:pPr>
      <w:tabs>
        <w:tab w:val="center" w:pos="4153"/>
        <w:tab w:val="right" w:pos="8306"/>
      </w:tabs>
    </w:pPr>
  </w:style>
  <w:style w:type="character" w:customStyle="1" w:styleId="FooterChar">
    <w:name w:val="Footer Char"/>
    <w:basedOn w:val="DefaultParagraphFont"/>
    <w:link w:val="Footer"/>
    <w:uiPriority w:val="99"/>
    <w:rsid w:val="004A4144"/>
  </w:style>
  <w:style w:type="paragraph" w:styleId="BalloonText">
    <w:name w:val="Balloon Text"/>
    <w:basedOn w:val="Normal"/>
    <w:link w:val="BalloonTextChar"/>
    <w:uiPriority w:val="99"/>
    <w:semiHidden/>
    <w:unhideWhenUsed/>
    <w:rsid w:val="004A4144"/>
    <w:rPr>
      <w:rFonts w:ascii="Tahoma" w:hAnsi="Tahoma" w:cs="Tahoma"/>
      <w:sz w:val="16"/>
      <w:szCs w:val="16"/>
    </w:rPr>
  </w:style>
  <w:style w:type="character" w:customStyle="1" w:styleId="BalloonTextChar">
    <w:name w:val="Balloon Text Char"/>
    <w:basedOn w:val="DefaultParagraphFont"/>
    <w:link w:val="BalloonText"/>
    <w:uiPriority w:val="99"/>
    <w:semiHidden/>
    <w:rsid w:val="004A4144"/>
    <w:rPr>
      <w:rFonts w:ascii="Tahoma" w:hAnsi="Tahoma" w:cs="Tahoma"/>
      <w:sz w:val="16"/>
      <w:szCs w:val="16"/>
    </w:rPr>
  </w:style>
  <w:style w:type="paragraph" w:styleId="BodyText">
    <w:name w:val="Body Text"/>
    <w:basedOn w:val="Normal"/>
    <w:link w:val="BodyTextChar"/>
    <w:semiHidden/>
    <w:rsid w:val="004A4144"/>
    <w:pPr>
      <w:bidi w:val="0"/>
      <w:jc w:val="center"/>
    </w:pPr>
  </w:style>
  <w:style w:type="character" w:customStyle="1" w:styleId="BodyTextChar">
    <w:name w:val="Body Text Char"/>
    <w:basedOn w:val="DefaultParagraphFont"/>
    <w:link w:val="BodyText"/>
    <w:semiHidden/>
    <w:rsid w:val="004A4144"/>
    <w:rPr>
      <w:rFonts w:ascii="Times New Roman" w:eastAsia="Times New Roman" w:hAnsi="Times New Roman" w:cs="Times New Roman"/>
      <w:sz w:val="24"/>
      <w:szCs w:val="24"/>
      <w:lang w:eastAsia="ar-SA"/>
    </w:rPr>
  </w:style>
  <w:style w:type="character" w:styleId="Hyperlink">
    <w:name w:val="Hyperlink"/>
    <w:basedOn w:val="DefaultParagraphFont"/>
    <w:semiHidden/>
    <w:rsid w:val="00C77203"/>
    <w:rPr>
      <w:rFonts w:cs="Traditional Arabic"/>
      <w:color w:val="0000FF"/>
      <w:u w:val="single"/>
    </w:rPr>
  </w:style>
  <w:style w:type="paragraph" w:styleId="ListParagraph">
    <w:name w:val="List Paragraph"/>
    <w:basedOn w:val="Normal"/>
    <w:uiPriority w:val="34"/>
    <w:qFormat/>
    <w:rsid w:val="004F3E2E"/>
    <w:pPr>
      <w:spacing w:after="200" w:line="276" w:lineRule="auto"/>
      <w:ind w:left="720"/>
      <w:contextualSpacing/>
    </w:pPr>
    <w:rPr>
      <w:rFonts w:ascii="Calibri" w:eastAsia="Calibri" w:hAnsi="Calibri" w:cs="Arial"/>
      <w:sz w:val="22"/>
      <w:szCs w:val="22"/>
      <w:lang w:eastAsia="en-US"/>
    </w:rPr>
  </w:style>
  <w:style w:type="table" w:styleId="TableGrid">
    <w:name w:val="Table Grid"/>
    <w:basedOn w:val="TableNormal"/>
    <w:uiPriority w:val="59"/>
    <w:rsid w:val="00B80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Normal"/>
    <w:rsid w:val="00B80FE3"/>
    <w:pPr>
      <w:pBdr>
        <w:left w:val="single" w:sz="4" w:space="0" w:color="auto"/>
      </w:pBdr>
      <w:bidi w:val="0"/>
      <w:spacing w:before="100" w:beforeAutospacing="1" w:after="100" w:afterAutospacing="1"/>
      <w:jc w:val="center"/>
      <w:textAlignment w:val="center"/>
    </w:pPr>
    <w:rPr>
      <w:b/>
      <w:bCs/>
    </w:rPr>
  </w:style>
  <w:style w:type="character" w:customStyle="1" w:styleId="tlid-translation">
    <w:name w:val="tlid-translation"/>
    <w:basedOn w:val="DefaultParagraphFont"/>
    <w:rsid w:val="00DF2305"/>
  </w:style>
  <w:style w:type="paragraph" w:styleId="NormalWeb">
    <w:name w:val="Normal (Web)"/>
    <w:basedOn w:val="Normal"/>
    <w:uiPriority w:val="99"/>
    <w:semiHidden/>
    <w:unhideWhenUsed/>
    <w:rsid w:val="002C77E7"/>
    <w:pPr>
      <w:bidi w:val="0"/>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ED33FA"/>
    <w:rPr>
      <w:sz w:val="20"/>
      <w:szCs w:val="20"/>
    </w:rPr>
  </w:style>
  <w:style w:type="character" w:customStyle="1" w:styleId="FootnoteTextChar">
    <w:name w:val="Footnote Text Char"/>
    <w:basedOn w:val="DefaultParagraphFont"/>
    <w:link w:val="FootnoteText"/>
    <w:uiPriority w:val="99"/>
    <w:semiHidden/>
    <w:rsid w:val="00ED33FA"/>
    <w:rPr>
      <w:rFonts w:ascii="Times New Roman" w:eastAsia="Times New Roman" w:hAnsi="Times New Roman" w:cs="Times New Roman"/>
      <w:lang w:eastAsia="ar-SA"/>
    </w:rPr>
  </w:style>
  <w:style w:type="character" w:styleId="FootnoteReference">
    <w:name w:val="footnote reference"/>
    <w:basedOn w:val="DefaultParagraphFont"/>
    <w:uiPriority w:val="99"/>
    <w:semiHidden/>
    <w:unhideWhenUsed/>
    <w:rsid w:val="00ED33FA"/>
    <w:rPr>
      <w:vertAlign w:val="superscript"/>
    </w:rPr>
  </w:style>
  <w:style w:type="character" w:styleId="CommentReference">
    <w:name w:val="annotation reference"/>
    <w:basedOn w:val="DefaultParagraphFont"/>
    <w:uiPriority w:val="99"/>
    <w:semiHidden/>
    <w:unhideWhenUsed/>
    <w:rsid w:val="00CE75A8"/>
    <w:rPr>
      <w:sz w:val="16"/>
      <w:szCs w:val="16"/>
    </w:rPr>
  </w:style>
  <w:style w:type="paragraph" w:styleId="CommentText">
    <w:name w:val="annotation text"/>
    <w:basedOn w:val="Normal"/>
    <w:link w:val="CommentTextChar"/>
    <w:uiPriority w:val="99"/>
    <w:semiHidden/>
    <w:unhideWhenUsed/>
    <w:rsid w:val="00CE75A8"/>
    <w:rPr>
      <w:sz w:val="20"/>
      <w:szCs w:val="20"/>
    </w:rPr>
  </w:style>
  <w:style w:type="character" w:customStyle="1" w:styleId="CommentTextChar">
    <w:name w:val="Comment Text Char"/>
    <w:basedOn w:val="DefaultParagraphFont"/>
    <w:link w:val="CommentText"/>
    <w:uiPriority w:val="99"/>
    <w:semiHidden/>
    <w:rsid w:val="00CE75A8"/>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CE75A8"/>
    <w:rPr>
      <w:b/>
      <w:bCs/>
    </w:rPr>
  </w:style>
  <w:style w:type="character" w:customStyle="1" w:styleId="CommentSubjectChar">
    <w:name w:val="Comment Subject Char"/>
    <w:basedOn w:val="CommentTextChar"/>
    <w:link w:val="CommentSubject"/>
    <w:uiPriority w:val="99"/>
    <w:semiHidden/>
    <w:rsid w:val="00CE75A8"/>
    <w:rPr>
      <w:rFonts w:ascii="Times New Roman" w:eastAsia="Times New Roman" w:hAnsi="Times New Roman" w:cs="Times New Roman"/>
      <w:b/>
      <w:bCs/>
      <w:lang w:eastAsia="ar-SA"/>
    </w:rPr>
  </w:style>
  <w:style w:type="paragraph" w:styleId="NoSpacing">
    <w:name w:val="No Spacing"/>
    <w:uiPriority w:val="1"/>
    <w:qFormat/>
    <w:rsid w:val="00D42CF0"/>
    <w:pPr>
      <w:bidi/>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1156623">
      <w:bodyDiv w:val="1"/>
      <w:marLeft w:val="0"/>
      <w:marRight w:val="0"/>
      <w:marTop w:val="0"/>
      <w:marBottom w:val="0"/>
      <w:divBdr>
        <w:top w:val="none" w:sz="0" w:space="0" w:color="auto"/>
        <w:left w:val="none" w:sz="0" w:space="0" w:color="auto"/>
        <w:bottom w:val="none" w:sz="0" w:space="0" w:color="auto"/>
        <w:right w:val="none" w:sz="0" w:space="0" w:color="auto"/>
      </w:divBdr>
    </w:div>
    <w:div w:id="508565052">
      <w:bodyDiv w:val="1"/>
      <w:marLeft w:val="0"/>
      <w:marRight w:val="0"/>
      <w:marTop w:val="0"/>
      <w:marBottom w:val="0"/>
      <w:divBdr>
        <w:top w:val="none" w:sz="0" w:space="0" w:color="auto"/>
        <w:left w:val="none" w:sz="0" w:space="0" w:color="auto"/>
        <w:bottom w:val="none" w:sz="0" w:space="0" w:color="auto"/>
        <w:right w:val="none" w:sz="0" w:space="0" w:color="auto"/>
      </w:divBdr>
    </w:div>
    <w:div w:id="70321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2946900868160721"/>
          <c:y val="8.6636725964810118E-2"/>
          <c:w val="0.73349300087489144"/>
          <c:h val="0.60250694444444441"/>
        </c:manualLayout>
      </c:layout>
      <c:lineChart>
        <c:grouping val="standard"/>
        <c:ser>
          <c:idx val="0"/>
          <c:order val="0"/>
          <c:tx>
            <c:strRef>
              <c:f>Sheet1!$B$1</c:f>
              <c:strCache>
                <c:ptCount val="1"/>
                <c:pt idx="0">
                  <c:v>Palestine</c:v>
                </c:pt>
              </c:strCache>
            </c:strRef>
          </c:tx>
          <c:dLbls>
            <c:dLbl>
              <c:idx val="0"/>
              <c:layout>
                <c:manualLayout>
                  <c:x val="-7.4988800045875034E-2"/>
                  <c:y val="-8.1876860593364131E-2"/>
                </c:manualLayout>
              </c:layout>
              <c:dLblPos val="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E900-432D-A08D-93AD913EB584}"/>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900-432D-A08D-93AD913EB584}"/>
                </c:ext>
              </c:extLst>
            </c:dLbl>
            <c:dLbl>
              <c:idx val="9"/>
              <c:layout>
                <c:manualLayout>
                  <c:x val="-0.14483306719527211"/>
                  <c:y val="-6.2209779333138981E-2"/>
                </c:manualLayout>
              </c:layout>
              <c:dLblPos val="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A1A8-4363-B72A-B3D094CF06F3}"/>
                </c:ext>
              </c:extLst>
            </c:dLbl>
            <c:delete val="1"/>
            <c:spPr>
              <a:noFill/>
              <a:ln>
                <a:noFill/>
              </a:ln>
              <a:effectLst/>
            </c:spPr>
            <c:txPr>
              <a:bodyPr/>
              <a:lstStyle/>
              <a:p>
                <a:pPr>
                  <a:defRPr sz="800">
                    <a:latin typeface="Arial" pitchFamily="34" charset="0"/>
                    <a:cs typeface="Arial" pitchFamily="34" charset="0"/>
                  </a:defRPr>
                </a:pPr>
                <a:endParaRPr lang="ar-SA"/>
              </a:p>
            </c:txPr>
            <c:dLblPos val="t"/>
            <c:extLst xmlns:c16r2="http://schemas.microsoft.com/office/drawing/2015/06/chart">
              <c:ext xmlns:c15="http://schemas.microsoft.com/office/drawing/2012/chart" uri="{CE6537A1-D6FC-4f65-9D91-7224C49458BB}">
                <c15:showLeaderLines val="0"/>
              </c:ext>
            </c:extLst>
          </c:dLbls>
          <c:cat>
            <c:strRef>
              <c:f>Sheet1!$A$2:$A$11</c:f>
              <c:strCache>
                <c:ptCount val="10"/>
                <c:pt idx="0">
                  <c:v>Q1-2018</c:v>
                </c:pt>
                <c:pt idx="1">
                  <c:v>Q2- 2018</c:v>
                </c:pt>
                <c:pt idx="2">
                  <c:v>Q3-2018</c:v>
                </c:pt>
                <c:pt idx="3">
                  <c:v>Q4-2018</c:v>
                </c:pt>
                <c:pt idx="4">
                  <c:v>Q1-2019</c:v>
                </c:pt>
                <c:pt idx="5">
                  <c:v>Q2-2019</c:v>
                </c:pt>
                <c:pt idx="6">
                  <c:v>Q3-2019</c:v>
                </c:pt>
                <c:pt idx="7">
                  <c:v>Q4-2019</c:v>
                </c:pt>
                <c:pt idx="8">
                  <c:v>Q1- 2020</c:v>
                </c:pt>
                <c:pt idx="9">
                  <c:v>Q2- 2020</c:v>
                </c:pt>
              </c:strCache>
            </c:strRef>
          </c:cat>
          <c:val>
            <c:numRef>
              <c:f>Sheet1!$B$2:$B$11</c:f>
              <c:numCache>
                <c:formatCode>General</c:formatCode>
                <c:ptCount val="10"/>
                <c:pt idx="0">
                  <c:v>26.5</c:v>
                </c:pt>
                <c:pt idx="1">
                  <c:v>27.4</c:v>
                </c:pt>
                <c:pt idx="2">
                  <c:v>26.9</c:v>
                </c:pt>
                <c:pt idx="3">
                  <c:v>24.2</c:v>
                </c:pt>
                <c:pt idx="4">
                  <c:v>26.8</c:v>
                </c:pt>
                <c:pt idx="5" formatCode="0.0">
                  <c:v>26</c:v>
                </c:pt>
                <c:pt idx="6" formatCode="0.0">
                  <c:v>24.6</c:v>
                </c:pt>
                <c:pt idx="7" formatCode="0.0">
                  <c:v>24</c:v>
                </c:pt>
                <c:pt idx="8" formatCode="0.0">
                  <c:v>25</c:v>
                </c:pt>
                <c:pt idx="9" formatCode="0.0">
                  <c:v>26.6</c:v>
                </c:pt>
              </c:numCache>
            </c:numRef>
          </c:val>
          <c:extLst xmlns:c16r2="http://schemas.microsoft.com/office/drawing/2015/06/chart">
            <c:ext xmlns:c16="http://schemas.microsoft.com/office/drawing/2014/chart" uri="{C3380CC4-5D6E-409C-BE32-E72D297353CC}">
              <c16:uniqueId val="{00000003-E900-432D-A08D-93AD913EB584}"/>
            </c:ext>
          </c:extLst>
        </c:ser>
        <c:ser>
          <c:idx val="1"/>
          <c:order val="1"/>
          <c:tx>
            <c:strRef>
              <c:f>Sheet1!$C$1</c:f>
              <c:strCache>
                <c:ptCount val="1"/>
                <c:pt idx="0">
                  <c:v>West Bank</c:v>
                </c:pt>
              </c:strCache>
            </c:strRef>
          </c:tx>
          <c:dLbls>
            <c:dLbl>
              <c:idx val="0"/>
              <c:layout>
                <c:manualLayout>
                  <c:x val="-7.0437176302160093E-2"/>
                  <c:y val="5.5601628693751612E-2"/>
                </c:manualLayout>
              </c:layout>
              <c:dLblPos val="r"/>
              <c:showVal val="1"/>
              <c:extLst xmlns:c16r2="http://schemas.microsoft.com/office/drawing/2015/06/chart">
                <c:ext xmlns:c15="http://schemas.microsoft.com/office/drawing/2012/chart" uri="{CE6537A1-D6FC-4f65-9D91-7224C49458BB}">
                  <c15:layout>
                    <c:manualLayout>
                      <c:w val="9.6145451738318788E-2"/>
                      <c:h val="9.2737941977785079E-2"/>
                    </c:manualLayout>
                  </c15:layout>
                </c:ext>
                <c:ext xmlns:c16="http://schemas.microsoft.com/office/drawing/2014/chart" uri="{C3380CC4-5D6E-409C-BE32-E72D297353CC}">
                  <c16:uniqueId val="{00000004-E900-432D-A08D-93AD913EB584}"/>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900-432D-A08D-93AD913EB584}"/>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900-432D-A08D-93AD913EB584}"/>
                </c:ext>
              </c:extLst>
            </c:dLbl>
            <c:dLbl>
              <c:idx val="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900-432D-A08D-93AD913EB584}"/>
                </c:ext>
              </c:extLst>
            </c:dLbl>
            <c:dLbl>
              <c:idx val="9"/>
              <c:layout>
                <c:manualLayout>
                  <c:x val="-4.8661611025559173E-2"/>
                  <c:y val="5.2096821230679574E-2"/>
                </c:manualLayout>
              </c:layout>
              <c:dLblPos val="r"/>
              <c:showVal val="1"/>
              <c:extLst xmlns:c16r2="http://schemas.microsoft.com/office/drawing/2015/06/chart">
                <c:ext xmlns:c15="http://schemas.microsoft.com/office/drawing/2012/chart" uri="{CE6537A1-D6FC-4f65-9D91-7224C49458BB}">
                  <c15:layout>
                    <c:manualLayout>
                      <c:w val="9.6145451738318788E-2"/>
                      <c:h val="0.13076075566599801"/>
                    </c:manualLayout>
                  </c15:layout>
                </c:ext>
                <c:ext xmlns:c16="http://schemas.microsoft.com/office/drawing/2014/chart" uri="{C3380CC4-5D6E-409C-BE32-E72D297353CC}">
                  <c16:uniqueId val="{00000002-A1A8-4363-B72A-B3D094CF06F3}"/>
                </c:ext>
              </c:extLst>
            </c:dLbl>
            <c:delete val="1"/>
            <c:spPr>
              <a:noFill/>
              <a:ln>
                <a:noFill/>
              </a:ln>
              <a:effectLst/>
            </c:spPr>
            <c:txPr>
              <a:bodyPr/>
              <a:lstStyle/>
              <a:p>
                <a:pPr>
                  <a:defRPr sz="800">
                    <a:latin typeface="Arial" pitchFamily="34" charset="0"/>
                    <a:cs typeface="Arial" pitchFamily="34" charset="0"/>
                  </a:defRPr>
                </a:pPr>
                <a:endParaRPr lang="ar-SA"/>
              </a:p>
            </c:txPr>
            <c:dLblPos val="t"/>
            <c:extLst xmlns:c16r2="http://schemas.microsoft.com/office/drawing/2015/06/chart">
              <c:ext xmlns:c15="http://schemas.microsoft.com/office/drawing/2012/chart" uri="{CE6537A1-D6FC-4f65-9D91-7224C49458BB}">
                <c15:showLeaderLines val="1"/>
              </c:ext>
            </c:extLst>
          </c:dLbls>
          <c:cat>
            <c:strRef>
              <c:f>Sheet1!$A$2:$A$11</c:f>
              <c:strCache>
                <c:ptCount val="10"/>
                <c:pt idx="0">
                  <c:v>Q1-2018</c:v>
                </c:pt>
                <c:pt idx="1">
                  <c:v>Q2- 2018</c:v>
                </c:pt>
                <c:pt idx="2">
                  <c:v>Q3-2018</c:v>
                </c:pt>
                <c:pt idx="3">
                  <c:v>Q4-2018</c:v>
                </c:pt>
                <c:pt idx="4">
                  <c:v>Q1-2019</c:v>
                </c:pt>
                <c:pt idx="5">
                  <c:v>Q2-2019</c:v>
                </c:pt>
                <c:pt idx="6">
                  <c:v>Q3-2019</c:v>
                </c:pt>
                <c:pt idx="7">
                  <c:v>Q4-2019</c:v>
                </c:pt>
                <c:pt idx="8">
                  <c:v>Q1- 2020</c:v>
                </c:pt>
                <c:pt idx="9">
                  <c:v>Q2- 2020</c:v>
                </c:pt>
              </c:strCache>
            </c:strRef>
          </c:cat>
          <c:val>
            <c:numRef>
              <c:f>Sheet1!$C$2:$C$11</c:f>
              <c:numCache>
                <c:formatCode>General</c:formatCode>
                <c:ptCount val="10"/>
                <c:pt idx="0">
                  <c:v>18.100000000000001</c:v>
                </c:pt>
                <c:pt idx="1">
                  <c:v>18.5</c:v>
                </c:pt>
                <c:pt idx="2">
                  <c:v>17</c:v>
                </c:pt>
                <c:pt idx="3">
                  <c:v>15.8</c:v>
                </c:pt>
                <c:pt idx="4">
                  <c:v>16.399999999999999</c:v>
                </c:pt>
                <c:pt idx="5" formatCode="0.0">
                  <c:v>15</c:v>
                </c:pt>
                <c:pt idx="6" formatCode="0.0">
                  <c:v>13.3</c:v>
                </c:pt>
                <c:pt idx="7">
                  <c:v>13.7</c:v>
                </c:pt>
                <c:pt idx="8">
                  <c:v>14.2</c:v>
                </c:pt>
                <c:pt idx="9">
                  <c:v>14.8</c:v>
                </c:pt>
              </c:numCache>
            </c:numRef>
          </c:val>
          <c:extLst xmlns:c16r2="http://schemas.microsoft.com/office/drawing/2015/06/chart">
            <c:ext xmlns:c16="http://schemas.microsoft.com/office/drawing/2014/chart" uri="{C3380CC4-5D6E-409C-BE32-E72D297353CC}">
              <c16:uniqueId val="{00000008-E900-432D-A08D-93AD913EB584}"/>
            </c:ext>
          </c:extLst>
        </c:ser>
        <c:ser>
          <c:idx val="2"/>
          <c:order val="2"/>
          <c:tx>
            <c:strRef>
              <c:f>Sheet1!$D$1</c:f>
              <c:strCache>
                <c:ptCount val="1"/>
                <c:pt idx="0">
                  <c:v>Gaza Strip</c:v>
                </c:pt>
              </c:strCache>
            </c:strRef>
          </c:tx>
          <c:dLbls>
            <c:dLbl>
              <c:idx val="0"/>
              <c:layout>
                <c:manualLayout>
                  <c:x val="-6.8274920345926901E-2"/>
                  <c:y val="-5.4623488099882954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E900-432D-A08D-93AD913EB584}"/>
                </c:ext>
              </c:extLst>
            </c:dLbl>
            <c:dLbl>
              <c:idx val="9"/>
              <c:layout>
                <c:manualLayout>
                  <c:x val="-5.4120541205411973E-2"/>
                  <c:y val="-2.4691358024691398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A1A8-4363-B72A-B3D094CF06F3}"/>
                </c:ext>
              </c:extLst>
            </c:dLbl>
            <c:delete val="1"/>
            <c:spPr>
              <a:noFill/>
              <a:ln>
                <a:noFill/>
              </a:ln>
              <a:effectLst/>
            </c:spPr>
            <c:txPr>
              <a:bodyPr/>
              <a:lstStyle/>
              <a:p>
                <a:pPr>
                  <a:defRPr sz="800">
                    <a:latin typeface="Arial" pitchFamily="34" charset="0"/>
                    <a:cs typeface="Arial" pitchFamily="34" charset="0"/>
                  </a:defRPr>
                </a:pPr>
                <a:endParaRPr lang="ar-SA"/>
              </a:p>
            </c:txPr>
            <c:extLst xmlns:c16r2="http://schemas.microsoft.com/office/drawing/2015/06/chart">
              <c:ext xmlns:c15="http://schemas.microsoft.com/office/drawing/2012/chart" uri="{CE6537A1-D6FC-4f65-9D91-7224C49458BB}">
                <c15:showLeaderLines val="1"/>
              </c:ext>
            </c:extLst>
          </c:dLbls>
          <c:cat>
            <c:strRef>
              <c:f>Sheet1!$A$2:$A$11</c:f>
              <c:strCache>
                <c:ptCount val="10"/>
                <c:pt idx="0">
                  <c:v>Q1-2018</c:v>
                </c:pt>
                <c:pt idx="1">
                  <c:v>Q2- 2018</c:v>
                </c:pt>
                <c:pt idx="2">
                  <c:v>Q3-2018</c:v>
                </c:pt>
                <c:pt idx="3">
                  <c:v>Q4-2018</c:v>
                </c:pt>
                <c:pt idx="4">
                  <c:v>Q1-2019</c:v>
                </c:pt>
                <c:pt idx="5">
                  <c:v>Q2-2019</c:v>
                </c:pt>
                <c:pt idx="6">
                  <c:v>Q3-2019</c:v>
                </c:pt>
                <c:pt idx="7">
                  <c:v>Q4-2019</c:v>
                </c:pt>
                <c:pt idx="8">
                  <c:v>Q1- 2020</c:v>
                </c:pt>
                <c:pt idx="9">
                  <c:v>Q2- 2020</c:v>
                </c:pt>
              </c:strCache>
            </c:strRef>
          </c:cat>
          <c:val>
            <c:numRef>
              <c:f>Sheet1!$D$2:$D$11</c:f>
              <c:numCache>
                <c:formatCode>General</c:formatCode>
                <c:ptCount val="10"/>
                <c:pt idx="0">
                  <c:v>41.7</c:v>
                </c:pt>
                <c:pt idx="1">
                  <c:v>44.3</c:v>
                </c:pt>
                <c:pt idx="2">
                  <c:v>45.9</c:v>
                </c:pt>
                <c:pt idx="3">
                  <c:v>40.9</c:v>
                </c:pt>
                <c:pt idx="4">
                  <c:v>46.3</c:v>
                </c:pt>
                <c:pt idx="5">
                  <c:v>46.7</c:v>
                </c:pt>
                <c:pt idx="6">
                  <c:v>45.1</c:v>
                </c:pt>
                <c:pt idx="7">
                  <c:v>42.7</c:v>
                </c:pt>
                <c:pt idx="8">
                  <c:v>45.5</c:v>
                </c:pt>
                <c:pt idx="9" formatCode="#,##0.0">
                  <c:v>49</c:v>
                </c:pt>
              </c:numCache>
            </c:numRef>
          </c:val>
          <c:extLst xmlns:c16r2="http://schemas.microsoft.com/office/drawing/2015/06/chart">
            <c:ext xmlns:c16="http://schemas.microsoft.com/office/drawing/2014/chart" uri="{C3380CC4-5D6E-409C-BE32-E72D297353CC}">
              <c16:uniqueId val="{0000000B-E900-432D-A08D-93AD913EB584}"/>
            </c:ext>
          </c:extLst>
        </c:ser>
        <c:marker val="1"/>
        <c:axId val="77494528"/>
        <c:axId val="77520896"/>
      </c:lineChart>
      <c:catAx>
        <c:axId val="77494528"/>
        <c:scaling>
          <c:orientation val="minMax"/>
        </c:scaling>
        <c:axPos val="b"/>
        <c:numFmt formatCode="General" sourceLinked="0"/>
        <c:tickLblPos val="nextTo"/>
        <c:txPr>
          <a:bodyPr/>
          <a:lstStyle/>
          <a:p>
            <a:pPr>
              <a:defRPr sz="900"/>
            </a:pPr>
            <a:endParaRPr lang="ar-SA"/>
          </a:p>
        </c:txPr>
        <c:crossAx val="77520896"/>
        <c:crosses val="autoZero"/>
        <c:auto val="1"/>
        <c:lblAlgn val="ctr"/>
        <c:lblOffset val="100"/>
      </c:catAx>
      <c:valAx>
        <c:axId val="77520896"/>
        <c:scaling>
          <c:orientation val="minMax"/>
        </c:scaling>
        <c:axPos val="l"/>
        <c:numFmt formatCode="General" sourceLinked="1"/>
        <c:tickLblPos val="nextTo"/>
        <c:txPr>
          <a:bodyPr/>
          <a:lstStyle/>
          <a:p>
            <a:pPr>
              <a:defRPr sz="900"/>
            </a:pPr>
            <a:endParaRPr lang="ar-SA"/>
          </a:p>
        </c:txPr>
        <c:crossAx val="77494528"/>
        <c:crosses val="autoZero"/>
        <c:crossBetween val="between"/>
      </c:valAx>
    </c:plotArea>
    <c:legend>
      <c:legendPos val="r"/>
      <c:layout>
        <c:manualLayout>
          <c:xMode val="edge"/>
          <c:yMode val="edge"/>
          <c:x val="0.11965172437249202"/>
          <c:y val="0.57770580808081295"/>
          <c:w val="0.64918383357062015"/>
          <c:h val="0.11762247474747529"/>
        </c:manualLayout>
      </c:layout>
      <c:txPr>
        <a:bodyPr/>
        <a:lstStyle/>
        <a:p>
          <a:pPr>
            <a:defRPr sz="700"/>
          </a:pPr>
          <a:endParaRPr lang="ar-SA"/>
        </a:p>
      </c:txPr>
    </c:legend>
    <c:plotVisOnly val="1"/>
    <c:dispBlanksAs val="gap"/>
  </c:chart>
  <c:spPr>
    <a:ln cap="rnd">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4CCEA-8D7D-491B-926A-04160153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1038</Words>
  <Characters>5918</Characters>
  <Application>Microsoft Office Word</Application>
  <DocSecurity>0</DocSecurity>
  <Lines>49</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6943</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saadi</dc:creator>
  <cp:lastModifiedBy>loays</cp:lastModifiedBy>
  <cp:revision>3</cp:revision>
  <cp:lastPrinted>2020-09-09T10:10:00Z</cp:lastPrinted>
  <dcterms:created xsi:type="dcterms:W3CDTF">2020-09-09T10:44:00Z</dcterms:created>
  <dcterms:modified xsi:type="dcterms:W3CDTF">2020-09-09T10:53:00Z</dcterms:modified>
</cp:coreProperties>
</file>