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C8" w:rsidRDefault="00DF4AC8" w:rsidP="00F57CCE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DF4AC8" w:rsidRDefault="00DF4AC8" w:rsidP="00F57CCE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  <w:rtl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F57CCE" w:rsidRPr="00F57CCE" w:rsidRDefault="00F57CCE" w:rsidP="00F57CCE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16"/>
          <w:szCs w:val="16"/>
          <w:rtl/>
        </w:rPr>
      </w:pPr>
    </w:p>
    <w:p w:rsidR="00F57CCE" w:rsidRPr="00B74829" w:rsidRDefault="00971E0B" w:rsidP="00F57CCE">
      <w:pPr>
        <w:tabs>
          <w:tab w:val="center" w:pos="4513"/>
          <w:tab w:val="right" w:pos="9027"/>
        </w:tabs>
        <w:spacing w:after="240"/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B74829">
        <w:rPr>
          <w:rFonts w:asciiTheme="majorBidi" w:hAnsiTheme="majorBidi" w:cstheme="majorBidi"/>
          <w:i w:val="0"/>
          <w:iCs/>
          <w:sz w:val="28"/>
          <w:szCs w:val="28"/>
        </w:rPr>
        <w:t xml:space="preserve">An increase of imports </w:t>
      </w:r>
      <w:r w:rsidR="00327CE0" w:rsidRPr="00B74829">
        <w:rPr>
          <w:rFonts w:asciiTheme="majorBidi" w:hAnsiTheme="majorBidi" w:cstheme="majorBidi"/>
          <w:i w:val="0"/>
          <w:iCs/>
          <w:sz w:val="28"/>
          <w:szCs w:val="28"/>
        </w:rPr>
        <w:t>and</w:t>
      </w:r>
      <w:r w:rsidRPr="00B74829">
        <w:rPr>
          <w:rFonts w:asciiTheme="majorBidi" w:hAnsiTheme="majorBidi" w:cstheme="majorBidi"/>
          <w:i w:val="0"/>
          <w:iCs/>
          <w:sz w:val="28"/>
          <w:szCs w:val="28"/>
        </w:rPr>
        <w:t xml:space="preserve"> a sharp decline in</w:t>
      </w:r>
      <w:r w:rsidR="00327CE0" w:rsidRPr="00B74829">
        <w:rPr>
          <w:rFonts w:asciiTheme="majorBidi" w:hAnsiTheme="majorBidi" w:cstheme="majorBidi"/>
          <w:i w:val="0"/>
          <w:iCs/>
          <w:sz w:val="28"/>
          <w:szCs w:val="28"/>
        </w:rPr>
        <w:t xml:space="preserve"> net current transfers during the </w:t>
      </w:r>
      <w:r w:rsidR="00EE25B4" w:rsidRPr="00B74829">
        <w:rPr>
          <w:rFonts w:asciiTheme="majorBidi" w:hAnsiTheme="majorBidi" w:cstheme="majorBidi"/>
          <w:i w:val="0"/>
          <w:iCs/>
          <w:sz w:val="28"/>
          <w:szCs w:val="28"/>
        </w:rPr>
        <w:t>first</w:t>
      </w:r>
      <w:r w:rsidR="00327CE0" w:rsidRPr="00B74829">
        <w:rPr>
          <w:rFonts w:asciiTheme="majorBidi" w:hAnsiTheme="majorBidi" w:cstheme="majorBidi"/>
          <w:i w:val="0"/>
          <w:iCs/>
          <w:sz w:val="28"/>
          <w:szCs w:val="28"/>
        </w:rPr>
        <w:t xml:space="preserve"> quarter of </w:t>
      </w:r>
      <w:r w:rsidR="00EE25B4" w:rsidRPr="00B74829">
        <w:rPr>
          <w:rFonts w:asciiTheme="majorBidi" w:hAnsiTheme="majorBidi" w:cstheme="majorBidi"/>
          <w:i w:val="0"/>
          <w:iCs/>
          <w:sz w:val="28"/>
          <w:szCs w:val="28"/>
        </w:rPr>
        <w:t>2025</w:t>
      </w:r>
      <w:r w:rsidRPr="00B74829">
        <w:rPr>
          <w:rFonts w:asciiTheme="majorBidi" w:hAnsiTheme="majorBidi" w:cstheme="majorBidi"/>
          <w:i w:val="0"/>
          <w:iCs/>
          <w:sz w:val="28"/>
          <w:szCs w:val="28"/>
        </w:rPr>
        <w:t>, led to a sharp</w:t>
      </w:r>
      <w:r w:rsidR="00327CE0" w:rsidRPr="00B74829">
        <w:rPr>
          <w:rFonts w:asciiTheme="majorBidi" w:hAnsiTheme="majorBidi" w:cstheme="majorBidi"/>
          <w:i w:val="0"/>
          <w:iCs/>
          <w:sz w:val="28"/>
          <w:szCs w:val="28"/>
        </w:rPr>
        <w:t xml:space="preserve"> increase in the current account deficit, reaching USD </w:t>
      </w:r>
      <w:r w:rsidR="00410878" w:rsidRPr="00B74829">
        <w:rPr>
          <w:rFonts w:asciiTheme="majorBidi" w:hAnsiTheme="majorBidi" w:cstheme="majorBidi" w:hint="cs"/>
          <w:b w:val="0"/>
          <w:bCs/>
          <w:sz w:val="28"/>
          <w:szCs w:val="28"/>
          <w:rtl/>
        </w:rPr>
        <w:t>963</w:t>
      </w:r>
      <w:r w:rsidR="00327CE0" w:rsidRPr="00B74829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</w:p>
    <w:p w:rsidR="00BB2DD0" w:rsidRPr="00F57CCE" w:rsidRDefault="00D8421E" w:rsidP="00F57CCE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F57CCE">
        <w:rPr>
          <w:rFonts w:asciiTheme="majorBidi" w:hAnsiTheme="majorBidi" w:cstheme="majorBidi"/>
          <w:sz w:val="26"/>
          <w:szCs w:val="26"/>
        </w:rPr>
        <w:t xml:space="preserve">The Palestinian Central Bureau of Statistics (PCBS) and the Palestine Monetary Authority (PMA) announced the preliminary results of the Palestinian Balance of Payments (BoP) for the </w:t>
      </w:r>
      <w:r w:rsidR="00EE25B4" w:rsidRPr="00F57CCE">
        <w:rPr>
          <w:rFonts w:asciiTheme="majorBidi" w:hAnsiTheme="majorBidi" w:cstheme="majorBidi"/>
          <w:sz w:val="26"/>
          <w:szCs w:val="26"/>
        </w:rPr>
        <w:t>first</w:t>
      </w:r>
      <w:r w:rsidR="00EF3090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Pr="00F57CCE">
        <w:rPr>
          <w:rFonts w:asciiTheme="majorBidi" w:hAnsiTheme="majorBidi" w:cstheme="majorBidi"/>
          <w:sz w:val="26"/>
          <w:szCs w:val="26"/>
        </w:rPr>
        <w:t xml:space="preserve">quarter of </w:t>
      </w:r>
      <w:r w:rsidR="00EE25B4" w:rsidRPr="00F57CCE">
        <w:rPr>
          <w:rFonts w:asciiTheme="majorBidi" w:hAnsiTheme="majorBidi" w:cstheme="majorBidi"/>
          <w:sz w:val="26"/>
          <w:szCs w:val="26"/>
        </w:rPr>
        <w:t>2025</w:t>
      </w:r>
      <w:r w:rsidRPr="00F57CCE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F57CCE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F57CCE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F57CCE">
        <w:rPr>
          <w:rFonts w:asciiTheme="majorBidi" w:hAnsiTheme="majorBidi" w:cstheme="majorBidi"/>
          <w:sz w:val="26"/>
          <w:szCs w:val="26"/>
        </w:rPr>
        <w:t>those</w:t>
      </w:r>
      <w:r w:rsidR="007E6926" w:rsidRPr="00F57CCE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F57CCE">
        <w:rPr>
          <w:rFonts w:asciiTheme="majorBidi" w:hAnsiTheme="majorBidi" w:cstheme="majorBidi"/>
          <w:sz w:val="26"/>
          <w:szCs w:val="26"/>
        </w:rPr>
        <w:t>s</w:t>
      </w:r>
      <w:r w:rsidR="007E6926" w:rsidRPr="00F57CCE">
        <w:rPr>
          <w:rFonts w:asciiTheme="majorBidi" w:hAnsiTheme="majorBidi" w:cstheme="majorBidi"/>
          <w:sz w:val="26"/>
          <w:szCs w:val="26"/>
        </w:rPr>
        <w:t xml:space="preserve"> of </w:t>
      </w:r>
      <w:r w:rsidR="002136CF" w:rsidRPr="00F57CCE">
        <w:rPr>
          <w:rFonts w:asciiTheme="majorBidi" w:hAnsiTheme="majorBidi" w:cstheme="majorBidi"/>
          <w:sz w:val="26"/>
          <w:szCs w:val="26"/>
        </w:rPr>
        <w:t>Jerusalem</w:t>
      </w:r>
      <w:r w:rsidR="002136CF" w:rsidRPr="00F57CCE">
        <w:rPr>
          <w:rFonts w:asciiTheme="majorBidi" w:hAnsiTheme="majorBidi" w:cstheme="majorBidi" w:hint="cs"/>
          <w:sz w:val="26"/>
          <w:szCs w:val="26"/>
          <w:rtl/>
        </w:rPr>
        <w:t xml:space="preserve">, </w:t>
      </w:r>
      <w:r w:rsidR="002136CF" w:rsidRPr="00F57CCE">
        <w:rPr>
          <w:rFonts w:asciiTheme="majorBidi" w:hAnsiTheme="majorBidi" w:cstheme="majorBidi" w:hint="cs"/>
          <w:sz w:val="26"/>
          <w:szCs w:val="26"/>
        </w:rPr>
        <w:t>whic</w:t>
      </w:r>
      <w:r w:rsidR="002136CF" w:rsidRPr="00F57CCE">
        <w:rPr>
          <w:rFonts w:asciiTheme="majorBidi" w:hAnsiTheme="majorBidi" w:cstheme="majorBidi"/>
          <w:sz w:val="26"/>
          <w:szCs w:val="26"/>
        </w:rPr>
        <w:t>h</w:t>
      </w:r>
      <w:r w:rsidR="007E6926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A36A82" w:rsidRPr="00F57CCE">
        <w:rPr>
          <w:rFonts w:asciiTheme="majorBidi" w:hAnsiTheme="majorBidi" w:cstheme="majorBidi"/>
          <w:sz w:val="26"/>
          <w:szCs w:val="26"/>
        </w:rPr>
        <w:t>were</w:t>
      </w:r>
      <w:r w:rsidR="007E6926" w:rsidRPr="00F57CCE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F57CCE">
        <w:rPr>
          <w:rFonts w:asciiTheme="majorBidi" w:hAnsiTheme="majorBidi" w:cstheme="majorBidi"/>
          <w:sz w:val="26"/>
          <w:szCs w:val="26"/>
        </w:rPr>
        <w:t>i</w:t>
      </w:r>
      <w:r w:rsidR="007E6926" w:rsidRPr="00F57CCE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A4219E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C12404" w:rsidRPr="00F57CCE" w:rsidRDefault="002A2AEE" w:rsidP="00410878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F57CCE">
        <w:rPr>
          <w:rFonts w:asciiTheme="majorBidi" w:hAnsiTheme="majorBidi" w:cstheme="majorBidi"/>
          <w:sz w:val="26"/>
          <w:szCs w:val="26"/>
          <w:lang w:val="en-GB"/>
        </w:rPr>
        <w:t xml:space="preserve">Preliminary data for the balance of payments in the </w:t>
      </w:r>
      <w:r w:rsidR="00EE25B4" w:rsidRPr="00F57CCE">
        <w:rPr>
          <w:rFonts w:asciiTheme="majorBidi" w:hAnsiTheme="majorBidi" w:cstheme="majorBidi"/>
          <w:sz w:val="26"/>
          <w:szCs w:val="26"/>
        </w:rPr>
        <w:t>first</w:t>
      </w:r>
      <w:r w:rsidR="003F61FB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Pr="00F57CCE">
        <w:rPr>
          <w:rFonts w:asciiTheme="majorBidi" w:hAnsiTheme="majorBidi" w:cstheme="majorBidi"/>
          <w:sz w:val="26"/>
          <w:szCs w:val="26"/>
          <w:lang w:val="en-GB"/>
        </w:rPr>
        <w:t xml:space="preserve">quarter of </w:t>
      </w:r>
      <w:r w:rsidR="00EE25B4" w:rsidRPr="00F57CCE">
        <w:rPr>
          <w:rFonts w:asciiTheme="majorBidi" w:hAnsiTheme="majorBidi" w:cstheme="majorBidi"/>
          <w:sz w:val="26"/>
          <w:szCs w:val="26"/>
          <w:lang w:val="en-GB"/>
        </w:rPr>
        <w:t>2025</w:t>
      </w:r>
      <w:r w:rsidRPr="00F57CCE">
        <w:rPr>
          <w:rFonts w:asciiTheme="majorBidi" w:hAnsiTheme="majorBidi" w:cstheme="majorBidi"/>
          <w:sz w:val="26"/>
          <w:szCs w:val="26"/>
          <w:lang w:val="en-GB"/>
        </w:rPr>
        <w:t xml:space="preserve"> indicate a continued deficit in the current account (goods, services, income, and current transfers), amounting to </w:t>
      </w:r>
      <w:r w:rsidRPr="00F57CCE">
        <w:rPr>
          <w:rFonts w:asciiTheme="majorBidi" w:hAnsiTheme="majorBidi" w:cstheme="majorBidi"/>
          <w:sz w:val="26"/>
          <w:szCs w:val="26"/>
        </w:rPr>
        <w:t xml:space="preserve">USD </w:t>
      </w:r>
      <w:r w:rsidR="00410878" w:rsidRPr="00F57CCE">
        <w:rPr>
          <w:rFonts w:asciiTheme="majorBidi" w:hAnsiTheme="majorBidi" w:cstheme="majorBidi" w:hint="cs"/>
          <w:sz w:val="26"/>
          <w:szCs w:val="26"/>
          <w:rtl/>
          <w:lang w:val="en-GB"/>
        </w:rPr>
        <w:t>963</w:t>
      </w:r>
      <w:r w:rsidRPr="00F57CC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12404" w:rsidRPr="00F57CCE">
        <w:rPr>
          <w:rFonts w:asciiTheme="majorBidi" w:hAnsiTheme="majorBidi" w:cstheme="majorBidi"/>
          <w:sz w:val="26"/>
          <w:szCs w:val="26"/>
        </w:rPr>
        <w:t>million</w:t>
      </w:r>
      <w:r w:rsidR="00A30BC6" w:rsidRPr="00F57CCE">
        <w:rPr>
          <w:rFonts w:asciiTheme="majorBidi" w:hAnsiTheme="majorBidi" w:cstheme="majorBidi"/>
          <w:sz w:val="26"/>
          <w:szCs w:val="26"/>
        </w:rPr>
        <w:t xml:space="preserve"> with</w:t>
      </w:r>
      <w:r w:rsidR="00011671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8E0CD1" w:rsidRPr="00F57CCE">
        <w:rPr>
          <w:rFonts w:asciiTheme="majorBidi" w:hAnsiTheme="majorBidi" w:cstheme="majorBidi"/>
          <w:sz w:val="26"/>
          <w:szCs w:val="26"/>
        </w:rPr>
        <w:t>a sharp</w:t>
      </w:r>
      <w:r w:rsidR="00011671" w:rsidRPr="00F57CCE">
        <w:rPr>
          <w:rFonts w:asciiTheme="majorBidi" w:hAnsiTheme="majorBidi" w:cstheme="majorBidi"/>
          <w:sz w:val="26"/>
          <w:szCs w:val="26"/>
        </w:rPr>
        <w:t xml:space="preserve"> increase of </w:t>
      </w:r>
      <w:r w:rsidR="00410878" w:rsidRPr="00F57CCE">
        <w:rPr>
          <w:rFonts w:asciiTheme="majorBidi" w:hAnsiTheme="majorBidi" w:cstheme="majorBidi" w:hint="cs"/>
          <w:sz w:val="26"/>
          <w:szCs w:val="26"/>
          <w:rtl/>
        </w:rPr>
        <w:t>101</w:t>
      </w:r>
      <w:r w:rsidR="00011671" w:rsidRPr="00F57CCE">
        <w:rPr>
          <w:rFonts w:asciiTheme="majorBidi" w:hAnsiTheme="majorBidi" w:cstheme="majorBidi"/>
          <w:sz w:val="26"/>
          <w:szCs w:val="26"/>
        </w:rPr>
        <w:t xml:space="preserve">% compared to the </w:t>
      </w:r>
      <w:r w:rsidR="008E0CD1" w:rsidRPr="00F57CCE">
        <w:rPr>
          <w:rFonts w:asciiTheme="majorBidi" w:hAnsiTheme="majorBidi" w:cstheme="majorBidi"/>
          <w:sz w:val="26"/>
          <w:szCs w:val="26"/>
        </w:rPr>
        <w:t>previous quarter</w:t>
      </w:r>
      <w:r w:rsidRPr="00F57CCE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  <w:r w:rsidR="00BC6B2B" w:rsidRPr="00F57CCE">
        <w:rPr>
          <w:rFonts w:asciiTheme="majorBidi" w:hAnsiTheme="majorBidi" w:cstheme="majorBidi"/>
          <w:sz w:val="26"/>
          <w:szCs w:val="26"/>
        </w:rPr>
        <w:t>The trade balance deficit for goods reached USD 1,3</w:t>
      </w:r>
      <w:r w:rsidR="008E0CD1" w:rsidRPr="00F57CCE">
        <w:rPr>
          <w:rFonts w:asciiTheme="majorBidi" w:hAnsiTheme="majorBidi" w:cstheme="majorBidi" w:hint="cs"/>
          <w:sz w:val="26"/>
          <w:szCs w:val="26"/>
          <w:rtl/>
        </w:rPr>
        <w:t>4</w:t>
      </w:r>
      <w:r w:rsidR="00410878" w:rsidRPr="00F57CCE">
        <w:rPr>
          <w:rFonts w:asciiTheme="majorBidi" w:hAnsiTheme="majorBidi" w:cstheme="majorBidi" w:hint="cs"/>
          <w:sz w:val="26"/>
          <w:szCs w:val="26"/>
          <w:rtl/>
        </w:rPr>
        <w:t>0</w:t>
      </w:r>
      <w:r w:rsidR="00BC6B2B" w:rsidRPr="00F57CCE">
        <w:rPr>
          <w:rFonts w:asciiTheme="majorBidi" w:hAnsiTheme="majorBidi" w:cstheme="majorBidi"/>
          <w:sz w:val="26"/>
          <w:szCs w:val="26"/>
        </w:rPr>
        <w:t xml:space="preserve"> million, in addition to a services balance deficit of USD </w:t>
      </w:r>
      <w:r w:rsidR="00410878" w:rsidRPr="00F57CCE">
        <w:rPr>
          <w:rFonts w:asciiTheme="majorBidi" w:hAnsiTheme="majorBidi" w:cstheme="majorBidi" w:hint="cs"/>
          <w:sz w:val="26"/>
          <w:szCs w:val="26"/>
          <w:rtl/>
        </w:rPr>
        <w:t>263</w:t>
      </w:r>
      <w:r w:rsidR="00BC6B2B" w:rsidRPr="00F57CCE">
        <w:rPr>
          <w:rFonts w:asciiTheme="majorBidi" w:hAnsiTheme="majorBidi" w:cstheme="majorBidi"/>
          <w:sz w:val="26"/>
          <w:szCs w:val="26"/>
        </w:rPr>
        <w:t xml:space="preserve"> million.</w:t>
      </w:r>
    </w:p>
    <w:p w:rsidR="00C12404" w:rsidRPr="00A4219E" w:rsidRDefault="00C12404" w:rsidP="00C12404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12F7" w:rsidRPr="00F57CCE" w:rsidRDefault="00EE4371" w:rsidP="00972E19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F57CCE">
        <w:rPr>
          <w:rFonts w:asciiTheme="majorBidi" w:hAnsiTheme="majorBidi" w:cstheme="majorBidi"/>
          <w:sz w:val="26"/>
          <w:szCs w:val="26"/>
          <w:lang w:val="en-GB"/>
        </w:rPr>
        <w:t xml:space="preserve">The data indicates an </w:t>
      </w:r>
      <w:r w:rsidR="002A2AEE" w:rsidRPr="00F57CCE">
        <w:rPr>
          <w:rFonts w:asciiTheme="majorBidi" w:hAnsiTheme="majorBidi" w:cstheme="majorBidi"/>
          <w:sz w:val="26"/>
          <w:szCs w:val="26"/>
          <w:lang w:val="en-GB"/>
        </w:rPr>
        <w:t>in</w:t>
      </w:r>
      <w:r w:rsidRPr="00F57CCE">
        <w:rPr>
          <w:rFonts w:asciiTheme="majorBidi" w:hAnsiTheme="majorBidi" w:cstheme="majorBidi"/>
          <w:sz w:val="26"/>
          <w:szCs w:val="26"/>
          <w:lang w:val="en-GB"/>
        </w:rPr>
        <w:t>crease in</w:t>
      </w:r>
      <w:r w:rsidR="002A2AEE" w:rsidRPr="00F57CCE">
        <w:rPr>
          <w:rFonts w:asciiTheme="majorBidi" w:hAnsiTheme="majorBidi" w:cstheme="majorBidi"/>
          <w:sz w:val="26"/>
          <w:szCs w:val="26"/>
          <w:lang w:val="en-GB"/>
        </w:rPr>
        <w:t xml:space="preserve"> the net income account during the </w:t>
      </w:r>
      <w:r w:rsidR="00EE25B4" w:rsidRPr="00F57CCE">
        <w:rPr>
          <w:rFonts w:asciiTheme="majorBidi" w:hAnsiTheme="majorBidi" w:cstheme="majorBidi"/>
          <w:sz w:val="26"/>
          <w:szCs w:val="26"/>
          <w:lang w:val="en-GB"/>
        </w:rPr>
        <w:t>first</w:t>
      </w:r>
      <w:r w:rsidR="003F61FB" w:rsidRPr="00F57CC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2A2AEE" w:rsidRPr="00F57CCE">
        <w:rPr>
          <w:rFonts w:asciiTheme="majorBidi" w:hAnsiTheme="majorBidi" w:cstheme="majorBidi"/>
          <w:sz w:val="26"/>
          <w:szCs w:val="26"/>
          <w:lang w:val="en-GB"/>
        </w:rPr>
        <w:t xml:space="preserve">quarter of </w:t>
      </w:r>
      <w:r w:rsidR="00EE25B4" w:rsidRPr="00F57CCE">
        <w:rPr>
          <w:rFonts w:asciiTheme="majorBidi" w:hAnsiTheme="majorBidi" w:cstheme="majorBidi"/>
          <w:sz w:val="26"/>
          <w:szCs w:val="26"/>
          <w:lang w:val="en-GB"/>
        </w:rPr>
        <w:t>2025</w:t>
      </w:r>
      <w:r w:rsidR="002A2AEE" w:rsidRPr="00F57CCE">
        <w:rPr>
          <w:rFonts w:asciiTheme="majorBidi" w:hAnsiTheme="majorBidi" w:cstheme="majorBidi"/>
          <w:sz w:val="26"/>
          <w:szCs w:val="26"/>
          <w:lang w:val="en-GB"/>
        </w:rPr>
        <w:t xml:space="preserve"> by </w:t>
      </w:r>
      <w:r w:rsidRPr="00F57CCE">
        <w:rPr>
          <w:rFonts w:asciiTheme="majorBidi" w:hAnsiTheme="majorBidi" w:cstheme="majorBidi"/>
          <w:sz w:val="26"/>
          <w:szCs w:val="26"/>
          <w:lang w:val="en-GB"/>
        </w:rPr>
        <w:t>12</w:t>
      </w:r>
      <w:r w:rsidR="002A2AEE" w:rsidRPr="00F57CCE">
        <w:rPr>
          <w:rFonts w:asciiTheme="majorBidi" w:hAnsiTheme="majorBidi" w:cstheme="majorBidi"/>
          <w:sz w:val="26"/>
          <w:szCs w:val="26"/>
          <w:lang w:val="en-GB"/>
        </w:rPr>
        <w:t xml:space="preserve">% compared to the </w:t>
      </w:r>
      <w:r w:rsidRPr="00F57CCE">
        <w:rPr>
          <w:rFonts w:asciiTheme="majorBidi" w:hAnsiTheme="majorBidi" w:cstheme="majorBidi"/>
          <w:sz w:val="26"/>
          <w:szCs w:val="26"/>
          <w:lang w:val="en-GB"/>
        </w:rPr>
        <w:t>previous quarter</w:t>
      </w:r>
      <w:r w:rsidR="002A2AEE" w:rsidRPr="00F57CCE">
        <w:rPr>
          <w:rFonts w:asciiTheme="majorBidi" w:hAnsiTheme="majorBidi" w:cstheme="majorBidi"/>
          <w:sz w:val="26"/>
          <w:szCs w:val="26"/>
          <w:lang w:val="en-GB"/>
        </w:rPr>
        <w:t xml:space="preserve">, reaching USD </w:t>
      </w:r>
      <w:r w:rsidR="00972E19" w:rsidRPr="00F57CCE">
        <w:rPr>
          <w:rFonts w:asciiTheme="majorBidi" w:hAnsiTheme="majorBidi" w:cstheme="majorBidi" w:hint="cs"/>
          <w:sz w:val="26"/>
          <w:szCs w:val="26"/>
          <w:rtl/>
          <w:lang w:val="en-GB"/>
        </w:rPr>
        <w:t>253</w:t>
      </w:r>
      <w:r w:rsidR="002A2AEE" w:rsidRPr="00F57CCE">
        <w:rPr>
          <w:rFonts w:asciiTheme="majorBidi" w:hAnsiTheme="majorBidi" w:cstheme="majorBidi"/>
          <w:sz w:val="26"/>
          <w:szCs w:val="26"/>
          <w:lang w:val="en-GB"/>
        </w:rPr>
        <w:t xml:space="preserve"> million. </w:t>
      </w:r>
      <w:r w:rsidR="00A34F5B" w:rsidRPr="00F57CCE">
        <w:rPr>
          <w:rFonts w:asciiTheme="majorBidi" w:hAnsiTheme="majorBidi" w:cstheme="majorBidi"/>
          <w:sz w:val="26"/>
          <w:szCs w:val="26"/>
          <w:lang w:val="en-GB"/>
        </w:rPr>
        <w:t xml:space="preserve">Whereas, compensation for </w:t>
      </w:r>
      <w:r w:rsidR="00A34F5B" w:rsidRPr="00F57CCE">
        <w:rPr>
          <w:rFonts w:asciiTheme="majorBidi" w:hAnsiTheme="majorBidi" w:cstheme="majorBidi"/>
          <w:sz w:val="26"/>
          <w:szCs w:val="26"/>
        </w:rPr>
        <w:t xml:space="preserve">Palestinian </w:t>
      </w:r>
      <w:r w:rsidR="00A34F5B" w:rsidRPr="00F57CCE">
        <w:rPr>
          <w:rFonts w:asciiTheme="majorBidi" w:hAnsiTheme="majorBidi" w:cstheme="majorBidi"/>
          <w:sz w:val="26"/>
          <w:szCs w:val="26"/>
          <w:lang w:val="en-GB"/>
        </w:rPr>
        <w:t>workers</w:t>
      </w:r>
      <w:r w:rsidR="00972E19" w:rsidRPr="00F57CCE">
        <w:rPr>
          <w:rFonts w:asciiTheme="majorBidi" w:hAnsiTheme="majorBidi" w:cstheme="majorBidi"/>
          <w:sz w:val="26"/>
          <w:szCs w:val="26"/>
          <w:lang w:val="en-GB"/>
        </w:rPr>
        <w:t xml:space="preserve"> in Israel</w:t>
      </w:r>
      <w:r w:rsidR="00972E19" w:rsidRPr="00F57CCE">
        <w:rPr>
          <w:rFonts w:asciiTheme="majorBidi" w:hAnsiTheme="majorBidi" w:cstheme="majorBidi"/>
          <w:sz w:val="26"/>
          <w:szCs w:val="26"/>
        </w:rPr>
        <w:t xml:space="preserve"> increased</w:t>
      </w:r>
      <w:r w:rsidR="00A34F5B" w:rsidRPr="00F57CCE">
        <w:rPr>
          <w:rFonts w:asciiTheme="majorBidi" w:hAnsiTheme="majorBidi" w:cstheme="majorBidi"/>
          <w:sz w:val="26"/>
          <w:szCs w:val="26"/>
          <w:lang w:val="en-GB"/>
        </w:rPr>
        <w:t xml:space="preserve"> by </w:t>
      </w:r>
      <w:r w:rsidR="00972E19" w:rsidRPr="00F57CCE">
        <w:rPr>
          <w:rFonts w:asciiTheme="majorBidi" w:hAnsiTheme="majorBidi" w:cstheme="majorBidi"/>
          <w:sz w:val="26"/>
          <w:szCs w:val="26"/>
          <w:lang w:val="en-GB"/>
        </w:rPr>
        <w:t>11</w:t>
      </w:r>
      <w:r w:rsidR="00A34F5B" w:rsidRPr="00F57CCE">
        <w:rPr>
          <w:rFonts w:asciiTheme="majorBidi" w:hAnsiTheme="majorBidi" w:cstheme="majorBidi"/>
          <w:sz w:val="26"/>
          <w:szCs w:val="26"/>
          <w:lang w:val="en-GB"/>
        </w:rPr>
        <w:t xml:space="preserve">% compared to the </w:t>
      </w:r>
      <w:r w:rsidR="00972E19" w:rsidRPr="00F57CCE">
        <w:rPr>
          <w:rFonts w:asciiTheme="majorBidi" w:hAnsiTheme="majorBidi" w:cstheme="majorBidi"/>
          <w:sz w:val="26"/>
          <w:szCs w:val="26"/>
          <w:lang w:val="en-GB"/>
        </w:rPr>
        <w:t xml:space="preserve">previous </w:t>
      </w:r>
      <w:r w:rsidR="00A34F5B" w:rsidRPr="00F57CCE">
        <w:rPr>
          <w:rFonts w:asciiTheme="majorBidi" w:hAnsiTheme="majorBidi" w:cstheme="majorBidi"/>
          <w:sz w:val="26"/>
          <w:szCs w:val="26"/>
          <w:lang w:val="en-GB"/>
        </w:rPr>
        <w:t xml:space="preserve">quarter reached </w:t>
      </w:r>
      <w:r w:rsidR="00A34F5B" w:rsidRPr="00F57CCE">
        <w:rPr>
          <w:rFonts w:asciiTheme="majorBidi" w:hAnsiTheme="majorBidi" w:cstheme="majorBidi"/>
          <w:sz w:val="26"/>
          <w:szCs w:val="26"/>
        </w:rPr>
        <w:t xml:space="preserve">USD </w:t>
      </w:r>
      <w:r w:rsidR="00972E19" w:rsidRPr="00F57CCE">
        <w:rPr>
          <w:rFonts w:asciiTheme="majorBidi" w:hAnsiTheme="majorBidi" w:cstheme="majorBidi"/>
          <w:sz w:val="26"/>
          <w:szCs w:val="26"/>
          <w:lang w:val="en-GB"/>
        </w:rPr>
        <w:t>183</w:t>
      </w:r>
      <w:r w:rsidR="00A34F5B" w:rsidRPr="00F57CCE">
        <w:rPr>
          <w:rFonts w:asciiTheme="majorBidi" w:hAnsiTheme="majorBidi" w:cstheme="majorBidi"/>
          <w:sz w:val="26"/>
          <w:szCs w:val="26"/>
          <w:lang w:val="en-GB"/>
        </w:rPr>
        <w:t xml:space="preserve"> million. </w:t>
      </w:r>
      <w:r w:rsidR="002A2AEE" w:rsidRPr="00F57CCE">
        <w:rPr>
          <w:rFonts w:asciiTheme="majorBidi" w:hAnsiTheme="majorBidi" w:cstheme="majorBidi"/>
          <w:sz w:val="26"/>
          <w:szCs w:val="26"/>
          <w:lang w:val="en-GB"/>
        </w:rPr>
        <w:t>Meanwhile, foreign investment income</w:t>
      </w:r>
      <w:r w:rsidR="00972E19" w:rsidRPr="00F57CCE">
        <w:rPr>
          <w:rFonts w:asciiTheme="majorBidi" w:hAnsiTheme="majorBidi" w:cstheme="majorBidi"/>
          <w:sz w:val="26"/>
          <w:szCs w:val="26"/>
        </w:rPr>
        <w:t xml:space="preserve"> decreased by 29%, </w:t>
      </w:r>
      <w:r w:rsidR="002A2AEE" w:rsidRPr="00F57CCE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972E19" w:rsidRPr="00F57CCE">
        <w:rPr>
          <w:rFonts w:asciiTheme="majorBidi" w:hAnsiTheme="majorBidi" w:cstheme="majorBidi"/>
          <w:sz w:val="26"/>
          <w:szCs w:val="26"/>
          <w:lang w:val="en-GB"/>
        </w:rPr>
        <w:t>reaching</w:t>
      </w:r>
      <w:r w:rsidR="002A2AEE" w:rsidRPr="00F57CCE">
        <w:rPr>
          <w:rFonts w:asciiTheme="majorBidi" w:hAnsiTheme="majorBidi" w:cstheme="majorBidi"/>
          <w:sz w:val="26"/>
          <w:szCs w:val="26"/>
          <w:lang w:val="en-GB"/>
        </w:rPr>
        <w:t xml:space="preserve"> USD </w:t>
      </w:r>
      <w:r w:rsidR="00972E19" w:rsidRPr="00F57CCE">
        <w:rPr>
          <w:rFonts w:asciiTheme="majorBidi" w:hAnsiTheme="majorBidi" w:cstheme="majorBidi"/>
          <w:sz w:val="26"/>
          <w:szCs w:val="26"/>
          <w:lang w:val="en-GB"/>
        </w:rPr>
        <w:t>91</w:t>
      </w:r>
      <w:r w:rsidR="002A2AEE" w:rsidRPr="00F57CCE">
        <w:rPr>
          <w:rFonts w:asciiTheme="majorBidi" w:hAnsiTheme="majorBidi" w:cstheme="majorBidi"/>
          <w:sz w:val="26"/>
          <w:szCs w:val="26"/>
          <w:lang w:val="en-GB"/>
        </w:rPr>
        <w:t xml:space="preserve"> million, primarily resulting from interest earned on Palestinian deposits in foreign banks.</w:t>
      </w:r>
    </w:p>
    <w:p w:rsidR="002A2AEE" w:rsidRPr="00A4219E" w:rsidRDefault="002A2AEE" w:rsidP="002A2AEE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107AC2" w:rsidRPr="00F57CCE" w:rsidRDefault="00107AC2" w:rsidP="00FE0BCA">
      <w:pPr>
        <w:pStyle w:val="BodyText"/>
        <w:bidi w:val="0"/>
        <w:jc w:val="both"/>
        <w:rPr>
          <w:rFonts w:asciiTheme="majorBidi" w:hAnsiTheme="majorBidi" w:cstheme="majorBidi"/>
          <w:sz w:val="28"/>
        </w:rPr>
      </w:pPr>
      <w:r w:rsidRPr="00F57CCE">
        <w:rPr>
          <w:rFonts w:asciiTheme="majorBidi" w:hAnsiTheme="majorBidi" w:cstheme="majorBidi"/>
          <w:b/>
          <w:iCs/>
          <w:sz w:val="28"/>
        </w:rPr>
        <w:t xml:space="preserve">A </w:t>
      </w:r>
      <w:r w:rsidR="00943FB0" w:rsidRPr="00F57CCE">
        <w:rPr>
          <w:rFonts w:asciiTheme="majorBidi" w:hAnsiTheme="majorBidi" w:cstheme="majorBidi"/>
          <w:b/>
          <w:iCs/>
          <w:sz w:val="28"/>
        </w:rPr>
        <w:t>sharp decline</w:t>
      </w:r>
      <w:r w:rsidRPr="00F57CCE">
        <w:rPr>
          <w:rFonts w:asciiTheme="majorBidi" w:hAnsiTheme="majorBidi" w:cstheme="majorBidi"/>
          <w:b/>
          <w:iCs/>
          <w:sz w:val="28"/>
        </w:rPr>
        <w:t xml:space="preserve"> of </w:t>
      </w:r>
      <w:r w:rsidR="00FE0BCA" w:rsidRPr="00F57CCE">
        <w:rPr>
          <w:rFonts w:asciiTheme="majorBidi" w:hAnsiTheme="majorBidi" w:cstheme="majorBidi"/>
          <w:b/>
          <w:iCs/>
          <w:sz w:val="28"/>
        </w:rPr>
        <w:t>25</w:t>
      </w:r>
      <w:r w:rsidRPr="00F57CCE">
        <w:rPr>
          <w:rFonts w:asciiTheme="majorBidi" w:hAnsiTheme="majorBidi" w:cstheme="majorBidi"/>
          <w:b/>
          <w:iCs/>
          <w:sz w:val="28"/>
        </w:rPr>
        <w:t xml:space="preserve">% was recorded in the net current transfers from abroad during the </w:t>
      </w:r>
      <w:r w:rsidR="00EE25B4" w:rsidRPr="00F57CCE">
        <w:rPr>
          <w:rFonts w:asciiTheme="majorBidi" w:hAnsiTheme="majorBidi" w:cstheme="majorBidi"/>
          <w:b/>
          <w:iCs/>
          <w:sz w:val="28"/>
        </w:rPr>
        <w:t>first</w:t>
      </w:r>
      <w:r w:rsidR="003F61FB" w:rsidRPr="00F57CCE">
        <w:rPr>
          <w:rFonts w:asciiTheme="majorBidi" w:hAnsiTheme="majorBidi" w:cstheme="majorBidi"/>
          <w:b/>
          <w:iCs/>
          <w:sz w:val="28"/>
        </w:rPr>
        <w:t xml:space="preserve"> </w:t>
      </w:r>
      <w:r w:rsidRPr="00F57CCE">
        <w:rPr>
          <w:rFonts w:asciiTheme="majorBidi" w:hAnsiTheme="majorBidi" w:cstheme="majorBidi"/>
          <w:b/>
          <w:iCs/>
          <w:sz w:val="28"/>
        </w:rPr>
        <w:t xml:space="preserve">quarter of </w:t>
      </w:r>
      <w:r w:rsidR="00EE25B4" w:rsidRPr="00F57CCE">
        <w:rPr>
          <w:rFonts w:asciiTheme="majorBidi" w:hAnsiTheme="majorBidi" w:cstheme="majorBidi"/>
          <w:b/>
          <w:iCs/>
          <w:sz w:val="28"/>
        </w:rPr>
        <w:t>2025</w:t>
      </w:r>
      <w:r w:rsidRPr="00F57CCE">
        <w:rPr>
          <w:rFonts w:asciiTheme="majorBidi" w:hAnsiTheme="majorBidi" w:cstheme="majorBidi"/>
          <w:b/>
          <w:iCs/>
          <w:sz w:val="28"/>
        </w:rPr>
        <w:t xml:space="preserve"> compared to the </w:t>
      </w:r>
      <w:r w:rsidR="00FE0BCA" w:rsidRPr="00F57CCE">
        <w:rPr>
          <w:rFonts w:asciiTheme="majorBidi" w:hAnsiTheme="majorBidi" w:cstheme="majorBidi"/>
          <w:b/>
          <w:iCs/>
          <w:sz w:val="28"/>
        </w:rPr>
        <w:t>previous</w:t>
      </w:r>
      <w:r w:rsidR="00651988" w:rsidRPr="00F57CCE">
        <w:rPr>
          <w:rFonts w:asciiTheme="majorBidi" w:hAnsiTheme="majorBidi" w:cstheme="majorBidi"/>
          <w:b/>
          <w:iCs/>
          <w:sz w:val="28"/>
        </w:rPr>
        <w:t xml:space="preserve"> </w:t>
      </w:r>
      <w:r w:rsidRPr="00F57CCE">
        <w:rPr>
          <w:rFonts w:asciiTheme="majorBidi" w:hAnsiTheme="majorBidi" w:cstheme="majorBidi"/>
          <w:b/>
          <w:iCs/>
          <w:sz w:val="28"/>
        </w:rPr>
        <w:t>quarter.</w:t>
      </w:r>
    </w:p>
    <w:p w:rsidR="00651988" w:rsidRPr="00F57CCE" w:rsidRDefault="00651988" w:rsidP="00651988">
      <w:pPr>
        <w:pStyle w:val="BodyText"/>
        <w:bidi w:val="0"/>
        <w:jc w:val="both"/>
        <w:rPr>
          <w:rFonts w:asciiTheme="majorBidi" w:hAnsiTheme="majorBidi" w:cstheme="majorBidi"/>
          <w:sz w:val="8"/>
          <w:szCs w:val="8"/>
        </w:rPr>
      </w:pPr>
    </w:p>
    <w:p w:rsidR="00E40AB8" w:rsidRPr="00F57CCE" w:rsidRDefault="00107AC2" w:rsidP="00272569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F57CCE">
        <w:rPr>
          <w:rFonts w:asciiTheme="majorBidi" w:hAnsiTheme="majorBidi" w:cstheme="majorBidi"/>
          <w:sz w:val="26"/>
          <w:szCs w:val="26"/>
        </w:rPr>
        <w:t xml:space="preserve">The data indicates a </w:t>
      </w:r>
      <w:r w:rsidR="009B1AF7" w:rsidRPr="00F57CCE">
        <w:rPr>
          <w:rFonts w:asciiTheme="majorBidi" w:hAnsiTheme="majorBidi" w:cstheme="majorBidi"/>
          <w:sz w:val="26"/>
          <w:szCs w:val="26"/>
        </w:rPr>
        <w:t>25</w:t>
      </w:r>
      <w:r w:rsidRPr="00F57CCE">
        <w:rPr>
          <w:rFonts w:asciiTheme="majorBidi" w:hAnsiTheme="majorBidi" w:cstheme="majorBidi"/>
          <w:sz w:val="26"/>
          <w:szCs w:val="26"/>
        </w:rPr>
        <w:t xml:space="preserve">% decrease in the net current transfers, reaching USD </w:t>
      </w:r>
      <w:r w:rsidR="00272569" w:rsidRPr="00F57CCE">
        <w:rPr>
          <w:rFonts w:asciiTheme="majorBidi" w:hAnsiTheme="majorBidi" w:cstheme="majorBidi" w:hint="cs"/>
          <w:sz w:val="26"/>
          <w:szCs w:val="26"/>
          <w:rtl/>
        </w:rPr>
        <w:t>387</w:t>
      </w:r>
      <w:r w:rsidRPr="00F57CCE">
        <w:rPr>
          <w:rFonts w:asciiTheme="majorBidi" w:hAnsiTheme="majorBidi" w:cstheme="majorBidi"/>
          <w:sz w:val="26"/>
          <w:szCs w:val="26"/>
        </w:rPr>
        <w:t xml:space="preserve"> million</w:t>
      </w:r>
      <w:r w:rsidR="00651988" w:rsidRPr="00F57CCE">
        <w:rPr>
          <w:rFonts w:asciiTheme="majorBidi" w:hAnsiTheme="majorBidi" w:cstheme="majorBidi"/>
          <w:sz w:val="26"/>
          <w:szCs w:val="26"/>
        </w:rPr>
        <w:t xml:space="preserve"> compared </w:t>
      </w:r>
      <w:r w:rsidR="00C71D5A" w:rsidRPr="00F57CCE">
        <w:rPr>
          <w:rFonts w:asciiTheme="majorBidi" w:hAnsiTheme="majorBidi" w:cstheme="majorBidi"/>
          <w:sz w:val="26"/>
          <w:szCs w:val="26"/>
        </w:rPr>
        <w:t>to the previous</w:t>
      </w:r>
      <w:r w:rsidR="00651988" w:rsidRPr="00F57CCE">
        <w:rPr>
          <w:rFonts w:asciiTheme="majorBidi" w:hAnsiTheme="majorBidi" w:cstheme="majorBidi"/>
          <w:sz w:val="26"/>
          <w:szCs w:val="26"/>
        </w:rPr>
        <w:t xml:space="preserve"> quarter</w:t>
      </w:r>
      <w:r w:rsidRPr="00F57CCE">
        <w:rPr>
          <w:rFonts w:asciiTheme="majorBidi" w:hAnsiTheme="majorBidi" w:cstheme="majorBidi"/>
          <w:sz w:val="26"/>
          <w:szCs w:val="26"/>
        </w:rPr>
        <w:t xml:space="preserve">. </w:t>
      </w:r>
      <w:r w:rsidR="002669FD" w:rsidRPr="00F57CCE">
        <w:rPr>
          <w:rFonts w:asciiTheme="majorBidi" w:hAnsiTheme="majorBidi" w:cstheme="majorBidi"/>
          <w:sz w:val="26"/>
          <w:szCs w:val="26"/>
        </w:rPr>
        <w:t>Where the net current transfers from abroad to</w:t>
      </w:r>
      <w:r w:rsidR="00C71D5A" w:rsidRPr="00F57CCE">
        <w:rPr>
          <w:rFonts w:asciiTheme="majorBidi" w:hAnsiTheme="majorBidi" w:cstheme="majorBidi"/>
          <w:sz w:val="26"/>
          <w:szCs w:val="26"/>
        </w:rPr>
        <w:t xml:space="preserve"> government sector decreased by 89% </w:t>
      </w:r>
      <w:r w:rsidR="008C5669" w:rsidRPr="00F57CCE">
        <w:rPr>
          <w:rFonts w:asciiTheme="majorBidi" w:hAnsiTheme="majorBidi" w:cstheme="majorBidi"/>
          <w:sz w:val="26"/>
          <w:szCs w:val="26"/>
        </w:rPr>
        <w:t xml:space="preserve">compared to the previous quarter, </w:t>
      </w:r>
      <w:r w:rsidR="00C71D5A" w:rsidRPr="00F57CCE">
        <w:rPr>
          <w:rFonts w:asciiTheme="majorBidi" w:hAnsiTheme="majorBidi" w:cstheme="majorBidi"/>
          <w:sz w:val="26"/>
          <w:szCs w:val="26"/>
        </w:rPr>
        <w:t>while increased to</w:t>
      </w:r>
      <w:r w:rsidR="002669FD" w:rsidRPr="00F57CCE">
        <w:rPr>
          <w:rFonts w:asciiTheme="majorBidi" w:hAnsiTheme="majorBidi" w:cstheme="majorBidi"/>
          <w:sz w:val="26"/>
          <w:szCs w:val="26"/>
        </w:rPr>
        <w:t xml:space="preserve"> other sectors (non-governmental) by </w:t>
      </w:r>
      <w:r w:rsidR="00272569" w:rsidRPr="00F57CCE">
        <w:rPr>
          <w:rFonts w:asciiTheme="majorBidi" w:hAnsiTheme="majorBidi" w:cstheme="majorBidi" w:hint="cs"/>
          <w:sz w:val="26"/>
          <w:szCs w:val="26"/>
          <w:rtl/>
        </w:rPr>
        <w:t>53</w:t>
      </w:r>
      <w:r w:rsidR="002669FD" w:rsidRPr="00F57CCE">
        <w:rPr>
          <w:rFonts w:asciiTheme="majorBidi" w:hAnsiTheme="majorBidi" w:cstheme="majorBidi"/>
          <w:sz w:val="26"/>
          <w:szCs w:val="26"/>
        </w:rPr>
        <w:t>%</w:t>
      </w:r>
      <w:r w:rsidRPr="00F57CCE">
        <w:rPr>
          <w:rFonts w:asciiTheme="majorBidi" w:hAnsiTheme="majorBidi" w:cstheme="majorBidi"/>
          <w:sz w:val="26"/>
          <w:szCs w:val="26"/>
        </w:rPr>
        <w:t xml:space="preserve">. It is noted that current transfers to the government sector accounted for only </w:t>
      </w:r>
      <w:r w:rsidR="008C5669" w:rsidRPr="00F57CCE">
        <w:rPr>
          <w:rFonts w:asciiTheme="majorBidi" w:hAnsiTheme="majorBidi" w:cstheme="majorBidi"/>
          <w:sz w:val="26"/>
          <w:szCs w:val="26"/>
        </w:rPr>
        <w:t>8</w:t>
      </w:r>
      <w:r w:rsidRPr="00F57CCE">
        <w:rPr>
          <w:rFonts w:asciiTheme="majorBidi" w:hAnsiTheme="majorBidi" w:cstheme="majorBidi"/>
          <w:sz w:val="26"/>
          <w:szCs w:val="26"/>
        </w:rPr>
        <w:t xml:space="preserve">% of the total current transfers from abroad, while transfers to other sectors constituted </w:t>
      </w:r>
      <w:r w:rsidR="008C5669" w:rsidRPr="00F57CCE">
        <w:rPr>
          <w:rFonts w:asciiTheme="majorBidi" w:hAnsiTheme="majorBidi" w:cstheme="majorBidi"/>
          <w:sz w:val="26"/>
          <w:szCs w:val="26"/>
        </w:rPr>
        <w:t>92</w:t>
      </w:r>
      <w:r w:rsidRPr="00F57CCE">
        <w:rPr>
          <w:rFonts w:asciiTheme="majorBidi" w:hAnsiTheme="majorBidi" w:cstheme="majorBidi"/>
          <w:sz w:val="26"/>
          <w:szCs w:val="26"/>
        </w:rPr>
        <w:t xml:space="preserve">%. It is worth mentioning that donor transfers represented only about </w:t>
      </w:r>
      <w:r w:rsidR="008C5669" w:rsidRPr="00F57CCE">
        <w:rPr>
          <w:rFonts w:asciiTheme="majorBidi" w:hAnsiTheme="majorBidi" w:cstheme="majorBidi"/>
          <w:sz w:val="26"/>
          <w:szCs w:val="26"/>
        </w:rPr>
        <w:t>41</w:t>
      </w:r>
      <w:r w:rsidRPr="00F57CCE">
        <w:rPr>
          <w:rFonts w:asciiTheme="majorBidi" w:hAnsiTheme="majorBidi" w:cstheme="majorBidi"/>
          <w:sz w:val="26"/>
          <w:szCs w:val="26"/>
        </w:rPr>
        <w:t>% of the total current transfers from abroad.</w:t>
      </w:r>
    </w:p>
    <w:p w:rsidR="00107AC2" w:rsidRPr="00A4219E" w:rsidRDefault="00107AC2" w:rsidP="00107AC2">
      <w:pPr>
        <w:pStyle w:val="BodyText"/>
        <w:bidi w:val="0"/>
        <w:jc w:val="both"/>
        <w:rPr>
          <w:rFonts w:asciiTheme="majorBidi" w:hAnsiTheme="majorBidi" w:cstheme="majorBidi"/>
          <w:sz w:val="10"/>
          <w:szCs w:val="10"/>
          <w:rtl/>
        </w:rPr>
      </w:pPr>
    </w:p>
    <w:p w:rsidR="00986174" w:rsidRPr="00F57CCE" w:rsidRDefault="00E007BE" w:rsidP="00272569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F57CCE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F57CCE">
        <w:rPr>
          <w:rFonts w:asciiTheme="majorBidi" w:hAnsiTheme="majorBidi" w:cstheme="majorBidi"/>
          <w:sz w:val="26"/>
          <w:szCs w:val="26"/>
        </w:rPr>
        <w:t>preliminary</w:t>
      </w:r>
      <w:r w:rsidR="00EF3090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Pr="00F57CCE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F57CCE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F57CCE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F57CCE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F57CCE">
        <w:rPr>
          <w:rFonts w:asciiTheme="majorBidi" w:hAnsiTheme="majorBidi" w:cstheme="majorBidi"/>
          <w:sz w:val="26"/>
          <w:szCs w:val="26"/>
        </w:rPr>
        <w:t>ed</w:t>
      </w:r>
      <w:r w:rsidR="00EF3090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F57CCE">
        <w:rPr>
          <w:rFonts w:asciiTheme="majorBidi" w:hAnsiTheme="majorBidi" w:cstheme="majorBidi"/>
          <w:sz w:val="26"/>
          <w:szCs w:val="26"/>
        </w:rPr>
        <w:t xml:space="preserve">to USD </w:t>
      </w:r>
      <w:r w:rsidR="00272569" w:rsidRPr="00F57CCE">
        <w:rPr>
          <w:rFonts w:asciiTheme="majorBidi" w:hAnsiTheme="majorBidi" w:cstheme="majorBidi" w:hint="cs"/>
          <w:sz w:val="26"/>
          <w:szCs w:val="26"/>
          <w:rtl/>
        </w:rPr>
        <w:t>1620</w:t>
      </w:r>
      <w:r w:rsidR="00024CA3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F57CCE">
        <w:rPr>
          <w:rFonts w:asciiTheme="majorBidi" w:hAnsiTheme="majorBidi" w:cstheme="majorBidi"/>
          <w:sz w:val="26"/>
          <w:szCs w:val="26"/>
        </w:rPr>
        <w:t>million</w:t>
      </w:r>
      <w:r w:rsidR="0017537B" w:rsidRPr="00F57CCE">
        <w:rPr>
          <w:rFonts w:asciiTheme="majorBidi" w:hAnsiTheme="majorBidi" w:cstheme="majorBidi"/>
          <w:sz w:val="26"/>
          <w:szCs w:val="26"/>
        </w:rPr>
        <w:t>,</w:t>
      </w:r>
      <w:r w:rsidR="00024CA3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F57CCE">
        <w:rPr>
          <w:rFonts w:asciiTheme="majorBidi" w:hAnsiTheme="majorBidi" w:cstheme="majorBidi"/>
          <w:sz w:val="26"/>
          <w:szCs w:val="26"/>
        </w:rPr>
        <w:t xml:space="preserve">mainly caused by the surplus in </w:t>
      </w:r>
      <w:r w:rsidR="00787D7C" w:rsidRPr="00F57CCE">
        <w:rPr>
          <w:rFonts w:asciiTheme="majorBidi" w:hAnsiTheme="majorBidi" w:cstheme="majorBidi"/>
          <w:sz w:val="26"/>
          <w:szCs w:val="26"/>
        </w:rPr>
        <w:t xml:space="preserve">the </w:t>
      </w:r>
      <w:r w:rsidR="00065466" w:rsidRPr="00F57CCE">
        <w:rPr>
          <w:rFonts w:asciiTheme="majorBidi" w:hAnsiTheme="majorBidi" w:cstheme="majorBidi"/>
          <w:sz w:val="26"/>
          <w:szCs w:val="26"/>
        </w:rPr>
        <w:t>Financial</w:t>
      </w:r>
      <w:r w:rsidR="00BF4821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272569" w:rsidRPr="00F57CCE">
        <w:rPr>
          <w:rFonts w:asciiTheme="majorBidi" w:hAnsiTheme="majorBidi" w:cstheme="majorBidi"/>
          <w:sz w:val="26"/>
          <w:szCs w:val="26"/>
        </w:rPr>
        <w:t>Account, which</w:t>
      </w:r>
      <w:r w:rsidR="00F17FD5" w:rsidRPr="00F57CCE">
        <w:rPr>
          <w:rFonts w:asciiTheme="majorBidi" w:hAnsiTheme="majorBidi" w:cstheme="majorBidi"/>
          <w:sz w:val="26"/>
          <w:szCs w:val="26"/>
        </w:rPr>
        <w:t xml:space="preserve"> amounted to USD </w:t>
      </w:r>
      <w:r w:rsidR="00272569" w:rsidRPr="00F57CCE">
        <w:rPr>
          <w:rFonts w:asciiTheme="majorBidi" w:hAnsiTheme="majorBidi" w:cstheme="majorBidi" w:hint="cs"/>
          <w:sz w:val="26"/>
          <w:szCs w:val="26"/>
          <w:rtl/>
        </w:rPr>
        <w:t>1555</w:t>
      </w:r>
      <w:r w:rsidR="00F17FD5" w:rsidRPr="00F57CCE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F57CCE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F57CCE">
        <w:rPr>
          <w:rFonts w:asciiTheme="majorBidi" w:hAnsiTheme="majorBidi" w:cstheme="majorBidi"/>
          <w:sz w:val="26"/>
          <w:szCs w:val="26"/>
        </w:rPr>
        <w:t xml:space="preserve">There </w:t>
      </w:r>
      <w:r w:rsidRPr="00F57CCE">
        <w:rPr>
          <w:rFonts w:asciiTheme="majorBidi" w:hAnsiTheme="majorBidi" w:cstheme="majorBidi"/>
          <w:sz w:val="26"/>
          <w:szCs w:val="26"/>
        </w:rPr>
        <w:t>was a</w:t>
      </w:r>
      <w:r w:rsidR="00272569" w:rsidRPr="00F57CCE">
        <w:rPr>
          <w:rFonts w:asciiTheme="majorBidi" w:hAnsiTheme="majorBidi" w:cstheme="majorBidi"/>
          <w:sz w:val="26"/>
          <w:szCs w:val="26"/>
        </w:rPr>
        <w:t>n increase</w:t>
      </w:r>
      <w:r w:rsidR="00D45F2C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013A84" w:rsidRPr="00F57CCE">
        <w:rPr>
          <w:rFonts w:asciiTheme="majorBidi" w:hAnsiTheme="majorBidi" w:cstheme="majorBidi"/>
          <w:sz w:val="26"/>
          <w:szCs w:val="26"/>
        </w:rPr>
        <w:t>in the</w:t>
      </w:r>
      <w:r w:rsidR="00EF3090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F57CCE">
        <w:rPr>
          <w:rFonts w:asciiTheme="majorBidi" w:hAnsiTheme="majorBidi" w:cstheme="majorBidi"/>
          <w:sz w:val="26"/>
          <w:szCs w:val="26"/>
        </w:rPr>
        <w:t>r</w:t>
      </w:r>
      <w:r w:rsidR="001862D7" w:rsidRPr="00F57CCE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F57CCE">
        <w:rPr>
          <w:rFonts w:asciiTheme="majorBidi" w:hAnsiTheme="majorBidi" w:cstheme="majorBidi"/>
          <w:sz w:val="26"/>
          <w:szCs w:val="26"/>
        </w:rPr>
        <w:t>a</w:t>
      </w:r>
      <w:r w:rsidR="001862D7" w:rsidRPr="00F57CCE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F57CCE">
        <w:rPr>
          <w:rFonts w:asciiTheme="majorBidi" w:hAnsiTheme="majorBidi" w:cstheme="majorBidi"/>
          <w:sz w:val="26"/>
          <w:szCs w:val="26"/>
        </w:rPr>
        <w:t>at PMA</w:t>
      </w:r>
      <w:r w:rsidR="006239FE" w:rsidRPr="00F57CCE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F57CCE">
        <w:rPr>
          <w:rFonts w:asciiTheme="majorBidi" w:hAnsiTheme="majorBidi" w:cstheme="majorBidi"/>
          <w:sz w:val="26"/>
          <w:szCs w:val="26"/>
        </w:rPr>
        <w:t>ed</w:t>
      </w:r>
      <w:r w:rsidR="00EF3090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F57CCE">
        <w:rPr>
          <w:rFonts w:asciiTheme="majorBidi" w:hAnsiTheme="majorBidi" w:cstheme="majorBidi"/>
          <w:sz w:val="26"/>
          <w:szCs w:val="26"/>
        </w:rPr>
        <w:t>to USD</w:t>
      </w:r>
      <w:r w:rsidR="00024CA3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D45F2C" w:rsidRPr="00F57CCE">
        <w:rPr>
          <w:rFonts w:asciiTheme="majorBidi" w:hAnsiTheme="majorBidi" w:cstheme="majorBidi"/>
          <w:sz w:val="26"/>
          <w:szCs w:val="26"/>
        </w:rPr>
        <w:t>127</w:t>
      </w:r>
      <w:r w:rsidR="00EF3090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F57CCE">
        <w:rPr>
          <w:rFonts w:asciiTheme="majorBidi" w:hAnsiTheme="majorBidi" w:cstheme="majorBidi"/>
          <w:sz w:val="26"/>
          <w:szCs w:val="26"/>
        </w:rPr>
        <w:t>million</w:t>
      </w:r>
      <w:r w:rsidR="000C156F" w:rsidRPr="00F57CCE">
        <w:rPr>
          <w:rFonts w:asciiTheme="majorBidi" w:hAnsiTheme="majorBidi" w:cstheme="majorBidi"/>
          <w:sz w:val="26"/>
          <w:szCs w:val="26"/>
        </w:rPr>
        <w:t>,</w:t>
      </w:r>
      <w:r w:rsidR="0061614B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F57CCE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F57CCE">
        <w:rPr>
          <w:rFonts w:asciiTheme="majorBidi" w:hAnsiTheme="majorBidi" w:cstheme="majorBidi"/>
          <w:sz w:val="26"/>
          <w:szCs w:val="26"/>
        </w:rPr>
        <w:t>a</w:t>
      </w:r>
      <w:r w:rsidR="00191B8B" w:rsidRPr="00F57CCE">
        <w:rPr>
          <w:rFonts w:asciiTheme="majorBidi" w:hAnsiTheme="majorBidi" w:cstheme="majorBidi"/>
          <w:sz w:val="26"/>
          <w:szCs w:val="26"/>
        </w:rPr>
        <w:t xml:space="preserve"> de</w:t>
      </w:r>
      <w:r w:rsidR="003D5B8B" w:rsidRPr="00F57CCE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F57CCE">
        <w:rPr>
          <w:rFonts w:asciiTheme="majorBidi" w:hAnsiTheme="majorBidi" w:cstheme="majorBidi"/>
          <w:sz w:val="26"/>
          <w:szCs w:val="26"/>
        </w:rPr>
        <w:t>of</w:t>
      </w:r>
      <w:r w:rsidR="00EF3090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F57CCE">
        <w:rPr>
          <w:rFonts w:asciiTheme="majorBidi" w:hAnsiTheme="majorBidi" w:cstheme="majorBidi"/>
          <w:sz w:val="26"/>
          <w:szCs w:val="26"/>
        </w:rPr>
        <w:t>USD</w:t>
      </w:r>
      <w:r w:rsidR="00024CA3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D45F2C" w:rsidRPr="00F57CCE">
        <w:rPr>
          <w:rFonts w:asciiTheme="majorBidi" w:hAnsiTheme="majorBidi" w:cstheme="majorBidi"/>
          <w:sz w:val="26"/>
          <w:szCs w:val="26"/>
        </w:rPr>
        <w:t>30</w:t>
      </w:r>
      <w:r w:rsidR="00191B8B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F57CCE">
        <w:rPr>
          <w:rFonts w:asciiTheme="majorBidi" w:hAnsiTheme="majorBidi" w:cstheme="majorBidi"/>
          <w:sz w:val="26"/>
          <w:szCs w:val="26"/>
        </w:rPr>
        <w:t>million</w:t>
      </w:r>
      <w:r w:rsidR="00EF3090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F57CCE">
        <w:rPr>
          <w:rFonts w:asciiTheme="majorBidi" w:hAnsiTheme="majorBidi" w:cstheme="majorBidi"/>
          <w:sz w:val="26"/>
          <w:szCs w:val="26"/>
        </w:rPr>
        <w:t>in</w:t>
      </w:r>
      <w:r w:rsidR="00EF3090" w:rsidRPr="00F57CCE">
        <w:rPr>
          <w:rFonts w:asciiTheme="majorBidi" w:hAnsiTheme="majorBidi" w:cstheme="majorBidi"/>
          <w:sz w:val="26"/>
          <w:szCs w:val="26"/>
        </w:rPr>
        <w:t xml:space="preserve"> </w:t>
      </w:r>
      <w:r w:rsidRPr="00F57CCE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F57CCE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F57CCE">
        <w:rPr>
          <w:rFonts w:asciiTheme="majorBidi" w:hAnsiTheme="majorBidi" w:cstheme="majorBidi"/>
          <w:sz w:val="26"/>
          <w:szCs w:val="26"/>
        </w:rPr>
        <w:t>.</w:t>
      </w:r>
    </w:p>
    <w:p w:rsidR="00651988" w:rsidRPr="00A4219E" w:rsidRDefault="00651988" w:rsidP="00F8270B">
      <w:pPr>
        <w:pStyle w:val="BodyText"/>
        <w:bidi w:val="0"/>
        <w:jc w:val="both"/>
        <w:rPr>
          <w:rFonts w:asciiTheme="majorBidi" w:hAnsiTheme="majorBidi" w:cstheme="majorBidi"/>
          <w:sz w:val="10"/>
          <w:szCs w:val="10"/>
        </w:rPr>
      </w:pPr>
    </w:p>
    <w:p w:rsidR="00B74829" w:rsidRPr="00550237" w:rsidRDefault="003F586E" w:rsidP="00550237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  <w:r w:rsidRPr="00550237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550237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550237">
        <w:rPr>
          <w:rFonts w:asciiTheme="majorBidi" w:hAnsiTheme="majorBidi" w:cstheme="majorBidi"/>
          <w:sz w:val="26"/>
          <w:szCs w:val="26"/>
        </w:rPr>
        <w:t>ts (</w:t>
      </w:r>
      <w:r w:rsidR="00535915" w:rsidRPr="00550237">
        <w:rPr>
          <w:rFonts w:asciiTheme="majorBidi" w:hAnsiTheme="majorBidi" w:cstheme="majorBidi"/>
          <w:sz w:val="26"/>
          <w:szCs w:val="26"/>
        </w:rPr>
        <w:t>Bop</w:t>
      </w:r>
      <w:r w:rsidR="003D6FF3" w:rsidRPr="00550237">
        <w:rPr>
          <w:rFonts w:asciiTheme="majorBidi" w:hAnsiTheme="majorBidi" w:cstheme="majorBidi"/>
          <w:sz w:val="26"/>
          <w:szCs w:val="26"/>
        </w:rPr>
        <w:t xml:space="preserve">) </w:t>
      </w:r>
      <w:r w:rsidR="003D6FF3" w:rsidRPr="00550237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550237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550237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550237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550237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550237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550237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550237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550237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550237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55023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550237">
        <w:rPr>
          <w:rFonts w:asciiTheme="majorBidi" w:hAnsiTheme="majorBidi" w:cstheme="majorBidi"/>
          <w:sz w:val="26"/>
          <w:szCs w:val="26"/>
        </w:rPr>
        <w:t>This</w:t>
      </w:r>
      <w:r w:rsidR="000042EC" w:rsidRPr="00550237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550237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550237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550237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550237">
        <w:rPr>
          <w:rFonts w:asciiTheme="majorBidi" w:hAnsiTheme="majorBidi" w:cstheme="majorBidi"/>
          <w:sz w:val="26"/>
          <w:szCs w:val="26"/>
        </w:rPr>
        <w:t>to devise</w:t>
      </w:r>
      <w:r w:rsidR="00EF3090" w:rsidRPr="00550237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550237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550237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550237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550237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550237">
        <w:rPr>
          <w:rFonts w:asciiTheme="majorBidi" w:hAnsiTheme="majorBidi" w:cstheme="majorBidi"/>
          <w:sz w:val="26"/>
          <w:szCs w:val="26"/>
        </w:rPr>
        <w:t>external</w:t>
      </w:r>
      <w:r w:rsidR="00E16D50" w:rsidRPr="00550237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550237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550237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550237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550237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550237">
        <w:rPr>
          <w:rFonts w:asciiTheme="majorBidi" w:hAnsiTheme="majorBidi" w:cstheme="majorBidi"/>
          <w:sz w:val="26"/>
          <w:szCs w:val="26"/>
        </w:rPr>
        <w:t>. B</w:t>
      </w:r>
      <w:r w:rsidR="00C5265D" w:rsidRPr="00550237">
        <w:rPr>
          <w:rFonts w:asciiTheme="majorBidi" w:hAnsiTheme="majorBidi" w:cstheme="majorBidi"/>
          <w:sz w:val="26"/>
          <w:szCs w:val="26"/>
        </w:rPr>
        <w:t>o</w:t>
      </w:r>
      <w:r w:rsidR="00F60F15" w:rsidRPr="00550237">
        <w:rPr>
          <w:rFonts w:asciiTheme="majorBidi" w:hAnsiTheme="majorBidi" w:cstheme="majorBidi"/>
          <w:sz w:val="26"/>
          <w:szCs w:val="26"/>
        </w:rPr>
        <w:t>P</w:t>
      </w:r>
      <w:r w:rsidR="00EF3090" w:rsidRPr="00550237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550237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550237">
        <w:rPr>
          <w:rFonts w:asciiTheme="majorBidi" w:hAnsiTheme="majorBidi" w:cstheme="majorBidi"/>
          <w:sz w:val="26"/>
          <w:szCs w:val="26"/>
        </w:rPr>
        <w:t>was</w:t>
      </w:r>
      <w:r w:rsidR="00F60F15" w:rsidRPr="00550237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550237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550237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550237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550237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550237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550237">
        <w:rPr>
          <w:rFonts w:asciiTheme="majorBidi" w:hAnsiTheme="majorBidi" w:cstheme="majorBidi"/>
          <w:sz w:val="26"/>
          <w:szCs w:val="26"/>
        </w:rPr>
        <w:t>situation</w:t>
      </w:r>
      <w:r w:rsidR="00613DED" w:rsidRPr="00550237">
        <w:rPr>
          <w:rFonts w:asciiTheme="majorBidi" w:hAnsiTheme="majorBidi" w:cstheme="majorBidi"/>
          <w:sz w:val="26"/>
          <w:szCs w:val="26"/>
        </w:rPr>
        <w:t>.</w:t>
      </w:r>
    </w:p>
    <w:p w:rsidR="002136CF" w:rsidRDefault="002136CF" w:rsidP="002136CF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2136CF" w:rsidRPr="00550237" w:rsidRDefault="002136CF" w:rsidP="002136CF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 w:rsidRPr="00550237">
        <w:rPr>
          <w:rFonts w:asciiTheme="majorBidi" w:hAnsiTheme="majorBidi" w:cstheme="majorBidi"/>
          <w:b/>
          <w:bCs/>
          <w:szCs w:val="24"/>
        </w:rPr>
        <w:t>Note</w:t>
      </w:r>
      <w:r w:rsidRPr="00550237">
        <w:rPr>
          <w:rFonts w:asciiTheme="majorBidi" w:hAnsiTheme="majorBidi" w:cstheme="majorBidi"/>
          <w:szCs w:val="24"/>
        </w:rPr>
        <w:t>: Due to the uncertainty during this quarter, data may be revised in future quarters.</w:t>
      </w:r>
    </w:p>
    <w:p w:rsidR="004267CB" w:rsidRPr="00804C67" w:rsidRDefault="004267CB" w:rsidP="004267CB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B74829" w:rsidTr="00EE4371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19E" w:rsidRDefault="00A4219E" w:rsidP="002F6024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  <w:rtl/>
              </w:rPr>
            </w:pPr>
          </w:p>
          <w:p w:rsidR="00B74829" w:rsidRPr="00B74829" w:rsidRDefault="00B578D2" w:rsidP="002F6024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  <w:rtl/>
              </w:rPr>
            </w:pPr>
            <w:bookmarkStart w:id="0" w:name="_GoBack"/>
            <w:bookmarkEnd w:id="0"/>
            <w:r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Table 1: Balance of Payments In Palestine* </w:t>
            </w:r>
          </w:p>
          <w:p w:rsidR="00B578D2" w:rsidRPr="00B74829" w:rsidRDefault="00B578D2" w:rsidP="002F6024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for the </w:t>
            </w:r>
            <w:r w:rsidR="002F6024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fourth</w:t>
            </w:r>
            <w:r w:rsidR="003F61FB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6126DC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quarter </w:t>
            </w:r>
            <w:r w:rsidR="002F6024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20</w:t>
            </w:r>
            <w:r w:rsidR="008D06EE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2</w:t>
            </w:r>
            <w:r w:rsidR="002F6024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4</w:t>
            </w:r>
            <w:r w:rsidR="006126DC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560CAB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and the </w:t>
            </w:r>
            <w:r w:rsidR="00EE25B4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first</w:t>
            </w:r>
            <w:r w:rsidR="003F61FB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560CAB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quarter</w:t>
            </w:r>
            <w:r w:rsidR="001A4A43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  <w:lang w:val="en-GB"/>
              </w:rPr>
              <w:t>s</w:t>
            </w:r>
            <w:r w:rsidR="00560CAB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EE25B4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2025</w:t>
            </w:r>
          </w:p>
        </w:tc>
      </w:tr>
    </w:tbl>
    <w:p w:rsidR="00B769D0" w:rsidRPr="00B74829" w:rsidRDefault="00B769D0">
      <w:pPr>
        <w:rPr>
          <w:b w:val="0"/>
          <w:bCs/>
          <w:i w:val="0"/>
          <w:iCs/>
          <w:sz w:val="22"/>
          <w:szCs w:val="22"/>
          <w:rtl/>
        </w:rPr>
      </w:pPr>
    </w:p>
    <w:tbl>
      <w:tblPr>
        <w:tblW w:w="8033" w:type="dxa"/>
        <w:jc w:val="center"/>
        <w:tblLook w:val="04A0" w:firstRow="1" w:lastRow="0" w:firstColumn="1" w:lastColumn="0" w:noHBand="0" w:noVBand="1"/>
      </w:tblPr>
      <w:tblGrid>
        <w:gridCol w:w="4723"/>
        <w:gridCol w:w="1893"/>
        <w:gridCol w:w="1417"/>
      </w:tblGrid>
      <w:tr w:rsidR="002F6024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024" w:rsidRPr="00B74829" w:rsidRDefault="002F6024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024" w:rsidRPr="00B74829" w:rsidRDefault="002F6024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024" w:rsidRPr="00B74829" w:rsidRDefault="002F6024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2F6024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6024" w:rsidRPr="00B74829" w:rsidRDefault="002F6024" w:rsidP="00191B8B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24" w:rsidRPr="00B74829" w:rsidRDefault="002F6024" w:rsidP="002F6024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</w:rPr>
              <w:t>Q4-2024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24" w:rsidRPr="00B74829" w:rsidRDefault="002F6024" w:rsidP="002F6024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</w:rPr>
              <w:t>Q1-2025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-480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-963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 xml:space="preserve">  Goods (net)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1075</w:t>
            </w:r>
            <w:r w:rsidRPr="00B74829">
              <w:rPr>
                <w:rFonts w:asciiTheme="majorBidi" w:hAnsiTheme="majorBidi" w:cstheme="majorBidi"/>
                <w:i w:val="0"/>
                <w:iCs/>
                <w:rtl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-1340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645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1735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1985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 xml:space="preserve">  Services (net)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</w:rPr>
              <w:t>-210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-263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138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401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 xml:space="preserve">  Income (net)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</w:rPr>
              <w:t>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253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Receipts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287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Compensation of employees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196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</w:rPr>
              <w:t xml:space="preserve">            Of which from Israel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iCs/>
              </w:rPr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183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Investment income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91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Payments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34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 xml:space="preserve">  Current transfers (net)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</w:rPr>
              <w:t>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387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Inflows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448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To the government sector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34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24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To the other sectors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414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iCs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160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5748A1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Outflows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61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48A1" w:rsidRPr="00B74829" w:rsidRDefault="005748A1" w:rsidP="005748A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</w:rPr>
              <w:t>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1620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48A1" w:rsidRPr="00B74829" w:rsidRDefault="005748A1" w:rsidP="005748A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65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48A1" w:rsidRPr="00B74829" w:rsidRDefault="005748A1" w:rsidP="005748A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Capital transfers (net)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65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48A1" w:rsidRPr="00B74829" w:rsidRDefault="005748A1" w:rsidP="005748A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Inflows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65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48A1" w:rsidRPr="00B74829" w:rsidRDefault="005748A1" w:rsidP="005748A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government sector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16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48A1" w:rsidRPr="00B74829" w:rsidRDefault="005748A1" w:rsidP="005748A1">
            <w:pPr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</w:rPr>
              <w:t xml:space="preserve">                of which from Donors transfers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iCs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16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48A1" w:rsidRPr="00B74829" w:rsidRDefault="005748A1" w:rsidP="005748A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other sectors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49</w:t>
            </w:r>
          </w:p>
        </w:tc>
      </w:tr>
      <w:tr w:rsidR="005748A1" w:rsidRPr="00B74829" w:rsidTr="00B74829">
        <w:trPr>
          <w:trHeight w:val="330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748A1" w:rsidRPr="00B74829" w:rsidRDefault="005748A1" w:rsidP="005748A1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Outflows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5748A1" w:rsidRPr="00B74829" w:rsidTr="00B74829">
        <w:trPr>
          <w:trHeight w:val="337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A1" w:rsidRPr="00B74829" w:rsidRDefault="005748A1" w:rsidP="005748A1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right="454"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B74829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A1" w:rsidRPr="00B74829" w:rsidRDefault="005748A1" w:rsidP="00B74829">
            <w:pPr>
              <w:bidi/>
              <w:ind w:left="276"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</w:tbl>
    <w:p w:rsidR="00B74829" w:rsidRDefault="00B4280F" w:rsidP="00B74829">
      <w:pPr>
        <w:pStyle w:val="FootnoteText"/>
        <w:rPr>
          <w:rFonts w:asciiTheme="majorBidi" w:hAnsiTheme="majorBidi" w:cstheme="majorBidi"/>
          <w:b w:val="0"/>
          <w:bCs/>
          <w:i w:val="0"/>
          <w:iCs/>
          <w:noProof/>
          <w:sz w:val="24"/>
          <w:szCs w:val="24"/>
          <w:rtl/>
        </w:rPr>
      </w:pPr>
      <w:r w:rsidRPr="00B74829">
        <w:rPr>
          <w:rFonts w:asciiTheme="majorBidi" w:hAnsiTheme="majorBidi" w:cstheme="majorBidi"/>
          <w:b w:val="0"/>
          <w:bCs/>
          <w:i w:val="0"/>
          <w:iCs/>
          <w:noProof/>
          <w:sz w:val="24"/>
          <w:szCs w:val="24"/>
          <w:rtl/>
        </w:rPr>
        <w:t xml:space="preserve">  </w:t>
      </w:r>
    </w:p>
    <w:p w:rsidR="003427AC" w:rsidRPr="00B74829" w:rsidRDefault="00B74829" w:rsidP="00B74829">
      <w:pPr>
        <w:pStyle w:val="FootnoteText"/>
        <w:ind w:left="270" w:hanging="270"/>
        <w:rPr>
          <w:rFonts w:asciiTheme="majorBidi" w:hAnsiTheme="majorBidi" w:cstheme="majorBidi"/>
          <w:b w:val="0"/>
          <w:bCs/>
          <w:i w:val="0"/>
          <w:iCs/>
          <w:noProof/>
          <w:sz w:val="24"/>
          <w:szCs w:val="24"/>
        </w:rPr>
      </w:pPr>
      <w:r>
        <w:rPr>
          <w:rFonts w:asciiTheme="majorBidi" w:hAnsiTheme="majorBidi" w:cstheme="majorBidi" w:hint="cs"/>
          <w:b w:val="0"/>
          <w:bCs/>
          <w:i w:val="0"/>
          <w:iCs/>
          <w:noProof/>
          <w:sz w:val="24"/>
          <w:szCs w:val="24"/>
          <w:rtl/>
        </w:rPr>
        <w:t xml:space="preserve"> </w:t>
      </w:r>
      <w:r w:rsidR="00B4280F" w:rsidRPr="00B74829">
        <w:rPr>
          <w:rFonts w:asciiTheme="majorBidi" w:hAnsiTheme="majorBidi" w:cstheme="majorBidi"/>
          <w:b w:val="0"/>
          <w:bCs/>
          <w:i w:val="0"/>
          <w:iCs/>
          <w:noProof/>
          <w:sz w:val="24"/>
          <w:szCs w:val="24"/>
          <w:rtl/>
        </w:rPr>
        <w:t xml:space="preserve">* </w:t>
      </w:r>
      <w:r>
        <w:rPr>
          <w:rFonts w:asciiTheme="majorBidi" w:hAnsiTheme="majorBidi" w:cstheme="majorBidi" w:hint="cs"/>
          <w:b w:val="0"/>
          <w:bCs/>
          <w:i w:val="0"/>
          <w:iCs/>
          <w:noProof/>
          <w:sz w:val="24"/>
          <w:szCs w:val="24"/>
          <w:rtl/>
        </w:rPr>
        <w:t xml:space="preserve"> </w:t>
      </w:r>
      <w:r w:rsidR="003427AC" w:rsidRPr="00B74829">
        <w:rPr>
          <w:rFonts w:asciiTheme="majorBidi" w:hAnsiTheme="majorBidi" w:cstheme="majorBidi"/>
          <w:b w:val="0"/>
          <w:bCs/>
          <w:i w:val="0"/>
          <w:iCs/>
          <w:noProof/>
          <w:sz w:val="24"/>
          <w:szCs w:val="24"/>
        </w:rPr>
        <w:t xml:space="preserve">Data of </w:t>
      </w:r>
      <w:r w:rsidR="00EE25B4" w:rsidRPr="00B74829">
        <w:rPr>
          <w:rFonts w:asciiTheme="majorBidi" w:hAnsiTheme="majorBidi" w:cstheme="majorBidi"/>
          <w:b w:val="0"/>
          <w:bCs/>
          <w:i w:val="0"/>
          <w:iCs/>
          <w:noProof/>
          <w:sz w:val="24"/>
          <w:szCs w:val="24"/>
        </w:rPr>
        <w:t>first</w:t>
      </w:r>
      <w:r w:rsidR="003427AC" w:rsidRPr="00B74829">
        <w:rPr>
          <w:rFonts w:asciiTheme="majorBidi" w:hAnsiTheme="majorBidi" w:cstheme="majorBidi"/>
          <w:b w:val="0"/>
          <w:bCs/>
          <w:i w:val="0"/>
          <w:iCs/>
          <w:noProof/>
          <w:sz w:val="24"/>
          <w:szCs w:val="24"/>
        </w:rPr>
        <w:t xml:space="preserve"> quarter of 2023 are revised based on the actual annual data of balance of </w:t>
      </w:r>
      <w:r>
        <w:rPr>
          <w:rFonts w:asciiTheme="majorBidi" w:hAnsiTheme="majorBidi" w:cstheme="majorBidi" w:hint="cs"/>
          <w:b w:val="0"/>
          <w:bCs/>
          <w:i w:val="0"/>
          <w:iCs/>
          <w:noProof/>
          <w:sz w:val="24"/>
          <w:szCs w:val="24"/>
          <w:rtl/>
        </w:rPr>
        <w:t xml:space="preserve">     </w:t>
      </w:r>
      <w:r w:rsidR="003427AC" w:rsidRPr="00B74829">
        <w:rPr>
          <w:rFonts w:asciiTheme="majorBidi" w:hAnsiTheme="majorBidi" w:cstheme="majorBidi"/>
          <w:b w:val="0"/>
          <w:bCs/>
          <w:i w:val="0"/>
          <w:iCs/>
          <w:noProof/>
          <w:sz w:val="24"/>
          <w:szCs w:val="24"/>
        </w:rPr>
        <w:t>payments for 2023</w: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B578D2" w:rsidRPr="00804C67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0237" w:rsidRDefault="00550237" w:rsidP="00710933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  <w:rtl/>
              </w:rPr>
            </w:pPr>
          </w:p>
          <w:p w:rsidR="00550237" w:rsidRDefault="00550237" w:rsidP="00710933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  <w:rtl/>
              </w:rPr>
            </w:pPr>
          </w:p>
          <w:p w:rsidR="00550237" w:rsidRDefault="00550237" w:rsidP="00710933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  <w:rtl/>
              </w:rPr>
            </w:pPr>
          </w:p>
          <w:p w:rsidR="00550237" w:rsidRDefault="00550237" w:rsidP="00710933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  <w:rtl/>
              </w:rPr>
            </w:pPr>
          </w:p>
          <w:p w:rsidR="00550237" w:rsidRDefault="00550237" w:rsidP="00710933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  <w:rtl/>
              </w:rPr>
            </w:pPr>
          </w:p>
          <w:p w:rsidR="00550237" w:rsidRDefault="00550237" w:rsidP="00710933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  <w:rtl/>
              </w:rPr>
            </w:pPr>
          </w:p>
          <w:p w:rsidR="00B74829" w:rsidRDefault="00B578D2" w:rsidP="00710933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  <w:rtl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Table 1 (Cont.): Balance of Payments In Palestine*</w:t>
            </w:r>
          </w:p>
          <w:p w:rsidR="00B578D2" w:rsidRPr="00B74829" w:rsidRDefault="00B578D2" w:rsidP="00710933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CB3849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for the fourth quarter </w:t>
            </w:r>
            <w:r w:rsidR="00710933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2024</w:t>
            </w:r>
            <w:r w:rsidR="00CB3849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and the first quarter</w:t>
            </w:r>
            <w:r w:rsidR="00CB3849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  <w:lang w:val="en-GB"/>
              </w:rPr>
              <w:t>s</w:t>
            </w:r>
            <w:r w:rsidR="00CB3849" w:rsidRPr="00B7482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2025</w:t>
            </w:r>
          </w:p>
        </w:tc>
      </w:tr>
    </w:tbl>
    <w:p w:rsidR="00BB40CB" w:rsidRPr="00804C67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8584" w:type="dxa"/>
        <w:jc w:val="center"/>
        <w:tblLook w:val="04A0" w:firstRow="1" w:lastRow="0" w:firstColumn="1" w:lastColumn="0" w:noHBand="0" w:noVBand="1"/>
      </w:tblPr>
      <w:tblGrid>
        <w:gridCol w:w="5837"/>
        <w:gridCol w:w="1419"/>
        <w:gridCol w:w="1328"/>
      </w:tblGrid>
      <w:tr w:rsidR="00CB3849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849" w:rsidRPr="00B74829" w:rsidRDefault="00CB3849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849" w:rsidRPr="00B74829" w:rsidRDefault="00CB3849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3849" w:rsidRPr="00B74829" w:rsidRDefault="00CB3849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CB3849" w:rsidRPr="00B74829" w:rsidTr="00550237">
        <w:trPr>
          <w:trHeight w:val="546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3849" w:rsidRPr="00B74829" w:rsidRDefault="00CB3849" w:rsidP="00EE4371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849" w:rsidRPr="00B74829" w:rsidRDefault="00CB3849" w:rsidP="00EE4371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</w:rPr>
              <w:t>Q4-2024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49" w:rsidRPr="00B74829" w:rsidRDefault="00CB3849" w:rsidP="00EE4371">
            <w:pPr>
              <w:bidi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</w:rPr>
              <w:t>Q1-2025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rtl/>
              </w:rPr>
              <w:t>362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1555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</w:rPr>
            </w:pPr>
            <w:r w:rsidRPr="00B74829">
              <w:rPr>
                <w:rFonts w:asciiTheme="majorBidi" w:hAnsiTheme="majorBidi" w:cstheme="majorBidi"/>
                <w:rtl/>
              </w:rPr>
              <w:t>1-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64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abroad (net)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</w:rPr>
            </w:pPr>
            <w:r w:rsidRPr="00B74829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-40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rtl/>
              </w:rPr>
              <w:t>1-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104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rtl/>
              </w:rPr>
              <w:t>36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120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rtl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128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rtl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-8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rtl/>
              </w:rPr>
              <w:t>297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i w:val="0"/>
                <w:iCs/>
              </w:rPr>
              <w:t>1498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rtl/>
              </w:rPr>
              <w:t>333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1480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rtl/>
              </w:rPr>
              <w:t>603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1248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rtl/>
              </w:rPr>
              <w:t>36-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18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</w:rPr>
              <w:t xml:space="preserve">            Of which Loans nonresidents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rtl/>
              </w:rPr>
              <w:t>34-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7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rtl/>
              </w:rPr>
              <w:t>3-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11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rtl/>
              </w:rPr>
              <w:t>11-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</w:t>
            </w:r>
            <w:r w:rsidRPr="00B74829">
              <w:rPr>
                <w:rFonts w:asciiTheme="majorBidi" w:hAnsiTheme="majorBidi" w:cstheme="majorBidi"/>
                <w:i w:val="0"/>
                <w:iCs/>
              </w:rPr>
              <w:t>657</w:t>
            </w:r>
          </w:p>
        </w:tc>
      </w:tr>
      <w:tr w:rsidR="00D028E6" w:rsidRPr="00B74829" w:rsidTr="00550237">
        <w:trPr>
          <w:trHeight w:val="591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rtl/>
              </w:rPr>
              <w:t>30-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rtl/>
              </w:rPr>
              <w:t>127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rtl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rtl/>
              </w:rPr>
              <w:t>127-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rtl/>
              </w:rPr>
              <w:t>0</w:t>
            </w:r>
          </w:p>
        </w:tc>
      </w:tr>
      <w:tr w:rsidR="00D028E6" w:rsidRPr="00B74829" w:rsidTr="00550237">
        <w:trPr>
          <w:trHeight w:val="480"/>
          <w:jc w:val="center"/>
        </w:trPr>
        <w:tc>
          <w:tcPr>
            <w:tcW w:w="5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D028E6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8E6" w:rsidRPr="00B74829" w:rsidRDefault="00D028E6" w:rsidP="00B74829">
            <w:pPr>
              <w:bidi/>
              <w:ind w:left="104" w:firstLineChars="100" w:firstLine="240"/>
              <w:jc w:val="center"/>
              <w:rPr>
                <w:rFonts w:asciiTheme="majorBidi" w:hAnsiTheme="majorBidi" w:cstheme="majorBidi"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rtl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8E6" w:rsidRPr="00B74829" w:rsidRDefault="00D028E6" w:rsidP="00B74829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rtl/>
              </w:rPr>
              <w:t>127-</w:t>
            </w:r>
          </w:p>
        </w:tc>
      </w:tr>
    </w:tbl>
    <w:p w:rsidR="00021DB6" w:rsidRPr="00804C67" w:rsidRDefault="00021DB6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8021" w:type="dxa"/>
        <w:jc w:val="center"/>
        <w:tblLayout w:type="fixed"/>
        <w:tblLook w:val="0000" w:firstRow="0" w:lastRow="0" w:firstColumn="0" w:lastColumn="0" w:noHBand="0" w:noVBand="0"/>
      </w:tblPr>
      <w:tblGrid>
        <w:gridCol w:w="8021"/>
      </w:tblGrid>
      <w:tr w:rsidR="00804C67" w:rsidRPr="00B74829" w:rsidTr="00B74829">
        <w:trPr>
          <w:trHeight w:val="299"/>
          <w:jc w:val="center"/>
        </w:trPr>
        <w:tc>
          <w:tcPr>
            <w:tcW w:w="8021" w:type="dxa"/>
            <w:vAlign w:val="center"/>
          </w:tcPr>
          <w:p w:rsidR="00327CC3" w:rsidRPr="00B74829" w:rsidRDefault="00327CC3" w:rsidP="00B74829">
            <w:pPr>
              <w:pStyle w:val="FootnoteText"/>
              <w:tabs>
                <w:tab w:val="left" w:pos="180"/>
              </w:tabs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  <w:t>*The data excludes those part of Jerusalem which were annexed by Israeli occupation in 1967.</w:t>
            </w:r>
          </w:p>
        </w:tc>
      </w:tr>
      <w:tr w:rsidR="00804C67" w:rsidRPr="00B74829" w:rsidTr="00B74829">
        <w:trPr>
          <w:trHeight w:val="421"/>
          <w:jc w:val="center"/>
        </w:trPr>
        <w:tc>
          <w:tcPr>
            <w:tcW w:w="8021" w:type="dxa"/>
            <w:vAlign w:val="center"/>
          </w:tcPr>
          <w:p w:rsidR="00327CC3" w:rsidRPr="00B74829" w:rsidRDefault="00327CC3" w:rsidP="00B74829">
            <w:pPr>
              <w:tabs>
                <w:tab w:val="left" w:pos="180"/>
              </w:tabs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**Include reserve assets.</w:t>
            </w:r>
          </w:p>
        </w:tc>
      </w:tr>
      <w:tr w:rsidR="00804C67" w:rsidRPr="00B74829" w:rsidTr="00B74829">
        <w:trPr>
          <w:trHeight w:val="567"/>
          <w:jc w:val="center"/>
        </w:trPr>
        <w:tc>
          <w:tcPr>
            <w:tcW w:w="8021" w:type="dxa"/>
            <w:vAlign w:val="center"/>
          </w:tcPr>
          <w:p w:rsidR="00327CC3" w:rsidRPr="00B74829" w:rsidRDefault="00327CC3" w:rsidP="00B74829">
            <w:pPr>
              <w:tabs>
                <w:tab w:val="left" w:pos="180"/>
              </w:tabs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***Currency and deposits: Including the cash of foreign currency in the banks and the deposits </w:t>
            </w:r>
          </w:p>
          <w:p w:rsidR="00327CC3" w:rsidRPr="00B74829" w:rsidRDefault="00327CC3" w:rsidP="00B74829">
            <w:pPr>
              <w:tabs>
                <w:tab w:val="left" w:pos="180"/>
              </w:tabs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  <w:lang w:val="en-GB"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of the Palestinian institutions deposited abroad.</w:t>
            </w:r>
          </w:p>
        </w:tc>
      </w:tr>
      <w:tr w:rsidR="00327CC3" w:rsidRPr="00B74829" w:rsidTr="00B74829">
        <w:trPr>
          <w:trHeight w:val="340"/>
          <w:jc w:val="center"/>
        </w:trPr>
        <w:tc>
          <w:tcPr>
            <w:tcW w:w="8021" w:type="dxa"/>
            <w:vAlign w:val="center"/>
          </w:tcPr>
          <w:p w:rsidR="00327CC3" w:rsidRPr="00B74829" w:rsidRDefault="00327CC3" w:rsidP="00B74829">
            <w:pPr>
              <w:tabs>
                <w:tab w:val="left" w:pos="180"/>
              </w:tabs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B7482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****Currency and deposits: Includes the deposits of non-residents deposited in Local banks.</w:t>
            </w:r>
          </w:p>
        </w:tc>
      </w:tr>
    </w:tbl>
    <w:p w:rsidR="00B578D2" w:rsidRPr="00B74829" w:rsidRDefault="00B578D2" w:rsidP="00B74829">
      <w:pPr>
        <w:pStyle w:val="BodyText"/>
        <w:tabs>
          <w:tab w:val="left" w:pos="180"/>
        </w:tabs>
        <w:bidi w:val="0"/>
        <w:jc w:val="both"/>
        <w:rPr>
          <w:rFonts w:asciiTheme="majorBidi" w:hAnsiTheme="majorBidi" w:cstheme="majorBidi"/>
          <w:iCs/>
          <w:sz w:val="36"/>
          <w:szCs w:val="36"/>
        </w:rPr>
      </w:pPr>
    </w:p>
    <w:sectPr w:rsidR="00B578D2" w:rsidRPr="00B74829" w:rsidSect="00550237">
      <w:footerReference w:type="default" r:id="rId8"/>
      <w:pgSz w:w="11907" w:h="16839" w:code="9"/>
      <w:pgMar w:top="720" w:right="1287" w:bottom="1440" w:left="1260" w:header="90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14B" w:rsidRDefault="00DE014B" w:rsidP="00885BEC">
      <w:r>
        <w:separator/>
      </w:r>
    </w:p>
  </w:endnote>
  <w:endnote w:type="continuationSeparator" w:id="0">
    <w:p w:rsidR="00DE014B" w:rsidRDefault="00DE014B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539952"/>
      <w:docPartObj>
        <w:docPartGallery w:val="Page Numbers (Bottom of Page)"/>
        <w:docPartUnique/>
      </w:docPartObj>
    </w:sdtPr>
    <w:sdtEndPr>
      <w:rPr>
        <w:i w:val="0"/>
        <w:iCs/>
        <w:noProof/>
      </w:rPr>
    </w:sdtEndPr>
    <w:sdtContent>
      <w:p w:rsidR="00A4219E" w:rsidRPr="00A4219E" w:rsidRDefault="00A4219E">
        <w:pPr>
          <w:pStyle w:val="Footer"/>
          <w:jc w:val="center"/>
          <w:rPr>
            <w:i w:val="0"/>
            <w:iCs/>
          </w:rPr>
        </w:pPr>
        <w:r w:rsidRPr="00A4219E">
          <w:rPr>
            <w:i w:val="0"/>
            <w:iCs/>
          </w:rPr>
          <w:fldChar w:fldCharType="begin"/>
        </w:r>
        <w:r w:rsidRPr="00A4219E">
          <w:rPr>
            <w:i w:val="0"/>
            <w:iCs/>
          </w:rPr>
          <w:instrText xml:space="preserve"> PAGE   \* MERGEFORMAT </w:instrText>
        </w:r>
        <w:r w:rsidRPr="00A4219E">
          <w:rPr>
            <w:i w:val="0"/>
            <w:iCs/>
          </w:rPr>
          <w:fldChar w:fldCharType="separate"/>
        </w:r>
        <w:r>
          <w:rPr>
            <w:i w:val="0"/>
            <w:iCs/>
            <w:noProof/>
          </w:rPr>
          <w:t>1</w:t>
        </w:r>
        <w:r w:rsidRPr="00A4219E">
          <w:rPr>
            <w:i w:val="0"/>
            <w:iCs/>
            <w:noProof/>
          </w:rPr>
          <w:fldChar w:fldCharType="end"/>
        </w:r>
      </w:p>
    </w:sdtContent>
  </w:sdt>
  <w:p w:rsidR="00A4219E" w:rsidRDefault="00A42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14B" w:rsidRDefault="00DE014B" w:rsidP="00885BEC">
      <w:r>
        <w:separator/>
      </w:r>
    </w:p>
  </w:footnote>
  <w:footnote w:type="continuationSeparator" w:id="0">
    <w:p w:rsidR="00DE014B" w:rsidRDefault="00DE014B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2B3"/>
    <w:multiLevelType w:val="hybridMultilevel"/>
    <w:tmpl w:val="2F1A72A2"/>
    <w:lvl w:ilvl="0" w:tplc="BDDE6662">
      <w:start w:val="870"/>
      <w:numFmt w:val="bullet"/>
      <w:lvlText w:val="*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357"/>
    <w:rsid w:val="00000446"/>
    <w:rsid w:val="000042EC"/>
    <w:rsid w:val="000072F1"/>
    <w:rsid w:val="0001167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3978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13EA"/>
    <w:rsid w:val="000621F0"/>
    <w:rsid w:val="00065419"/>
    <w:rsid w:val="00065466"/>
    <w:rsid w:val="00067AF3"/>
    <w:rsid w:val="00067DB7"/>
    <w:rsid w:val="0007068C"/>
    <w:rsid w:val="0007258D"/>
    <w:rsid w:val="00072644"/>
    <w:rsid w:val="00077AA7"/>
    <w:rsid w:val="0008002A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8AD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04F8"/>
    <w:rsid w:val="000E2A47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07AC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692"/>
    <w:rsid w:val="001609E2"/>
    <w:rsid w:val="00161954"/>
    <w:rsid w:val="00162E38"/>
    <w:rsid w:val="0016630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1B8B"/>
    <w:rsid w:val="001933C3"/>
    <w:rsid w:val="0019579D"/>
    <w:rsid w:val="00196708"/>
    <w:rsid w:val="0019799B"/>
    <w:rsid w:val="001979D9"/>
    <w:rsid w:val="001A3990"/>
    <w:rsid w:val="001A4A43"/>
    <w:rsid w:val="001A7542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1CA0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36CF"/>
    <w:rsid w:val="002168F8"/>
    <w:rsid w:val="00217614"/>
    <w:rsid w:val="002213AF"/>
    <w:rsid w:val="00222AF5"/>
    <w:rsid w:val="00224241"/>
    <w:rsid w:val="002245A3"/>
    <w:rsid w:val="002249E9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475C9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69FD"/>
    <w:rsid w:val="002671F3"/>
    <w:rsid w:val="00267601"/>
    <w:rsid w:val="002703DE"/>
    <w:rsid w:val="00270B06"/>
    <w:rsid w:val="00271B76"/>
    <w:rsid w:val="00272569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AEE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2F6024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27CE0"/>
    <w:rsid w:val="003312A1"/>
    <w:rsid w:val="00334E32"/>
    <w:rsid w:val="0033623F"/>
    <w:rsid w:val="0033635F"/>
    <w:rsid w:val="0034096B"/>
    <w:rsid w:val="003427AC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0EA9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61FB"/>
    <w:rsid w:val="003F701A"/>
    <w:rsid w:val="003F75A5"/>
    <w:rsid w:val="00400738"/>
    <w:rsid w:val="00402A43"/>
    <w:rsid w:val="00403BFD"/>
    <w:rsid w:val="00405552"/>
    <w:rsid w:val="00406F83"/>
    <w:rsid w:val="0040747F"/>
    <w:rsid w:val="004101FF"/>
    <w:rsid w:val="00410274"/>
    <w:rsid w:val="00410878"/>
    <w:rsid w:val="00411C10"/>
    <w:rsid w:val="00412B95"/>
    <w:rsid w:val="00420768"/>
    <w:rsid w:val="00420D89"/>
    <w:rsid w:val="004215CC"/>
    <w:rsid w:val="0042254C"/>
    <w:rsid w:val="004246CA"/>
    <w:rsid w:val="004267CB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47006"/>
    <w:rsid w:val="00450B29"/>
    <w:rsid w:val="00451315"/>
    <w:rsid w:val="004531AA"/>
    <w:rsid w:val="00453BCE"/>
    <w:rsid w:val="0045406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3944"/>
    <w:rsid w:val="00494846"/>
    <w:rsid w:val="00494AD4"/>
    <w:rsid w:val="004954C4"/>
    <w:rsid w:val="00496B58"/>
    <w:rsid w:val="004A16FB"/>
    <w:rsid w:val="004A6FCF"/>
    <w:rsid w:val="004B218C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205"/>
    <w:rsid w:val="004D1601"/>
    <w:rsid w:val="004D31DC"/>
    <w:rsid w:val="004D5A71"/>
    <w:rsid w:val="004E120D"/>
    <w:rsid w:val="004E2CDA"/>
    <w:rsid w:val="004E3896"/>
    <w:rsid w:val="004E55BF"/>
    <w:rsid w:val="004E625A"/>
    <w:rsid w:val="004F052B"/>
    <w:rsid w:val="004F0D99"/>
    <w:rsid w:val="004F1498"/>
    <w:rsid w:val="004F1663"/>
    <w:rsid w:val="004F3B71"/>
    <w:rsid w:val="004F4E08"/>
    <w:rsid w:val="004F69F1"/>
    <w:rsid w:val="004F701E"/>
    <w:rsid w:val="0050163C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5915"/>
    <w:rsid w:val="0053622D"/>
    <w:rsid w:val="00544D08"/>
    <w:rsid w:val="00545118"/>
    <w:rsid w:val="00550237"/>
    <w:rsid w:val="00550FEB"/>
    <w:rsid w:val="00552DE8"/>
    <w:rsid w:val="00553325"/>
    <w:rsid w:val="005540CE"/>
    <w:rsid w:val="00554D40"/>
    <w:rsid w:val="00557B46"/>
    <w:rsid w:val="00560543"/>
    <w:rsid w:val="00560CAB"/>
    <w:rsid w:val="005622E7"/>
    <w:rsid w:val="00562F38"/>
    <w:rsid w:val="00564454"/>
    <w:rsid w:val="00570B11"/>
    <w:rsid w:val="005715DA"/>
    <w:rsid w:val="005721DA"/>
    <w:rsid w:val="00572967"/>
    <w:rsid w:val="00573495"/>
    <w:rsid w:val="005738ED"/>
    <w:rsid w:val="005748A1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3EDD"/>
    <w:rsid w:val="005D4F61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26DC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B5B"/>
    <w:rsid w:val="00640F9C"/>
    <w:rsid w:val="00640FE6"/>
    <w:rsid w:val="006419A4"/>
    <w:rsid w:val="0064727B"/>
    <w:rsid w:val="0065065D"/>
    <w:rsid w:val="00651988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079B1"/>
    <w:rsid w:val="00710933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87D7C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A6A1B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3D66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4C67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6A5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669"/>
    <w:rsid w:val="008C575C"/>
    <w:rsid w:val="008C6098"/>
    <w:rsid w:val="008D06EE"/>
    <w:rsid w:val="008D3918"/>
    <w:rsid w:val="008D3B4F"/>
    <w:rsid w:val="008D4128"/>
    <w:rsid w:val="008D6DAC"/>
    <w:rsid w:val="008E0BA5"/>
    <w:rsid w:val="008E0CD1"/>
    <w:rsid w:val="008E5E96"/>
    <w:rsid w:val="008F1AEC"/>
    <w:rsid w:val="008F21DC"/>
    <w:rsid w:val="008F26A8"/>
    <w:rsid w:val="008F4CEC"/>
    <w:rsid w:val="008F5D45"/>
    <w:rsid w:val="008F6250"/>
    <w:rsid w:val="008F6F10"/>
    <w:rsid w:val="008F7C8A"/>
    <w:rsid w:val="00901CF7"/>
    <w:rsid w:val="00902456"/>
    <w:rsid w:val="009026ED"/>
    <w:rsid w:val="00902A6A"/>
    <w:rsid w:val="00904219"/>
    <w:rsid w:val="00904AF1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3FB0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1E0B"/>
    <w:rsid w:val="00972174"/>
    <w:rsid w:val="00972CA0"/>
    <w:rsid w:val="00972DC3"/>
    <w:rsid w:val="00972E19"/>
    <w:rsid w:val="00973F8F"/>
    <w:rsid w:val="009759A6"/>
    <w:rsid w:val="009774E2"/>
    <w:rsid w:val="00977D07"/>
    <w:rsid w:val="0098022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1AF7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C0F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2692B"/>
    <w:rsid w:val="00A30BC6"/>
    <w:rsid w:val="00A32B2A"/>
    <w:rsid w:val="00A33B95"/>
    <w:rsid w:val="00A34663"/>
    <w:rsid w:val="00A34F5B"/>
    <w:rsid w:val="00A3567B"/>
    <w:rsid w:val="00A36A82"/>
    <w:rsid w:val="00A37552"/>
    <w:rsid w:val="00A378CF"/>
    <w:rsid w:val="00A4050C"/>
    <w:rsid w:val="00A414B4"/>
    <w:rsid w:val="00A41D29"/>
    <w:rsid w:val="00A4213E"/>
    <w:rsid w:val="00A4219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47231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0EFE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80F"/>
    <w:rsid w:val="00B42E2F"/>
    <w:rsid w:val="00B43628"/>
    <w:rsid w:val="00B442CF"/>
    <w:rsid w:val="00B4466E"/>
    <w:rsid w:val="00B4498B"/>
    <w:rsid w:val="00B5657B"/>
    <w:rsid w:val="00B578D2"/>
    <w:rsid w:val="00B61F2B"/>
    <w:rsid w:val="00B624DC"/>
    <w:rsid w:val="00B62E1B"/>
    <w:rsid w:val="00B63C24"/>
    <w:rsid w:val="00B64638"/>
    <w:rsid w:val="00B64C52"/>
    <w:rsid w:val="00B65CDD"/>
    <w:rsid w:val="00B74829"/>
    <w:rsid w:val="00B75768"/>
    <w:rsid w:val="00B769D0"/>
    <w:rsid w:val="00B8100F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C6B2B"/>
    <w:rsid w:val="00BD01F1"/>
    <w:rsid w:val="00BD1334"/>
    <w:rsid w:val="00BD434B"/>
    <w:rsid w:val="00BD5433"/>
    <w:rsid w:val="00BD5E21"/>
    <w:rsid w:val="00BD6496"/>
    <w:rsid w:val="00BD7DFA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404"/>
    <w:rsid w:val="00C12980"/>
    <w:rsid w:val="00C1465D"/>
    <w:rsid w:val="00C164A1"/>
    <w:rsid w:val="00C178DF"/>
    <w:rsid w:val="00C20472"/>
    <w:rsid w:val="00C21CA5"/>
    <w:rsid w:val="00C24535"/>
    <w:rsid w:val="00C33D58"/>
    <w:rsid w:val="00C33DE1"/>
    <w:rsid w:val="00C35824"/>
    <w:rsid w:val="00C36857"/>
    <w:rsid w:val="00C36978"/>
    <w:rsid w:val="00C40ADF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3B3"/>
    <w:rsid w:val="00C67761"/>
    <w:rsid w:val="00C70676"/>
    <w:rsid w:val="00C71D5A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3A0"/>
    <w:rsid w:val="00C92770"/>
    <w:rsid w:val="00C9485F"/>
    <w:rsid w:val="00C95F13"/>
    <w:rsid w:val="00C973BB"/>
    <w:rsid w:val="00CA0BCF"/>
    <w:rsid w:val="00CA131A"/>
    <w:rsid w:val="00CA140F"/>
    <w:rsid w:val="00CA323C"/>
    <w:rsid w:val="00CA332B"/>
    <w:rsid w:val="00CA33C3"/>
    <w:rsid w:val="00CA3918"/>
    <w:rsid w:val="00CA3989"/>
    <w:rsid w:val="00CA642A"/>
    <w:rsid w:val="00CB1059"/>
    <w:rsid w:val="00CB23F8"/>
    <w:rsid w:val="00CB377E"/>
    <w:rsid w:val="00CB3849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28E6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428C"/>
    <w:rsid w:val="00D45F2C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797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014B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4AC8"/>
    <w:rsid w:val="00DF5171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092"/>
    <w:rsid w:val="00E35DA1"/>
    <w:rsid w:val="00E37CCD"/>
    <w:rsid w:val="00E40AB8"/>
    <w:rsid w:val="00E4153C"/>
    <w:rsid w:val="00E4591D"/>
    <w:rsid w:val="00E50275"/>
    <w:rsid w:val="00E52A9F"/>
    <w:rsid w:val="00E53D86"/>
    <w:rsid w:val="00E56A96"/>
    <w:rsid w:val="00E56E32"/>
    <w:rsid w:val="00E60892"/>
    <w:rsid w:val="00E6096F"/>
    <w:rsid w:val="00E71FB5"/>
    <w:rsid w:val="00E74611"/>
    <w:rsid w:val="00E74CB6"/>
    <w:rsid w:val="00E752B6"/>
    <w:rsid w:val="00E767FA"/>
    <w:rsid w:val="00E80E73"/>
    <w:rsid w:val="00E816FB"/>
    <w:rsid w:val="00E90B90"/>
    <w:rsid w:val="00E9181C"/>
    <w:rsid w:val="00E91C5C"/>
    <w:rsid w:val="00E92125"/>
    <w:rsid w:val="00E927C3"/>
    <w:rsid w:val="00E948E2"/>
    <w:rsid w:val="00E976CD"/>
    <w:rsid w:val="00E97A98"/>
    <w:rsid w:val="00E97B5E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25B4"/>
    <w:rsid w:val="00EE3932"/>
    <w:rsid w:val="00EE4371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5A4E"/>
    <w:rsid w:val="00F563D9"/>
    <w:rsid w:val="00F566C4"/>
    <w:rsid w:val="00F57CCE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5A2"/>
    <w:rsid w:val="00FC2F0B"/>
    <w:rsid w:val="00FD4E2D"/>
    <w:rsid w:val="00FD50F5"/>
    <w:rsid w:val="00FD5154"/>
    <w:rsid w:val="00FD574D"/>
    <w:rsid w:val="00FD7FA8"/>
    <w:rsid w:val="00FE0BCA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26A63"/>
  <w15:docId w15:val="{29D20C06-F117-4432-98F8-1713322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7A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B5C0-FCA9-4E47-8C7D-F5389AEC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244</cp:revision>
  <cp:lastPrinted>2025-06-30T09:52:00Z</cp:lastPrinted>
  <dcterms:created xsi:type="dcterms:W3CDTF">2019-06-20T12:10:00Z</dcterms:created>
  <dcterms:modified xsi:type="dcterms:W3CDTF">2025-07-06T09:08:00Z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