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25" w:rsidRDefault="006C5425">
      <w:pPr>
        <w:bidi w:val="0"/>
      </w:pPr>
    </w:p>
    <w:p w:rsidR="006C5425" w:rsidRDefault="006C5425" w:rsidP="006C5425">
      <w:pPr>
        <w:bidi w:val="0"/>
      </w:pPr>
    </w:p>
    <w:p w:rsidR="006C5425" w:rsidRDefault="006C5425" w:rsidP="006C5425">
      <w:pPr>
        <w:bidi w:val="0"/>
      </w:pPr>
    </w:p>
    <w:tbl>
      <w:tblPr>
        <w:tblW w:w="15985" w:type="dxa"/>
        <w:tblInd w:w="250" w:type="dxa"/>
        <w:tblLayout w:type="fixed"/>
        <w:tblLook w:val="04A0"/>
      </w:tblPr>
      <w:tblGrid>
        <w:gridCol w:w="10206"/>
        <w:gridCol w:w="5779"/>
      </w:tblGrid>
      <w:tr w:rsidR="009E11CB" w:rsidTr="006C5425">
        <w:tc>
          <w:tcPr>
            <w:tcW w:w="10206" w:type="dxa"/>
          </w:tcPr>
          <w:p w:rsidR="009E11CB" w:rsidRDefault="006C5425" w:rsidP="006C5425">
            <w:pPr>
              <w:bidi w:val="0"/>
              <w:ind w:right="-4216"/>
              <w:rPr>
                <w:b/>
                <w:bCs/>
              </w:rPr>
            </w:pPr>
            <w:r>
              <w:rPr>
                <w:rFonts w:cs="Simplified Arabic"/>
                <w:b/>
                <w:bCs/>
              </w:rPr>
              <w:t xml:space="preserve">                                    (PCBS) </w:t>
            </w:r>
            <w:r w:rsidR="004B09CA">
              <w:rPr>
                <w:rFonts w:cs="Simplified Arabic"/>
                <w:b/>
                <w:bCs/>
              </w:rPr>
              <w:t xml:space="preserve"> Building Licenses in </w:t>
            </w:r>
            <w:r w:rsidR="009E11CB">
              <w:rPr>
                <w:rFonts w:cs="Simplified Arabic"/>
                <w:b/>
                <w:bCs/>
              </w:rPr>
              <w:t>Palestine, Fourth Quarter 2012</w:t>
            </w:r>
          </w:p>
          <w:p w:rsidR="009E11CB" w:rsidRDefault="009E11CB">
            <w:pPr>
              <w:bidi w:val="0"/>
              <w:jc w:val="lowKashida"/>
              <w:rPr>
                <w:b/>
                <w:bCs/>
              </w:rPr>
            </w:pPr>
          </w:p>
          <w:p w:rsidR="009E11CB" w:rsidRDefault="009E11CB">
            <w:pPr>
              <w:pStyle w:val="BodyText3"/>
              <w:ind w:left="1" w:right="1"/>
              <w:jc w:val="both"/>
              <w:rPr>
                <w:rFonts w:cs="Times New Roman"/>
              </w:rPr>
            </w:pPr>
            <w:r>
              <w:rPr>
                <w:rFonts w:cs="Times New Roman"/>
              </w:rPr>
              <w:t>Number of building licenses in Palestine* rose compared to previous quarter of 2012 and the fourth quarter of 2011</w:t>
            </w:r>
          </w:p>
          <w:p w:rsidR="009E11CB" w:rsidRDefault="009E11CB">
            <w:pPr>
              <w:pStyle w:val="BodyText3"/>
            </w:pPr>
          </w:p>
          <w:p w:rsidR="009E11CB" w:rsidRDefault="009E11CB">
            <w:pPr>
              <w:pStyle w:val="BodyText"/>
              <w:ind w:right="-2"/>
              <w:jc w:val="both"/>
              <w:rPr>
                <w:b w:val="0"/>
                <w:bCs w:val="0"/>
              </w:rPr>
            </w:pPr>
            <w:r>
              <w:rPr>
                <w:rFonts w:cs="Simplified Arabic"/>
                <w:b w:val="0"/>
                <w:bCs w:val="0"/>
              </w:rPr>
              <w:t>A total</w:t>
            </w:r>
            <w:r>
              <w:rPr>
                <w:rFonts w:cs="Simplified Arabic"/>
              </w:rPr>
              <w:t xml:space="preserve"> </w:t>
            </w:r>
            <w:r>
              <w:rPr>
                <w:b w:val="0"/>
                <w:bCs w:val="0"/>
              </w:rPr>
              <w:t>of 2,099 building licenses were issued in the fourth quarter of 2012.</w:t>
            </w:r>
          </w:p>
          <w:p w:rsidR="009E11CB" w:rsidRDefault="009E11CB">
            <w:pPr>
              <w:pStyle w:val="BodyText3"/>
              <w:ind w:left="1" w:right="1"/>
              <w:jc w:val="both"/>
              <w:rPr>
                <w:rFonts w:cs="Times New Roman"/>
                <w:b w:val="0"/>
                <w:bCs w:val="0"/>
              </w:rPr>
            </w:pPr>
          </w:p>
          <w:p w:rsidR="009E11CB" w:rsidRDefault="009E11CB">
            <w:pPr>
              <w:pStyle w:val="BodyText3"/>
              <w:ind w:left="1" w:right="1"/>
              <w:jc w:val="both"/>
              <w:rPr>
                <w:rFonts w:cs="Times New Roman"/>
                <w:b w:val="0"/>
                <w:bCs w:val="0"/>
              </w:rPr>
            </w:pPr>
            <w:r>
              <w:rPr>
                <w:rFonts w:cs="Times New Roman"/>
                <w:b w:val="0"/>
                <w:bCs w:val="0"/>
              </w:rPr>
              <w:t xml:space="preserve">The total number of building licenses issued in the </w:t>
            </w:r>
            <w:r>
              <w:rPr>
                <w:b w:val="0"/>
                <w:bCs w:val="0"/>
              </w:rPr>
              <w:t xml:space="preserve">fourth </w:t>
            </w:r>
            <w:r>
              <w:rPr>
                <w:rFonts w:cs="Times New Roman"/>
                <w:b w:val="0"/>
                <w:bCs w:val="0"/>
              </w:rPr>
              <w:t>quarter of 2012 increased by 18.1 percent compared to the third</w:t>
            </w:r>
            <w:r>
              <w:rPr>
                <w:b w:val="0"/>
                <w:bCs w:val="0"/>
              </w:rPr>
              <w:t xml:space="preserve"> </w:t>
            </w:r>
            <w:r>
              <w:rPr>
                <w:rFonts w:cs="Times New Roman"/>
                <w:b w:val="0"/>
                <w:bCs w:val="0"/>
              </w:rPr>
              <w:t>quarter</w:t>
            </w:r>
            <w:bookmarkStart w:id="0" w:name="OLE_LINK12"/>
            <w:r>
              <w:rPr>
                <w:rFonts w:cs="Times New Roman"/>
                <w:b w:val="0"/>
                <w:bCs w:val="0"/>
              </w:rPr>
              <w:t xml:space="preserve">. Also, </w:t>
            </w:r>
            <w:bookmarkEnd w:id="0"/>
            <w:r>
              <w:rPr>
                <w:rFonts w:cs="Times New Roman"/>
                <w:b w:val="0"/>
                <w:bCs w:val="0"/>
              </w:rPr>
              <w:t xml:space="preserve">the total number of building licenses issued for the </w:t>
            </w:r>
            <w:r>
              <w:rPr>
                <w:b w:val="0"/>
                <w:bCs w:val="0"/>
              </w:rPr>
              <w:t xml:space="preserve">fourth </w:t>
            </w:r>
            <w:r>
              <w:rPr>
                <w:rFonts w:cs="Times New Roman"/>
                <w:b w:val="0"/>
                <w:bCs w:val="0"/>
              </w:rPr>
              <w:t xml:space="preserve">quarter of 2012 was 11.4 percent higher than in the </w:t>
            </w:r>
            <w:r>
              <w:rPr>
                <w:b w:val="0"/>
                <w:bCs w:val="0"/>
              </w:rPr>
              <w:t xml:space="preserve">fourth </w:t>
            </w:r>
            <w:r>
              <w:rPr>
                <w:rFonts w:cs="Times New Roman"/>
                <w:b w:val="0"/>
                <w:bCs w:val="0"/>
              </w:rPr>
              <w:t>quarter of 2011.</w:t>
            </w:r>
          </w:p>
          <w:p w:rsidR="009E11CB" w:rsidRDefault="009E11CB">
            <w:pPr>
              <w:pStyle w:val="BodyText3"/>
              <w:ind w:left="1" w:right="1"/>
              <w:jc w:val="both"/>
              <w:rPr>
                <w:rFonts w:cs="Times New Roman"/>
                <w:b w:val="0"/>
                <w:bCs w:val="0"/>
              </w:rPr>
            </w:pPr>
          </w:p>
          <w:p w:rsidR="009E11CB" w:rsidRDefault="009E11CB">
            <w:pPr>
              <w:pStyle w:val="BodyText3"/>
              <w:ind w:left="1" w:right="1"/>
              <w:jc w:val="both"/>
              <w:rPr>
                <w:rFonts w:cs="Times New Roman"/>
                <w:b w:val="0"/>
                <w:bCs w:val="0"/>
              </w:rPr>
            </w:pPr>
            <w:r>
              <w:rPr>
                <w:rFonts w:cs="Times New Roman"/>
                <w:b w:val="0"/>
                <w:bCs w:val="0"/>
              </w:rPr>
              <w:t>The area of licensed buildings (residential and non-residential) totaled 1,125.5 thousand m</w:t>
            </w:r>
            <w:r>
              <w:rPr>
                <w:rFonts w:cs="Times New Roman"/>
                <w:b w:val="0"/>
                <w:bCs w:val="0"/>
                <w:vertAlign w:val="superscript"/>
              </w:rPr>
              <w:t>2</w:t>
            </w:r>
            <w:r>
              <w:rPr>
                <w:rFonts w:cs="Times New Roman"/>
                <w:b w:val="0"/>
                <w:bCs w:val="0"/>
              </w:rPr>
              <w:t>, of which new buildings made up 967.8 thousand m</w:t>
            </w:r>
            <w:r>
              <w:rPr>
                <w:rFonts w:cs="Times New Roman"/>
                <w:b w:val="0"/>
                <w:bCs w:val="0"/>
                <w:vertAlign w:val="superscript"/>
              </w:rPr>
              <w:t>2</w:t>
            </w:r>
            <w:r>
              <w:rPr>
                <w:rFonts w:cs="Times New Roman"/>
                <w:b w:val="0"/>
                <w:bCs w:val="0"/>
              </w:rPr>
              <w:t xml:space="preserve"> and existing buildings 157.7 thousand m</w:t>
            </w:r>
            <w:r>
              <w:rPr>
                <w:rFonts w:cs="Times New Roman"/>
                <w:b w:val="0"/>
                <w:bCs w:val="0"/>
                <w:vertAlign w:val="superscript"/>
              </w:rPr>
              <w:t>2</w:t>
            </w:r>
            <w:r>
              <w:rPr>
                <w:rFonts w:cs="Times New Roman"/>
                <w:b w:val="0"/>
                <w:bCs w:val="0"/>
              </w:rPr>
              <w:t>.</w:t>
            </w:r>
          </w:p>
          <w:p w:rsidR="009E11CB" w:rsidRDefault="009E11CB">
            <w:pPr>
              <w:pStyle w:val="BodyText3"/>
              <w:ind w:left="1" w:right="1"/>
              <w:jc w:val="both"/>
              <w:rPr>
                <w:rFonts w:cs="Times New Roman"/>
                <w:b w:val="0"/>
                <w:bCs w:val="0"/>
              </w:rPr>
            </w:pPr>
          </w:p>
          <w:p w:rsidR="009E11CB" w:rsidRDefault="009E11CB">
            <w:pPr>
              <w:pStyle w:val="BodyText3"/>
              <w:ind w:left="1" w:right="1"/>
              <w:jc w:val="both"/>
              <w:rPr>
                <w:rFonts w:cs="Times New Roman"/>
                <w:b w:val="0"/>
                <w:bCs w:val="0"/>
              </w:rPr>
            </w:pPr>
            <w:r>
              <w:rPr>
                <w:rFonts w:cs="Times New Roman"/>
                <w:b w:val="0"/>
                <w:bCs w:val="0"/>
              </w:rPr>
              <w:t>The total number of licensed dwellings was 4,296 of which 3,673</w:t>
            </w:r>
            <w:r>
              <w:rPr>
                <w:rFonts w:eastAsia="Arial Unicode MS" w:cs="Times New Roman"/>
                <w:b w:val="0"/>
                <w:bCs w:val="0"/>
              </w:rPr>
              <w:t xml:space="preserve"> were </w:t>
            </w:r>
            <w:r>
              <w:rPr>
                <w:rFonts w:cs="Times New Roman"/>
                <w:b w:val="0"/>
                <w:bCs w:val="0"/>
              </w:rPr>
              <w:t>new units with a total area of 636.5 thousand m</w:t>
            </w:r>
            <w:r>
              <w:rPr>
                <w:rFonts w:cs="Times New Roman"/>
                <w:b w:val="0"/>
                <w:bCs w:val="0"/>
                <w:vertAlign w:val="superscript"/>
              </w:rPr>
              <w:t>2</w:t>
            </w:r>
            <w:r>
              <w:rPr>
                <w:rFonts w:cs="Times New Roman"/>
                <w:b w:val="0"/>
                <w:bCs w:val="0"/>
              </w:rPr>
              <w:t xml:space="preserve"> and 623 were existing dwellings with a total area of 112.5 thousand m</w:t>
            </w:r>
            <w:r>
              <w:rPr>
                <w:rFonts w:cs="Times New Roman"/>
                <w:b w:val="0"/>
                <w:bCs w:val="0"/>
                <w:vertAlign w:val="superscript"/>
              </w:rPr>
              <w:t>2</w:t>
            </w:r>
            <w:r>
              <w:rPr>
                <w:rFonts w:cs="Times New Roman"/>
                <w:b w:val="0"/>
                <w:bCs w:val="0"/>
              </w:rPr>
              <w:t xml:space="preserve">. </w:t>
            </w:r>
          </w:p>
          <w:p w:rsidR="009E11CB" w:rsidRDefault="009E11CB">
            <w:pPr>
              <w:pStyle w:val="BodyText3"/>
              <w:ind w:left="1" w:right="1"/>
              <w:jc w:val="both"/>
              <w:rPr>
                <w:rFonts w:cs="Times New Roman"/>
                <w:b w:val="0"/>
                <w:bCs w:val="0"/>
              </w:rPr>
            </w:pPr>
          </w:p>
          <w:p w:rsidR="009E11CB" w:rsidRDefault="009E11CB">
            <w:pPr>
              <w:bidi w:val="0"/>
              <w:jc w:val="both"/>
            </w:pPr>
            <w:r>
              <w:t>The number of new dwellings in the fourth quarter of 2012 was 18.2 percent higher than in the third quarter of 2012 and 16.9 percent higher than the fourth quarter of 2011.</w:t>
            </w:r>
          </w:p>
        </w:tc>
        <w:tc>
          <w:tcPr>
            <w:tcW w:w="5779" w:type="dxa"/>
          </w:tcPr>
          <w:p w:rsidR="009E11CB" w:rsidRDefault="009E11CB" w:rsidP="004B09CA">
            <w:pPr>
              <w:bidi w:val="0"/>
              <w:ind w:left="4708"/>
              <w:jc w:val="lowKashida"/>
            </w:pPr>
          </w:p>
        </w:tc>
      </w:tr>
      <w:tr w:rsidR="009E11CB" w:rsidTr="006C5425">
        <w:tc>
          <w:tcPr>
            <w:tcW w:w="10206" w:type="dxa"/>
          </w:tcPr>
          <w:p w:rsidR="009E11CB" w:rsidRDefault="009E11CB">
            <w:pPr>
              <w:bidi w:val="0"/>
              <w:jc w:val="both"/>
            </w:pPr>
          </w:p>
        </w:tc>
        <w:tc>
          <w:tcPr>
            <w:tcW w:w="5779" w:type="dxa"/>
          </w:tcPr>
          <w:p w:rsidR="009E11CB" w:rsidRDefault="009E11CB">
            <w:pPr>
              <w:bidi w:val="0"/>
              <w:jc w:val="lowKashida"/>
            </w:pPr>
          </w:p>
        </w:tc>
      </w:tr>
    </w:tbl>
    <w:p w:rsidR="009E11CB" w:rsidRDefault="009E11CB" w:rsidP="009E11CB">
      <w:pPr>
        <w:bidi w:val="0"/>
        <w:rPr>
          <w:sz w:val="18"/>
          <w:szCs w:val="18"/>
          <w:lang w:val="en-GB"/>
        </w:rPr>
      </w:pPr>
    </w:p>
    <w:tbl>
      <w:tblPr>
        <w:tblW w:w="10710" w:type="dxa"/>
        <w:tblLayout w:type="fixed"/>
        <w:tblLook w:val="04A0"/>
      </w:tblPr>
      <w:tblGrid>
        <w:gridCol w:w="10710"/>
      </w:tblGrid>
      <w:tr w:rsidR="004B09CA" w:rsidTr="00912BAF">
        <w:tc>
          <w:tcPr>
            <w:tcW w:w="5776" w:type="dxa"/>
          </w:tcPr>
          <w:p w:rsidR="004B09CA" w:rsidRDefault="004B09CA" w:rsidP="00912BAF">
            <w:pPr>
              <w:bidi w:val="0"/>
              <w:ind w:left="-108" w:right="-144"/>
              <w:jc w:val="center"/>
              <w:rPr>
                <w:sz w:val="18"/>
                <w:szCs w:val="18"/>
              </w:rPr>
            </w:pPr>
            <w:r>
              <w:rPr>
                <w:rFonts w:ascii="Arial" w:hAnsi="Arial" w:cs="Arial"/>
                <w:b/>
                <w:bCs/>
                <w:sz w:val="22"/>
                <w:szCs w:val="22"/>
              </w:rPr>
              <w:t>Number of Building Licenses issued in Palestine*, First Quarter 2011 to Fourth Quarter 2012</w:t>
            </w:r>
          </w:p>
          <w:p w:rsidR="006C5425" w:rsidRDefault="006C5425" w:rsidP="006C5425">
            <w:pPr>
              <w:bidi w:val="0"/>
              <w:ind w:left="-108" w:right="-144"/>
              <w:jc w:val="center"/>
              <w:rPr>
                <w:sz w:val="18"/>
                <w:szCs w:val="18"/>
              </w:rPr>
            </w:pPr>
          </w:p>
          <w:p w:rsidR="004B09CA" w:rsidRDefault="004B09CA" w:rsidP="00912BAF">
            <w:pPr>
              <w:bidi w:val="0"/>
              <w:ind w:right="-144"/>
              <w:jc w:val="center"/>
              <w:rPr>
                <w:sz w:val="8"/>
                <w:szCs w:val="8"/>
              </w:rPr>
            </w:pPr>
          </w:p>
          <w:p w:rsidR="006C5425" w:rsidRDefault="006C5425" w:rsidP="004B09CA">
            <w:pPr>
              <w:bidi w:val="0"/>
              <w:jc w:val="center"/>
              <w:rPr>
                <w:sz w:val="18"/>
                <w:szCs w:val="18"/>
                <w:u w:val="single"/>
              </w:rPr>
            </w:pPr>
          </w:p>
          <w:p w:rsidR="004B09CA" w:rsidRDefault="004B09CA" w:rsidP="006C5425">
            <w:pPr>
              <w:bidi w:val="0"/>
              <w:jc w:val="center"/>
              <w:rPr>
                <w:sz w:val="18"/>
                <w:szCs w:val="18"/>
                <w:u w:val="single"/>
              </w:rPr>
            </w:pPr>
            <w:r>
              <w:rPr>
                <w:noProof/>
                <w:lang w:eastAsia="en-US"/>
              </w:rPr>
              <w:drawing>
                <wp:inline distT="0" distB="0" distL="0" distR="0">
                  <wp:extent cx="3838575" cy="2886075"/>
                  <wp:effectExtent l="19050" t="0" r="9525"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B09CA" w:rsidRDefault="004B09CA" w:rsidP="00912BAF">
            <w:pPr>
              <w:bidi w:val="0"/>
              <w:jc w:val="lowKashida"/>
            </w:pPr>
          </w:p>
          <w:p w:rsidR="006C5425" w:rsidRDefault="006C5425" w:rsidP="00912BAF">
            <w:pPr>
              <w:bidi w:val="0"/>
              <w:jc w:val="lowKashida"/>
              <w:rPr>
                <w:sz w:val="20"/>
                <w:szCs w:val="20"/>
              </w:rPr>
            </w:pPr>
          </w:p>
          <w:p w:rsidR="004B09CA" w:rsidRDefault="004B09CA" w:rsidP="001345BA">
            <w:pPr>
              <w:bidi w:val="0"/>
              <w:jc w:val="center"/>
              <w:rPr>
                <w:sz w:val="20"/>
                <w:szCs w:val="20"/>
              </w:rPr>
            </w:pPr>
            <w:r>
              <w:rPr>
                <w:sz w:val="20"/>
                <w:szCs w:val="20"/>
              </w:rPr>
              <w:t>*</w:t>
            </w:r>
            <w:r>
              <w:rPr>
                <w:snapToGrid w:val="0"/>
                <w:sz w:val="20"/>
                <w:szCs w:val="20"/>
              </w:rPr>
              <w:t xml:space="preserve"> The data exclude those parts of Jerusalem annexed </w:t>
            </w:r>
            <w:r>
              <w:rPr>
                <w:sz w:val="20"/>
                <w:szCs w:val="20"/>
                <w:lang w:eastAsia="en-US"/>
              </w:rPr>
              <w:t>by</w:t>
            </w:r>
            <w:r>
              <w:rPr>
                <w:snapToGrid w:val="0"/>
                <w:sz w:val="20"/>
                <w:szCs w:val="20"/>
              </w:rPr>
              <w:t xml:space="preserve"> Israel </w:t>
            </w:r>
            <w:r>
              <w:rPr>
                <w:sz w:val="20"/>
                <w:szCs w:val="20"/>
                <w:lang w:eastAsia="en-US"/>
              </w:rPr>
              <w:t>in 1967</w:t>
            </w:r>
            <w:r>
              <w:rPr>
                <w:snapToGrid w:val="0"/>
                <w:sz w:val="20"/>
                <w:szCs w:val="20"/>
              </w:rPr>
              <w:t>.</w:t>
            </w:r>
          </w:p>
          <w:p w:rsidR="004B09CA" w:rsidRDefault="004B09CA" w:rsidP="00912BAF">
            <w:pPr>
              <w:bidi w:val="0"/>
              <w:jc w:val="lowKashida"/>
              <w:rPr>
                <w:rtl/>
              </w:rPr>
            </w:pPr>
          </w:p>
          <w:p w:rsidR="004B09CA" w:rsidRDefault="004B09CA" w:rsidP="00912BAF">
            <w:pPr>
              <w:bidi w:val="0"/>
              <w:jc w:val="lowKashida"/>
              <w:rPr>
                <w:rtl/>
              </w:rPr>
            </w:pPr>
          </w:p>
          <w:p w:rsidR="004B09CA" w:rsidRDefault="004B09CA" w:rsidP="00912BAF">
            <w:pPr>
              <w:bidi w:val="0"/>
              <w:jc w:val="lowKashida"/>
              <w:rPr>
                <w:rtl/>
              </w:rPr>
            </w:pPr>
          </w:p>
          <w:p w:rsidR="004B09CA" w:rsidRDefault="004B09CA" w:rsidP="00912BAF">
            <w:pPr>
              <w:bidi w:val="0"/>
              <w:jc w:val="lowKashida"/>
              <w:rPr>
                <w:rtl/>
              </w:rPr>
            </w:pPr>
          </w:p>
          <w:p w:rsidR="004B09CA" w:rsidRDefault="004B09CA" w:rsidP="00912BAF">
            <w:pPr>
              <w:bidi w:val="0"/>
              <w:jc w:val="lowKashida"/>
            </w:pPr>
          </w:p>
        </w:tc>
      </w:tr>
      <w:tr w:rsidR="004B09CA" w:rsidTr="00912BAF">
        <w:tc>
          <w:tcPr>
            <w:tcW w:w="5776" w:type="dxa"/>
          </w:tcPr>
          <w:p w:rsidR="004B09CA" w:rsidRDefault="004B09CA" w:rsidP="00912BAF">
            <w:pPr>
              <w:bidi w:val="0"/>
              <w:jc w:val="lowKashida"/>
            </w:pPr>
          </w:p>
        </w:tc>
      </w:tr>
    </w:tbl>
    <w:p w:rsidR="007C54EA" w:rsidRPr="004B09CA" w:rsidRDefault="007C54EA">
      <w:pPr>
        <w:rPr>
          <w:rFonts w:hint="cs"/>
        </w:rPr>
      </w:pPr>
    </w:p>
    <w:sectPr w:rsidR="007C54EA" w:rsidRPr="004B09CA" w:rsidSect="009E11CB">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9E11CB"/>
    <w:rsid w:val="00042B42"/>
    <w:rsid w:val="001345BA"/>
    <w:rsid w:val="004B09CA"/>
    <w:rsid w:val="004F5104"/>
    <w:rsid w:val="005453F7"/>
    <w:rsid w:val="00552054"/>
    <w:rsid w:val="006C5425"/>
    <w:rsid w:val="007C54EA"/>
    <w:rsid w:val="008011D4"/>
    <w:rsid w:val="009E11CB"/>
    <w:rsid w:val="00B643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1CB"/>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4F51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104"/>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4F5104"/>
    <w:rPr>
      <w:b/>
      <w:bCs/>
      <w:color w:val="4F81BD" w:themeColor="accent1"/>
      <w:sz w:val="18"/>
      <w:szCs w:val="18"/>
    </w:rPr>
  </w:style>
  <w:style w:type="character" w:styleId="Hyperlink">
    <w:name w:val="Hyperlink"/>
    <w:basedOn w:val="DefaultParagraphFont"/>
    <w:uiPriority w:val="99"/>
    <w:semiHidden/>
    <w:unhideWhenUsed/>
    <w:rsid w:val="009E11CB"/>
    <w:rPr>
      <w:color w:val="0000FF" w:themeColor="hyperlink"/>
      <w:u w:val="single"/>
    </w:rPr>
  </w:style>
  <w:style w:type="paragraph" w:styleId="BodyText">
    <w:name w:val="Body Text"/>
    <w:basedOn w:val="Normal"/>
    <w:link w:val="BodyTextChar"/>
    <w:semiHidden/>
    <w:unhideWhenUsed/>
    <w:rsid w:val="009E11CB"/>
    <w:pPr>
      <w:bidi w:val="0"/>
      <w:ind w:right="720"/>
      <w:jc w:val="lowKashida"/>
    </w:pPr>
    <w:rPr>
      <w:b/>
      <w:bCs/>
    </w:rPr>
  </w:style>
  <w:style w:type="character" w:customStyle="1" w:styleId="BodyTextChar">
    <w:name w:val="Body Text Char"/>
    <w:basedOn w:val="DefaultParagraphFont"/>
    <w:link w:val="BodyText"/>
    <w:semiHidden/>
    <w:rsid w:val="009E11CB"/>
    <w:rPr>
      <w:rFonts w:ascii="Times New Roman" w:eastAsia="Times New Roman" w:hAnsi="Times New Roman" w:cs="Times New Roman"/>
      <w:b/>
      <w:bCs/>
      <w:sz w:val="24"/>
      <w:szCs w:val="24"/>
      <w:lang w:eastAsia="ar-SA"/>
    </w:rPr>
  </w:style>
  <w:style w:type="paragraph" w:styleId="BodyText3">
    <w:name w:val="Body Text 3"/>
    <w:basedOn w:val="Normal"/>
    <w:link w:val="BodyText3Char"/>
    <w:semiHidden/>
    <w:unhideWhenUsed/>
    <w:rsid w:val="009E11CB"/>
    <w:pPr>
      <w:numPr>
        <w:ilvl w:val="12"/>
      </w:numPr>
      <w:bidi w:val="0"/>
      <w:jc w:val="lowKashida"/>
    </w:pPr>
    <w:rPr>
      <w:rFonts w:cs="Simplified Arabic"/>
      <w:b/>
      <w:bCs/>
    </w:rPr>
  </w:style>
  <w:style w:type="character" w:customStyle="1" w:styleId="BodyText3Char">
    <w:name w:val="Body Text 3 Char"/>
    <w:basedOn w:val="DefaultParagraphFont"/>
    <w:link w:val="BodyText3"/>
    <w:semiHidden/>
    <w:rsid w:val="009E11CB"/>
    <w:rPr>
      <w:rFonts w:ascii="Times New Roman" w:eastAsia="Times New Roman" w:hAnsi="Times New Roman" w:cs="Simplified Arabic"/>
      <w:b/>
      <w:bCs/>
      <w:sz w:val="24"/>
      <w:szCs w:val="24"/>
      <w:lang w:eastAsia="ar-SA"/>
    </w:rPr>
  </w:style>
  <w:style w:type="paragraph" w:styleId="BalloonText">
    <w:name w:val="Balloon Text"/>
    <w:basedOn w:val="Normal"/>
    <w:link w:val="BalloonTextChar"/>
    <w:uiPriority w:val="99"/>
    <w:semiHidden/>
    <w:unhideWhenUsed/>
    <w:rsid w:val="009E11CB"/>
    <w:rPr>
      <w:rFonts w:ascii="Tahoma" w:hAnsi="Tahoma" w:cs="Tahoma"/>
      <w:sz w:val="16"/>
      <w:szCs w:val="16"/>
    </w:rPr>
  </w:style>
  <w:style w:type="character" w:customStyle="1" w:styleId="BalloonTextChar">
    <w:name w:val="Balloon Text Char"/>
    <w:basedOn w:val="DefaultParagraphFont"/>
    <w:link w:val="BalloonText"/>
    <w:uiPriority w:val="99"/>
    <w:semiHidden/>
    <w:rsid w:val="009E11CB"/>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162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7955111016528341"/>
          <c:y val="2.5506874336632603E-2"/>
          <c:w val="0.81609675817549865"/>
          <c:h val="0.67974427961395456"/>
        </c:manualLayout>
      </c:layout>
      <c:lineChart>
        <c:grouping val="standard"/>
        <c:ser>
          <c:idx val="0"/>
          <c:order val="0"/>
          <c:tx>
            <c:strRef>
              <c:f>Sheet1!$B$1</c:f>
              <c:strCache>
                <c:ptCount val="1"/>
                <c:pt idx="0">
                  <c:v>New additions to Licensed Buildings </c:v>
                </c:pt>
              </c:strCache>
            </c:strRef>
          </c:tx>
          <c:cat>
            <c:strRef>
              <c:f>Sheet1!$A$2:$A$9</c:f>
              <c:strCache>
                <c:ptCount val="8"/>
                <c:pt idx="0">
                  <c:v> Q I 2011</c:v>
                </c:pt>
                <c:pt idx="1">
                  <c:v> Q II 2011</c:v>
                </c:pt>
                <c:pt idx="2">
                  <c:v> Q III 2011</c:v>
                </c:pt>
                <c:pt idx="3">
                  <c:v> Q IV 2011</c:v>
                </c:pt>
                <c:pt idx="4">
                  <c:v> Q I 2012</c:v>
                </c:pt>
                <c:pt idx="5">
                  <c:v> Q II 2012</c:v>
                </c:pt>
                <c:pt idx="6">
                  <c:v> Q III 2012</c:v>
                </c:pt>
                <c:pt idx="7">
                  <c:v> Q IV 2012</c:v>
                </c:pt>
              </c:strCache>
            </c:strRef>
          </c:cat>
          <c:val>
            <c:numRef>
              <c:f>Sheet1!$B$2:$B$9</c:f>
              <c:numCache>
                <c:formatCode>#,##0</c:formatCode>
                <c:ptCount val="8"/>
                <c:pt idx="0">
                  <c:v>282</c:v>
                </c:pt>
                <c:pt idx="1">
                  <c:v>353</c:v>
                </c:pt>
                <c:pt idx="2">
                  <c:v>283</c:v>
                </c:pt>
                <c:pt idx="3">
                  <c:v>341</c:v>
                </c:pt>
                <c:pt idx="4">
                  <c:v>389</c:v>
                </c:pt>
                <c:pt idx="5">
                  <c:v>477</c:v>
                </c:pt>
                <c:pt idx="6">
                  <c:v>331</c:v>
                </c:pt>
                <c:pt idx="7">
                  <c:v>376</c:v>
                </c:pt>
              </c:numCache>
            </c:numRef>
          </c:val>
        </c:ser>
        <c:ser>
          <c:idx val="1"/>
          <c:order val="1"/>
          <c:tx>
            <c:strRef>
              <c:f>Sheet1!$C$1</c:f>
              <c:strCache>
                <c:ptCount val="1"/>
                <c:pt idx="0">
                  <c:v>New Buildings</c:v>
                </c:pt>
              </c:strCache>
            </c:strRef>
          </c:tx>
          <c:cat>
            <c:strRef>
              <c:f>Sheet1!$A$2:$A$9</c:f>
              <c:strCache>
                <c:ptCount val="8"/>
                <c:pt idx="0">
                  <c:v> Q I 2011</c:v>
                </c:pt>
                <c:pt idx="1">
                  <c:v> Q II 2011</c:v>
                </c:pt>
                <c:pt idx="2">
                  <c:v> Q III 2011</c:v>
                </c:pt>
                <c:pt idx="3">
                  <c:v> Q IV 2011</c:v>
                </c:pt>
                <c:pt idx="4">
                  <c:v> Q I 2012</c:v>
                </c:pt>
                <c:pt idx="5">
                  <c:v> Q II 2012</c:v>
                </c:pt>
                <c:pt idx="6">
                  <c:v> Q III 2012</c:v>
                </c:pt>
                <c:pt idx="7">
                  <c:v> Q IV 2012</c:v>
                </c:pt>
              </c:strCache>
            </c:strRef>
          </c:cat>
          <c:val>
            <c:numRef>
              <c:f>Sheet1!$C$2:$C$9</c:f>
              <c:numCache>
                <c:formatCode>#,##0</c:formatCode>
                <c:ptCount val="8"/>
                <c:pt idx="0">
                  <c:v>1177</c:v>
                </c:pt>
                <c:pt idx="1">
                  <c:v>1154</c:v>
                </c:pt>
                <c:pt idx="2">
                  <c:v>1001</c:v>
                </c:pt>
                <c:pt idx="3">
                  <c:v>1035</c:v>
                </c:pt>
                <c:pt idx="4">
                  <c:v>1344</c:v>
                </c:pt>
                <c:pt idx="5">
                  <c:v>1222</c:v>
                </c:pt>
                <c:pt idx="6">
                  <c:v>1059</c:v>
                </c:pt>
                <c:pt idx="7">
                  <c:v>1264</c:v>
                </c:pt>
              </c:numCache>
            </c:numRef>
          </c:val>
        </c:ser>
        <c:ser>
          <c:idx val="2"/>
          <c:order val="2"/>
          <c:tx>
            <c:strRef>
              <c:f>Sheet1!$D$1</c:f>
              <c:strCache>
                <c:ptCount val="1"/>
                <c:pt idx="0">
                  <c:v>Total building Licenses</c:v>
                </c:pt>
              </c:strCache>
            </c:strRef>
          </c:tx>
          <c:marker>
            <c:symbol val="none"/>
          </c:marker>
          <c:cat>
            <c:strRef>
              <c:f>Sheet1!$A$2:$A$9</c:f>
              <c:strCache>
                <c:ptCount val="8"/>
                <c:pt idx="0">
                  <c:v> Q I 2011</c:v>
                </c:pt>
                <c:pt idx="1">
                  <c:v> Q II 2011</c:v>
                </c:pt>
                <c:pt idx="2">
                  <c:v> Q III 2011</c:v>
                </c:pt>
                <c:pt idx="3">
                  <c:v> Q IV 2011</c:v>
                </c:pt>
                <c:pt idx="4">
                  <c:v> Q I 2012</c:v>
                </c:pt>
                <c:pt idx="5">
                  <c:v> Q II 2012</c:v>
                </c:pt>
                <c:pt idx="6">
                  <c:v> Q III 2012</c:v>
                </c:pt>
                <c:pt idx="7">
                  <c:v> Q IV 2012</c:v>
                </c:pt>
              </c:strCache>
            </c:strRef>
          </c:cat>
          <c:val>
            <c:numRef>
              <c:f>Sheet1!$D$2:$D$9</c:f>
              <c:numCache>
                <c:formatCode>#,##0</c:formatCode>
                <c:ptCount val="8"/>
                <c:pt idx="0">
                  <c:v>2092</c:v>
                </c:pt>
                <c:pt idx="1">
                  <c:v>2015</c:v>
                </c:pt>
                <c:pt idx="2">
                  <c:v>1717</c:v>
                </c:pt>
                <c:pt idx="3">
                  <c:v>1884</c:v>
                </c:pt>
                <c:pt idx="4">
                  <c:v>2172</c:v>
                </c:pt>
                <c:pt idx="5">
                  <c:v>2190</c:v>
                </c:pt>
                <c:pt idx="6">
                  <c:v>1778</c:v>
                </c:pt>
                <c:pt idx="7">
                  <c:v>2099</c:v>
                </c:pt>
              </c:numCache>
            </c:numRef>
          </c:val>
        </c:ser>
        <c:marker val="1"/>
        <c:axId val="83702528"/>
        <c:axId val="83704064"/>
      </c:lineChart>
      <c:catAx>
        <c:axId val="83702528"/>
        <c:scaling>
          <c:orientation val="minMax"/>
        </c:scaling>
        <c:axPos val="b"/>
        <c:numFmt formatCode="General" sourceLinked="1"/>
        <c:tickLblPos val="nextTo"/>
        <c:txPr>
          <a:bodyPr/>
          <a:lstStyle/>
          <a:p>
            <a:pPr>
              <a:defRPr sz="900"/>
            </a:pPr>
            <a:endParaRPr lang="ar-SA"/>
          </a:p>
        </c:txPr>
        <c:crossAx val="83704064"/>
        <c:crosses val="autoZero"/>
        <c:auto val="1"/>
        <c:lblAlgn val="ctr"/>
        <c:lblOffset val="100"/>
      </c:catAx>
      <c:valAx>
        <c:axId val="83704064"/>
        <c:scaling>
          <c:orientation val="minMax"/>
        </c:scaling>
        <c:axPos val="l"/>
        <c:majorGridlines/>
        <c:title>
          <c:tx>
            <c:rich>
              <a:bodyPr rot="-5400000" vert="horz"/>
              <a:lstStyle/>
              <a:p>
                <a:pPr>
                  <a:defRPr/>
                </a:pPr>
                <a:r>
                  <a:rPr lang="en-US"/>
                  <a:t>Number of Licenses</a:t>
                </a:r>
              </a:p>
            </c:rich>
          </c:tx>
          <c:layout>
            <c:manualLayout>
              <c:xMode val="edge"/>
              <c:yMode val="edge"/>
              <c:x val="7.2071233031354978E-3"/>
              <c:y val="0.17060540129852189"/>
            </c:manualLayout>
          </c:layout>
        </c:title>
        <c:numFmt formatCode="0" sourceLinked="0"/>
        <c:tickLblPos val="nextTo"/>
        <c:crossAx val="83702528"/>
        <c:crosses val="autoZero"/>
        <c:crossBetween val="between"/>
      </c:valAx>
    </c:plotArea>
    <c:legend>
      <c:legendPos val="b"/>
      <c:layout>
        <c:manualLayout>
          <c:xMode val="edge"/>
          <c:yMode val="edge"/>
          <c:x val="0.27956989247311825"/>
          <c:y val="0.84788658459946031"/>
          <c:w val="0.63041091637738866"/>
          <c:h val="0.15211341540053971"/>
        </c:manualLayout>
      </c:layout>
      <c:spPr>
        <a:ln>
          <a:noFill/>
        </a:ln>
      </c:spPr>
    </c:legend>
    <c:plotVisOnly val="1"/>
  </c:chart>
  <c:spPr>
    <a:no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194</Words>
  <Characters>1112</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PCBS</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zhalees</cp:lastModifiedBy>
  <cp:revision>3</cp:revision>
  <dcterms:created xsi:type="dcterms:W3CDTF">2013-02-26T08:57:00Z</dcterms:created>
  <dcterms:modified xsi:type="dcterms:W3CDTF">2013-02-26T10:51:00Z</dcterms:modified>
</cp:coreProperties>
</file>