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5B" w:rsidRDefault="0015655B" w:rsidP="0015655B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15655B" w:rsidRDefault="0015655B" w:rsidP="008D3494">
      <w:pPr>
        <w:pStyle w:val="BodyText3"/>
        <w:ind w:right="1"/>
        <w:jc w:val="center"/>
        <w:rPr>
          <w:rFonts w:cs="Times New Roman"/>
          <w:sz w:val="28"/>
          <w:szCs w:val="28"/>
        </w:rPr>
      </w:pPr>
    </w:p>
    <w:p w:rsidR="0015655B" w:rsidRDefault="0015655B" w:rsidP="008D3494">
      <w:pPr>
        <w:pStyle w:val="BodyText3"/>
        <w:ind w:right="1"/>
        <w:jc w:val="center"/>
        <w:rPr>
          <w:rFonts w:cs="Times New Roman"/>
          <w:sz w:val="28"/>
          <w:szCs w:val="28"/>
        </w:rPr>
      </w:pPr>
    </w:p>
    <w:p w:rsidR="00D5056A" w:rsidRDefault="008D3494" w:rsidP="008D3494">
      <w:pPr>
        <w:pStyle w:val="BodyText3"/>
        <w:ind w:right="1"/>
        <w:jc w:val="center"/>
        <w:rPr>
          <w:rFonts w:ascii="Simplified Arabic" w:hAnsi="Simplified Arabic"/>
          <w:sz w:val="28"/>
          <w:szCs w:val="28"/>
        </w:rPr>
      </w:pPr>
      <w:r w:rsidRPr="007C4B73">
        <w:rPr>
          <w:rFonts w:ascii="Simplified Arabic" w:hAnsi="Simplified Arabic"/>
          <w:sz w:val="28"/>
          <w:szCs w:val="28"/>
        </w:rPr>
        <w:t>Decrease in the number of building licenses in Palestine*</w:t>
      </w:r>
    </w:p>
    <w:p w:rsidR="008D3494" w:rsidRPr="007C4B73" w:rsidRDefault="008D3494" w:rsidP="008D3494">
      <w:pPr>
        <w:pStyle w:val="BodyText3"/>
        <w:ind w:right="1"/>
        <w:jc w:val="center"/>
        <w:rPr>
          <w:rFonts w:ascii="Simplified Arabic" w:hAnsi="Simplified Arabic"/>
          <w:sz w:val="28"/>
          <w:szCs w:val="28"/>
        </w:rPr>
      </w:pPr>
      <w:bookmarkStart w:id="0" w:name="_GoBack"/>
      <w:bookmarkEnd w:id="0"/>
      <w:r w:rsidRPr="007C4B73">
        <w:rPr>
          <w:rFonts w:ascii="Simplified Arabic" w:hAnsi="Simplified Arabic"/>
          <w:sz w:val="28"/>
          <w:szCs w:val="28"/>
        </w:rPr>
        <w:t xml:space="preserve"> in the first quarter of 202</w:t>
      </w:r>
      <w:r w:rsidRPr="007C4B73">
        <w:rPr>
          <w:rFonts w:ascii="Simplified Arabic" w:hAnsi="Simplified Arabic"/>
          <w:sz w:val="28"/>
          <w:szCs w:val="28"/>
          <w:rtl/>
        </w:rPr>
        <w:t>5</w:t>
      </w:r>
      <w:r w:rsidRPr="007C4B73">
        <w:rPr>
          <w:rFonts w:ascii="Simplified Arabic" w:hAnsi="Simplified Arabic"/>
          <w:sz w:val="28"/>
          <w:szCs w:val="28"/>
        </w:rPr>
        <w:t xml:space="preserve"> compared with the fourth</w:t>
      </w:r>
      <w:r w:rsidRPr="007C4B73">
        <w:rPr>
          <w:rStyle w:val="y2iqfc"/>
          <w:rFonts w:ascii="Simplified Arabic" w:hAnsi="Simplified Arabic"/>
          <w:color w:val="202124"/>
          <w:sz w:val="28"/>
          <w:szCs w:val="28"/>
        </w:rPr>
        <w:t xml:space="preserve"> quarter</w:t>
      </w:r>
      <w:r w:rsidRPr="007C4B73">
        <w:rPr>
          <w:rFonts w:ascii="Simplified Arabic" w:hAnsi="Simplified Arabic"/>
          <w:sz w:val="28"/>
          <w:szCs w:val="28"/>
        </w:rPr>
        <w:t xml:space="preserve"> of 202</w:t>
      </w:r>
      <w:r w:rsidRPr="007C4B73">
        <w:rPr>
          <w:rFonts w:ascii="Simplified Arabic" w:hAnsi="Simplified Arabic"/>
          <w:sz w:val="28"/>
          <w:szCs w:val="28"/>
          <w:rtl/>
        </w:rPr>
        <w:t>4</w:t>
      </w:r>
    </w:p>
    <w:p w:rsidR="008D3494" w:rsidRPr="000925BA" w:rsidRDefault="008D3494" w:rsidP="008D3494">
      <w:pPr>
        <w:bidi w:val="0"/>
        <w:rPr>
          <w:color w:val="FF0000"/>
        </w:rPr>
      </w:pPr>
    </w:p>
    <w:p w:rsidR="008D3494" w:rsidRPr="0015655B" w:rsidRDefault="008D3494" w:rsidP="008D3494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26"/>
          <w:szCs w:val="26"/>
        </w:rPr>
      </w:pPr>
      <w:r w:rsidRPr="0015655B">
        <w:rPr>
          <w:color w:val="000000" w:themeColor="text1"/>
          <w:sz w:val="26"/>
          <w:szCs w:val="26"/>
        </w:rPr>
        <w:t xml:space="preserve">The total number of building licenses issued in the first quarter of </w:t>
      </w:r>
      <w:r w:rsidRPr="0015655B">
        <w:rPr>
          <w:rFonts w:hint="cs"/>
          <w:color w:val="000000" w:themeColor="text1"/>
          <w:sz w:val="26"/>
          <w:szCs w:val="26"/>
          <w:rtl/>
        </w:rPr>
        <w:t>2025</w:t>
      </w:r>
      <w:r w:rsidRPr="0015655B">
        <w:rPr>
          <w:color w:val="000000" w:themeColor="text1"/>
          <w:sz w:val="26"/>
          <w:szCs w:val="26"/>
        </w:rPr>
        <w:t xml:space="preserve"> decreased by </w:t>
      </w:r>
      <w:r w:rsidRPr="0015655B">
        <w:rPr>
          <w:rFonts w:hint="cs"/>
          <w:color w:val="000000" w:themeColor="text1"/>
          <w:sz w:val="26"/>
          <w:szCs w:val="26"/>
          <w:rtl/>
        </w:rPr>
        <w:t>24</w:t>
      </w:r>
      <w:r w:rsidRPr="0015655B">
        <w:rPr>
          <w:color w:val="000000" w:themeColor="text1"/>
          <w:sz w:val="26"/>
          <w:szCs w:val="26"/>
        </w:rPr>
        <w:t>% compared with the fourth quarter</w:t>
      </w:r>
      <w:bookmarkStart w:id="1" w:name="OLE_LINK12"/>
      <w:r w:rsidRPr="0015655B">
        <w:rPr>
          <w:color w:val="000000" w:themeColor="text1"/>
          <w:sz w:val="26"/>
          <w:szCs w:val="26"/>
        </w:rPr>
        <w:t xml:space="preserve"> of 202</w:t>
      </w:r>
      <w:r w:rsidRPr="0015655B">
        <w:rPr>
          <w:rFonts w:hint="cs"/>
          <w:color w:val="000000" w:themeColor="text1"/>
          <w:sz w:val="26"/>
          <w:szCs w:val="26"/>
          <w:rtl/>
        </w:rPr>
        <w:t>4</w:t>
      </w:r>
      <w:r w:rsidRPr="0015655B">
        <w:rPr>
          <w:color w:val="000000" w:themeColor="text1"/>
          <w:sz w:val="26"/>
          <w:szCs w:val="26"/>
        </w:rPr>
        <w:t xml:space="preserve">, while it </w:t>
      </w:r>
      <w:bookmarkEnd w:id="1"/>
      <w:r w:rsidRPr="0015655B">
        <w:rPr>
          <w:color w:val="000000" w:themeColor="text1"/>
          <w:sz w:val="26"/>
          <w:szCs w:val="26"/>
        </w:rPr>
        <w:t xml:space="preserve">decreased by </w:t>
      </w:r>
      <w:r w:rsidRPr="0015655B">
        <w:rPr>
          <w:rFonts w:hint="cs"/>
          <w:color w:val="000000" w:themeColor="text1"/>
          <w:sz w:val="26"/>
          <w:szCs w:val="26"/>
          <w:rtl/>
        </w:rPr>
        <w:t>1</w:t>
      </w:r>
      <w:r w:rsidRPr="0015655B">
        <w:rPr>
          <w:color w:val="000000" w:themeColor="text1"/>
          <w:sz w:val="26"/>
          <w:szCs w:val="26"/>
        </w:rPr>
        <w:t>1% compared with the first</w:t>
      </w:r>
      <w:r w:rsidRPr="0015655B">
        <w:rPr>
          <w:rFonts w:cs="Simplified Arabic"/>
          <w:color w:val="000000" w:themeColor="text1"/>
          <w:sz w:val="26"/>
          <w:szCs w:val="26"/>
        </w:rPr>
        <w:t xml:space="preserve"> </w:t>
      </w:r>
      <w:r w:rsidRPr="0015655B">
        <w:rPr>
          <w:color w:val="000000" w:themeColor="text1"/>
          <w:sz w:val="26"/>
          <w:szCs w:val="26"/>
        </w:rPr>
        <w:t xml:space="preserve">quarter of </w:t>
      </w:r>
      <w:r w:rsidRPr="0015655B">
        <w:rPr>
          <w:rFonts w:hint="cs"/>
          <w:color w:val="000000" w:themeColor="text1"/>
          <w:sz w:val="26"/>
          <w:szCs w:val="26"/>
          <w:rtl/>
        </w:rPr>
        <w:t>2024</w:t>
      </w:r>
      <w:r w:rsidRPr="0015655B">
        <w:rPr>
          <w:color w:val="000000" w:themeColor="text1"/>
          <w:sz w:val="26"/>
          <w:szCs w:val="26"/>
        </w:rPr>
        <w:t>, at the same time the number of new building licenses decreased by 21% compared with the fourth quarter of 2024, while it decreased by 9% compared with the first quarter of 2024.</w:t>
      </w:r>
    </w:p>
    <w:p w:rsidR="008D3494" w:rsidRPr="0015655B" w:rsidRDefault="008D3494" w:rsidP="008D3494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26"/>
          <w:szCs w:val="26"/>
          <w:rtl/>
        </w:rPr>
      </w:pPr>
    </w:p>
    <w:p w:rsidR="008D3494" w:rsidRPr="0015655B" w:rsidRDefault="008D3494" w:rsidP="008D3494">
      <w:pPr>
        <w:bidi w:val="0"/>
        <w:ind w:right="-2"/>
        <w:jc w:val="both"/>
        <w:rPr>
          <w:color w:val="000000" w:themeColor="text1"/>
          <w:sz w:val="26"/>
          <w:szCs w:val="26"/>
        </w:rPr>
      </w:pPr>
      <w:r w:rsidRPr="0015655B">
        <w:rPr>
          <w:rFonts w:cs="Simplified Arabic"/>
          <w:color w:val="000000" w:themeColor="text1"/>
          <w:sz w:val="26"/>
          <w:szCs w:val="26"/>
        </w:rPr>
        <w:t>A total</w:t>
      </w:r>
      <w:r w:rsidRPr="0015655B">
        <w:rPr>
          <w:rFonts w:cs="Simplified Arabic"/>
          <w:b/>
          <w:bCs/>
          <w:color w:val="000000" w:themeColor="text1"/>
          <w:sz w:val="26"/>
          <w:szCs w:val="26"/>
        </w:rPr>
        <w:t xml:space="preserve"> </w:t>
      </w:r>
      <w:r w:rsidRPr="0015655B">
        <w:rPr>
          <w:color w:val="000000" w:themeColor="text1"/>
          <w:sz w:val="26"/>
          <w:szCs w:val="26"/>
        </w:rPr>
        <w:t xml:space="preserve">of 1,449 building licenses were issued in the first quarter of 2025, of which 819 are new buildings. </w:t>
      </w:r>
    </w:p>
    <w:p w:rsidR="008D3494" w:rsidRPr="0015655B" w:rsidRDefault="008D3494" w:rsidP="008D3494">
      <w:pPr>
        <w:bidi w:val="0"/>
        <w:ind w:right="-2"/>
        <w:jc w:val="both"/>
        <w:rPr>
          <w:color w:val="000000" w:themeColor="text1"/>
          <w:sz w:val="26"/>
          <w:szCs w:val="26"/>
        </w:rPr>
      </w:pPr>
    </w:p>
    <w:p w:rsidR="008D3494" w:rsidRPr="0015655B" w:rsidRDefault="008D3494" w:rsidP="008D3494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26"/>
          <w:szCs w:val="26"/>
          <w:rtl/>
        </w:rPr>
      </w:pPr>
      <w:r w:rsidRPr="0015655B">
        <w:rPr>
          <w:color w:val="000000" w:themeColor="text1"/>
          <w:sz w:val="26"/>
          <w:szCs w:val="26"/>
        </w:rPr>
        <w:t>The area of licensed buildings (residential and non-residential) totaled 803 thousand m</w:t>
      </w:r>
      <w:r w:rsidRPr="0015655B">
        <w:rPr>
          <w:color w:val="000000" w:themeColor="text1"/>
          <w:sz w:val="26"/>
          <w:szCs w:val="26"/>
          <w:vertAlign w:val="superscript"/>
        </w:rPr>
        <w:t>2</w:t>
      </w:r>
      <w:r w:rsidRPr="0015655B">
        <w:rPr>
          <w:color w:val="000000" w:themeColor="text1"/>
          <w:sz w:val="26"/>
          <w:szCs w:val="26"/>
        </w:rPr>
        <w:t>, of which new buildings made up 656 thousand m</w:t>
      </w:r>
      <w:r w:rsidRPr="0015655B">
        <w:rPr>
          <w:color w:val="000000" w:themeColor="text1"/>
          <w:sz w:val="26"/>
          <w:szCs w:val="26"/>
          <w:vertAlign w:val="superscript"/>
        </w:rPr>
        <w:t>2</w:t>
      </w:r>
      <w:r w:rsidRPr="0015655B">
        <w:rPr>
          <w:color w:val="000000" w:themeColor="text1"/>
          <w:sz w:val="26"/>
          <w:szCs w:val="26"/>
        </w:rPr>
        <w:t xml:space="preserve"> and existing buildings comprised 148 thousand m</w:t>
      </w:r>
      <w:r w:rsidRPr="0015655B">
        <w:rPr>
          <w:color w:val="000000" w:themeColor="text1"/>
          <w:sz w:val="26"/>
          <w:szCs w:val="26"/>
          <w:vertAlign w:val="superscript"/>
        </w:rPr>
        <w:t>2</w:t>
      </w:r>
      <w:r w:rsidRPr="0015655B">
        <w:rPr>
          <w:color w:val="000000" w:themeColor="text1"/>
          <w:sz w:val="26"/>
          <w:szCs w:val="26"/>
        </w:rPr>
        <w:t>.</w:t>
      </w:r>
    </w:p>
    <w:p w:rsidR="008D3494" w:rsidRPr="0015655B" w:rsidRDefault="008D3494" w:rsidP="008D3494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26"/>
          <w:szCs w:val="26"/>
        </w:rPr>
      </w:pPr>
    </w:p>
    <w:p w:rsidR="008D3494" w:rsidRPr="0015655B" w:rsidRDefault="008D3494" w:rsidP="008D3494">
      <w:pPr>
        <w:bidi w:val="0"/>
        <w:jc w:val="both"/>
        <w:rPr>
          <w:color w:val="000000" w:themeColor="text1"/>
          <w:sz w:val="26"/>
          <w:szCs w:val="26"/>
          <w:lang w:eastAsia="en-US"/>
        </w:rPr>
      </w:pPr>
      <w:r w:rsidRPr="0015655B">
        <w:rPr>
          <w:color w:val="000000" w:themeColor="text1"/>
          <w:sz w:val="26"/>
          <w:szCs w:val="26"/>
        </w:rPr>
        <w:t>The total number of licensed dwellings was 2,955 with a total area of 499 thousand m</w:t>
      </w:r>
      <w:r w:rsidRPr="0015655B">
        <w:rPr>
          <w:color w:val="000000" w:themeColor="text1"/>
          <w:sz w:val="26"/>
          <w:szCs w:val="26"/>
          <w:vertAlign w:val="superscript"/>
        </w:rPr>
        <w:t>2</w:t>
      </w:r>
      <w:r w:rsidRPr="0015655B">
        <w:rPr>
          <w:color w:val="000000" w:themeColor="text1"/>
          <w:sz w:val="26"/>
          <w:szCs w:val="26"/>
        </w:rPr>
        <w:t>, of which 2,303</w:t>
      </w:r>
      <w:r w:rsidRPr="0015655B">
        <w:rPr>
          <w:rFonts w:eastAsia="Arial Unicode MS"/>
          <w:color w:val="000000" w:themeColor="text1"/>
          <w:sz w:val="26"/>
          <w:szCs w:val="26"/>
        </w:rPr>
        <w:t xml:space="preserve"> were </w:t>
      </w:r>
      <w:r w:rsidRPr="0015655B">
        <w:rPr>
          <w:color w:val="000000" w:themeColor="text1"/>
          <w:sz w:val="26"/>
          <w:szCs w:val="26"/>
        </w:rPr>
        <w:t>new dwellings with a total area of 392 thousand m</w:t>
      </w:r>
      <w:r w:rsidRPr="0015655B">
        <w:rPr>
          <w:color w:val="000000" w:themeColor="text1"/>
          <w:sz w:val="26"/>
          <w:szCs w:val="26"/>
          <w:vertAlign w:val="superscript"/>
        </w:rPr>
        <w:t>2</w:t>
      </w:r>
      <w:r w:rsidRPr="0015655B">
        <w:rPr>
          <w:color w:val="000000" w:themeColor="text1"/>
          <w:sz w:val="26"/>
          <w:szCs w:val="26"/>
        </w:rPr>
        <w:t xml:space="preserve"> and 652 were existing dwellings with a total area of 107 thousand m</w:t>
      </w:r>
      <w:r w:rsidRPr="0015655B">
        <w:rPr>
          <w:color w:val="000000" w:themeColor="text1"/>
          <w:sz w:val="26"/>
          <w:szCs w:val="26"/>
          <w:vertAlign w:val="superscript"/>
        </w:rPr>
        <w:t>2</w:t>
      </w:r>
      <w:r w:rsidRPr="0015655B">
        <w:rPr>
          <w:color w:val="000000" w:themeColor="text1"/>
          <w:sz w:val="26"/>
          <w:szCs w:val="26"/>
        </w:rPr>
        <w:t xml:space="preserve">. </w:t>
      </w:r>
    </w:p>
    <w:p w:rsidR="008D3494" w:rsidRPr="0015655B" w:rsidRDefault="008D3494" w:rsidP="008D3494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26"/>
          <w:szCs w:val="26"/>
          <w:rtl/>
        </w:rPr>
      </w:pPr>
    </w:p>
    <w:p w:rsidR="008D3494" w:rsidRPr="0015655B" w:rsidRDefault="008D3494" w:rsidP="00A72C12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15655B">
        <w:rPr>
          <w:color w:val="000000" w:themeColor="text1"/>
          <w:sz w:val="26"/>
          <w:szCs w:val="26"/>
        </w:rPr>
        <w:t xml:space="preserve">The number of new dwellings in the first quarter of 2025 </w:t>
      </w:r>
      <w:r w:rsidR="00A72C12" w:rsidRPr="0015655B">
        <w:rPr>
          <w:sz w:val="26"/>
          <w:szCs w:val="26"/>
        </w:rPr>
        <w:t>decreased</w:t>
      </w:r>
      <w:r w:rsidRPr="0015655B">
        <w:rPr>
          <w:color w:val="000000" w:themeColor="text1"/>
          <w:sz w:val="26"/>
          <w:szCs w:val="26"/>
        </w:rPr>
        <w:t xml:space="preserve"> by 24% compared with the fourth </w:t>
      </w:r>
      <w:r w:rsidRPr="0015655B">
        <w:rPr>
          <w:sz w:val="26"/>
          <w:szCs w:val="26"/>
        </w:rPr>
        <w:t>quarter of 2024, while it decreased by 15% compared with the first quarter of 2024.</w:t>
      </w:r>
    </w:p>
    <w:p w:rsidR="008D3494" w:rsidRPr="00DE78F6" w:rsidRDefault="008D3494" w:rsidP="008D349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</w:p>
    <w:p w:rsidR="008D3494" w:rsidRPr="000925BA" w:rsidRDefault="008D3494" w:rsidP="008D3494">
      <w:pPr>
        <w:pStyle w:val="Header"/>
        <w:bidi w:val="0"/>
        <w:spacing w:line="276" w:lineRule="auto"/>
        <w:jc w:val="both"/>
        <w:rPr>
          <w:b/>
          <w:bCs/>
          <w:sz w:val="22"/>
          <w:szCs w:val="22"/>
          <w:lang w:eastAsia="en-US"/>
        </w:rPr>
      </w:pPr>
      <w:r w:rsidRPr="000925BA">
        <w:rPr>
          <w:b/>
          <w:bCs/>
          <w:sz w:val="22"/>
          <w:szCs w:val="22"/>
        </w:rPr>
        <w:t xml:space="preserve">Notice: </w:t>
      </w:r>
    </w:p>
    <w:p w:rsidR="008D3494" w:rsidRPr="000925BA" w:rsidRDefault="008D3494" w:rsidP="008D3494">
      <w:pPr>
        <w:pStyle w:val="Header"/>
        <w:tabs>
          <w:tab w:val="clear" w:pos="4153"/>
          <w:tab w:val="clear" w:pos="8306"/>
          <w:tab w:val="left" w:pos="720"/>
          <w:tab w:val="center" w:pos="4320"/>
          <w:tab w:val="right" w:pos="8640"/>
        </w:tabs>
        <w:bidi w:val="0"/>
        <w:snapToGrid w:val="0"/>
        <w:jc w:val="both"/>
        <w:rPr>
          <w:b/>
          <w:bCs/>
          <w:sz w:val="22"/>
          <w:szCs w:val="22"/>
          <w:lang w:bidi="ar-JO"/>
        </w:rPr>
      </w:pPr>
      <w:r w:rsidRPr="000925BA">
        <w:rPr>
          <w:b/>
          <w:bCs/>
          <w:sz w:val="22"/>
          <w:szCs w:val="22"/>
        </w:rPr>
        <w:t>In Gaza Strip, there are no licenses issued for this quarter due to the Israeli aggression against it</w:t>
      </w:r>
      <w:r w:rsidRPr="000925BA">
        <w:rPr>
          <w:rFonts w:hint="cs"/>
          <w:b/>
          <w:bCs/>
          <w:sz w:val="22"/>
          <w:szCs w:val="22"/>
          <w:rtl/>
          <w:lang w:bidi="ar-JO"/>
        </w:rPr>
        <w:t>.</w:t>
      </w:r>
    </w:p>
    <w:p w:rsidR="008D3494" w:rsidRDefault="008D3494" w:rsidP="008D349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2"/>
          <w:szCs w:val="22"/>
          <w:rtl/>
        </w:rPr>
      </w:pPr>
    </w:p>
    <w:p w:rsidR="008D3494" w:rsidRPr="000925BA" w:rsidRDefault="008D3494" w:rsidP="008D3494">
      <w:pPr>
        <w:bidi w:val="0"/>
        <w:ind w:left="-108"/>
        <w:jc w:val="center"/>
        <w:rPr>
          <w:b/>
          <w:bCs/>
          <w:sz w:val="22"/>
          <w:szCs w:val="22"/>
        </w:rPr>
      </w:pPr>
      <w:r w:rsidRPr="000925BA">
        <w:rPr>
          <w:b/>
          <w:bCs/>
          <w:sz w:val="22"/>
          <w:szCs w:val="22"/>
        </w:rPr>
        <w:t xml:space="preserve">Number of Building Licenses Issued in Palestine* during the period, </w:t>
      </w:r>
    </w:p>
    <w:p w:rsidR="008D3494" w:rsidRPr="000925BA" w:rsidRDefault="008D3494" w:rsidP="008D3494">
      <w:pPr>
        <w:bidi w:val="0"/>
        <w:ind w:left="-108"/>
        <w:jc w:val="center"/>
        <w:rPr>
          <w:b/>
          <w:bCs/>
          <w:sz w:val="22"/>
          <w:szCs w:val="22"/>
        </w:rPr>
      </w:pPr>
      <w:r w:rsidRPr="000925BA">
        <w:rPr>
          <w:b/>
          <w:bCs/>
          <w:sz w:val="22"/>
          <w:szCs w:val="22"/>
        </w:rPr>
        <w:t>F</w:t>
      </w:r>
      <w:r>
        <w:rPr>
          <w:b/>
          <w:bCs/>
          <w:sz w:val="22"/>
          <w:szCs w:val="22"/>
        </w:rPr>
        <w:t>irst</w:t>
      </w:r>
      <w:r w:rsidRPr="000925BA">
        <w:rPr>
          <w:b/>
          <w:bCs/>
          <w:sz w:val="22"/>
          <w:szCs w:val="22"/>
        </w:rPr>
        <w:t xml:space="preserve"> Quarter </w:t>
      </w:r>
      <w:r>
        <w:rPr>
          <w:b/>
          <w:bCs/>
          <w:sz w:val="22"/>
          <w:szCs w:val="22"/>
        </w:rPr>
        <w:t>2024</w:t>
      </w:r>
      <w:r w:rsidRPr="000925BA">
        <w:rPr>
          <w:b/>
          <w:bCs/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First</w:t>
      </w:r>
      <w:r w:rsidRPr="000925BA">
        <w:rPr>
          <w:b/>
          <w:bCs/>
          <w:sz w:val="22"/>
          <w:szCs w:val="22"/>
        </w:rPr>
        <w:t xml:space="preserve"> Quarter </w:t>
      </w:r>
      <w:r>
        <w:rPr>
          <w:b/>
          <w:bCs/>
          <w:sz w:val="22"/>
          <w:szCs w:val="22"/>
        </w:rPr>
        <w:t>2025</w:t>
      </w:r>
    </w:p>
    <w:p w:rsidR="008D3494" w:rsidRPr="001163C8" w:rsidRDefault="008D3494" w:rsidP="008D3494">
      <w:pPr>
        <w:bidi w:val="0"/>
        <w:ind w:left="-142" w:right="283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 wp14:anchorId="2E758A26" wp14:editId="6E41AB3E">
            <wp:extent cx="3243533" cy="2561590"/>
            <wp:effectExtent l="0" t="0" r="0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3494" w:rsidRDefault="008D3494" w:rsidP="008D3494">
      <w:pPr>
        <w:bidi w:val="0"/>
        <w:jc w:val="lowKashida"/>
        <w:rPr>
          <w:sz w:val="20"/>
          <w:szCs w:val="20"/>
          <w:rtl/>
        </w:rPr>
      </w:pPr>
    </w:p>
    <w:p w:rsidR="008D3494" w:rsidRPr="0015655B" w:rsidRDefault="008D3494" w:rsidP="008D3494">
      <w:pPr>
        <w:bidi w:val="0"/>
        <w:jc w:val="lowKashida"/>
        <w:rPr>
          <w:b/>
          <w:bCs/>
          <w:sz w:val="22"/>
          <w:szCs w:val="22"/>
        </w:rPr>
      </w:pPr>
      <w:r w:rsidRPr="0015655B">
        <w:rPr>
          <w:b/>
          <w:bCs/>
          <w:sz w:val="22"/>
          <w:szCs w:val="22"/>
        </w:rPr>
        <w:t>*Data excluded those parts of Jerusalem, which were annexed by Israeli occupation in 1967.</w:t>
      </w:r>
    </w:p>
    <w:p w:rsidR="008D3494" w:rsidRPr="001163C8" w:rsidRDefault="008D3494" w:rsidP="008D3494">
      <w:pPr>
        <w:bidi w:val="0"/>
        <w:jc w:val="lowKashida"/>
        <w:rPr>
          <w:rtl/>
        </w:rPr>
      </w:pPr>
    </w:p>
    <w:p w:rsidR="008D3494" w:rsidRPr="001163C8" w:rsidRDefault="008D3494" w:rsidP="008D3494">
      <w:pPr>
        <w:bidi w:val="0"/>
        <w:jc w:val="lowKashida"/>
        <w:rPr>
          <w:rtl/>
        </w:rPr>
      </w:pPr>
    </w:p>
    <w:p w:rsidR="00EB1374" w:rsidRDefault="00EB1374" w:rsidP="00EB1374">
      <w:pPr>
        <w:bidi w:val="0"/>
        <w:jc w:val="both"/>
      </w:pPr>
    </w:p>
    <w:p w:rsidR="00D86248" w:rsidRPr="00FF311E" w:rsidRDefault="00D86248" w:rsidP="0010581E">
      <w:pPr>
        <w:bidi w:val="0"/>
        <w:rPr>
          <w:sz w:val="18"/>
          <w:szCs w:val="18"/>
          <w:rtl/>
        </w:rPr>
      </w:pPr>
    </w:p>
    <w:sectPr w:rsidR="00D86248" w:rsidRPr="00FF311E" w:rsidSect="0015655B">
      <w:pgSz w:w="11906" w:h="16838"/>
      <w:pgMar w:top="851" w:right="851" w:bottom="851" w:left="851" w:header="709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44A" w:rsidRDefault="005D544A">
      <w:r>
        <w:separator/>
      </w:r>
    </w:p>
  </w:endnote>
  <w:endnote w:type="continuationSeparator" w:id="0">
    <w:p w:rsidR="005D544A" w:rsidRDefault="005D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44A" w:rsidRDefault="005D544A">
      <w:r>
        <w:separator/>
      </w:r>
    </w:p>
  </w:footnote>
  <w:footnote w:type="continuationSeparator" w:id="0">
    <w:p w:rsidR="005D544A" w:rsidRDefault="005D5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8"/>
    <w:rsid w:val="000006FE"/>
    <w:rsid w:val="00000B52"/>
    <w:rsid w:val="00005433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37CF0"/>
    <w:rsid w:val="00043AC2"/>
    <w:rsid w:val="00043C9B"/>
    <w:rsid w:val="00046807"/>
    <w:rsid w:val="00050DDA"/>
    <w:rsid w:val="00053AB0"/>
    <w:rsid w:val="00056E7D"/>
    <w:rsid w:val="00061FFF"/>
    <w:rsid w:val="000764A8"/>
    <w:rsid w:val="00076B0B"/>
    <w:rsid w:val="00080A9E"/>
    <w:rsid w:val="00083CA3"/>
    <w:rsid w:val="0008438B"/>
    <w:rsid w:val="0009543A"/>
    <w:rsid w:val="000B1717"/>
    <w:rsid w:val="000C165A"/>
    <w:rsid w:val="000D039E"/>
    <w:rsid w:val="000D39A9"/>
    <w:rsid w:val="000D495D"/>
    <w:rsid w:val="000D765C"/>
    <w:rsid w:val="000D7803"/>
    <w:rsid w:val="000D7823"/>
    <w:rsid w:val="000E5797"/>
    <w:rsid w:val="000F2C7F"/>
    <w:rsid w:val="000F4391"/>
    <w:rsid w:val="001019B5"/>
    <w:rsid w:val="0010581E"/>
    <w:rsid w:val="001119BD"/>
    <w:rsid w:val="00120017"/>
    <w:rsid w:val="0012134D"/>
    <w:rsid w:val="00123762"/>
    <w:rsid w:val="00132E5C"/>
    <w:rsid w:val="0014132B"/>
    <w:rsid w:val="00141A21"/>
    <w:rsid w:val="00141E39"/>
    <w:rsid w:val="0014507F"/>
    <w:rsid w:val="00145E0C"/>
    <w:rsid w:val="00150FB0"/>
    <w:rsid w:val="0015655B"/>
    <w:rsid w:val="00160B4A"/>
    <w:rsid w:val="00162331"/>
    <w:rsid w:val="001672DA"/>
    <w:rsid w:val="0017506D"/>
    <w:rsid w:val="00175CB9"/>
    <w:rsid w:val="00177FF2"/>
    <w:rsid w:val="00182471"/>
    <w:rsid w:val="00182499"/>
    <w:rsid w:val="00187ACA"/>
    <w:rsid w:val="00187BED"/>
    <w:rsid w:val="00190C8B"/>
    <w:rsid w:val="00195DAC"/>
    <w:rsid w:val="00196F0F"/>
    <w:rsid w:val="00197B48"/>
    <w:rsid w:val="001A0C03"/>
    <w:rsid w:val="001A41FE"/>
    <w:rsid w:val="001B119F"/>
    <w:rsid w:val="001B2900"/>
    <w:rsid w:val="001B2937"/>
    <w:rsid w:val="001B36CF"/>
    <w:rsid w:val="001B3D24"/>
    <w:rsid w:val="001B7FE1"/>
    <w:rsid w:val="001C0DDE"/>
    <w:rsid w:val="001C1C42"/>
    <w:rsid w:val="001C53E9"/>
    <w:rsid w:val="001C724B"/>
    <w:rsid w:val="001E1151"/>
    <w:rsid w:val="001E47CA"/>
    <w:rsid w:val="001E5226"/>
    <w:rsid w:val="001F408D"/>
    <w:rsid w:val="001F4777"/>
    <w:rsid w:val="001F5F1F"/>
    <w:rsid w:val="00204997"/>
    <w:rsid w:val="00204B4D"/>
    <w:rsid w:val="0020624F"/>
    <w:rsid w:val="002077B4"/>
    <w:rsid w:val="0021253B"/>
    <w:rsid w:val="00226FE2"/>
    <w:rsid w:val="002271B1"/>
    <w:rsid w:val="00236C1B"/>
    <w:rsid w:val="00243761"/>
    <w:rsid w:val="00253712"/>
    <w:rsid w:val="00253E3B"/>
    <w:rsid w:val="002547F3"/>
    <w:rsid w:val="00257695"/>
    <w:rsid w:val="002602B9"/>
    <w:rsid w:val="00260E1B"/>
    <w:rsid w:val="00261AAD"/>
    <w:rsid w:val="002625FA"/>
    <w:rsid w:val="00267FBF"/>
    <w:rsid w:val="00273F5D"/>
    <w:rsid w:val="0028004F"/>
    <w:rsid w:val="00283538"/>
    <w:rsid w:val="00291073"/>
    <w:rsid w:val="0029128C"/>
    <w:rsid w:val="00291575"/>
    <w:rsid w:val="00291D18"/>
    <w:rsid w:val="002924A1"/>
    <w:rsid w:val="002A6DE9"/>
    <w:rsid w:val="002B0076"/>
    <w:rsid w:val="002B118B"/>
    <w:rsid w:val="002B21BE"/>
    <w:rsid w:val="002B21CA"/>
    <w:rsid w:val="002C09B4"/>
    <w:rsid w:val="002C114E"/>
    <w:rsid w:val="002C4D32"/>
    <w:rsid w:val="002D03F3"/>
    <w:rsid w:val="002D5FBE"/>
    <w:rsid w:val="002E2249"/>
    <w:rsid w:val="002E4BA1"/>
    <w:rsid w:val="002E7471"/>
    <w:rsid w:val="002F0136"/>
    <w:rsid w:val="002F0B3D"/>
    <w:rsid w:val="002F2901"/>
    <w:rsid w:val="0031065D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3E78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006"/>
    <w:rsid w:val="003933DF"/>
    <w:rsid w:val="00395070"/>
    <w:rsid w:val="003A0268"/>
    <w:rsid w:val="003A2496"/>
    <w:rsid w:val="003A6B6E"/>
    <w:rsid w:val="003A6D43"/>
    <w:rsid w:val="003B47FE"/>
    <w:rsid w:val="003B5366"/>
    <w:rsid w:val="003B5E7A"/>
    <w:rsid w:val="003C323D"/>
    <w:rsid w:val="003C5040"/>
    <w:rsid w:val="003C5F57"/>
    <w:rsid w:val="003D7794"/>
    <w:rsid w:val="003E0581"/>
    <w:rsid w:val="003F3077"/>
    <w:rsid w:val="00401345"/>
    <w:rsid w:val="00403EF2"/>
    <w:rsid w:val="00404F1F"/>
    <w:rsid w:val="00405B7D"/>
    <w:rsid w:val="00406C22"/>
    <w:rsid w:val="00414E14"/>
    <w:rsid w:val="004221C9"/>
    <w:rsid w:val="00422AEE"/>
    <w:rsid w:val="0042410D"/>
    <w:rsid w:val="00425774"/>
    <w:rsid w:val="004337F9"/>
    <w:rsid w:val="00433A7F"/>
    <w:rsid w:val="00441CDE"/>
    <w:rsid w:val="00444C89"/>
    <w:rsid w:val="00456453"/>
    <w:rsid w:val="0046044B"/>
    <w:rsid w:val="00462153"/>
    <w:rsid w:val="004643E0"/>
    <w:rsid w:val="0046477F"/>
    <w:rsid w:val="004735A5"/>
    <w:rsid w:val="0047578D"/>
    <w:rsid w:val="00480D6B"/>
    <w:rsid w:val="004968B5"/>
    <w:rsid w:val="004A0549"/>
    <w:rsid w:val="004A12D7"/>
    <w:rsid w:val="004A1F6A"/>
    <w:rsid w:val="004A4FB4"/>
    <w:rsid w:val="004A5D57"/>
    <w:rsid w:val="004B401A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30D2"/>
    <w:rsid w:val="00525B1A"/>
    <w:rsid w:val="0052785D"/>
    <w:rsid w:val="005340E0"/>
    <w:rsid w:val="00536DFB"/>
    <w:rsid w:val="00536F80"/>
    <w:rsid w:val="005371DD"/>
    <w:rsid w:val="00551864"/>
    <w:rsid w:val="00552521"/>
    <w:rsid w:val="00560204"/>
    <w:rsid w:val="005622FF"/>
    <w:rsid w:val="00565DA3"/>
    <w:rsid w:val="00576756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B49C2"/>
    <w:rsid w:val="005C0E77"/>
    <w:rsid w:val="005C4BE6"/>
    <w:rsid w:val="005C598C"/>
    <w:rsid w:val="005D00B6"/>
    <w:rsid w:val="005D2593"/>
    <w:rsid w:val="005D3BAF"/>
    <w:rsid w:val="005D544A"/>
    <w:rsid w:val="005E03AE"/>
    <w:rsid w:val="005E3D5C"/>
    <w:rsid w:val="005E7D59"/>
    <w:rsid w:val="005F1C2E"/>
    <w:rsid w:val="005F1CFD"/>
    <w:rsid w:val="005F7F8D"/>
    <w:rsid w:val="00610D6E"/>
    <w:rsid w:val="00611BA9"/>
    <w:rsid w:val="00621306"/>
    <w:rsid w:val="006260E0"/>
    <w:rsid w:val="00630B91"/>
    <w:rsid w:val="00631315"/>
    <w:rsid w:val="00633F38"/>
    <w:rsid w:val="00635210"/>
    <w:rsid w:val="00640B2B"/>
    <w:rsid w:val="006415D6"/>
    <w:rsid w:val="00641D78"/>
    <w:rsid w:val="00642E36"/>
    <w:rsid w:val="00643B50"/>
    <w:rsid w:val="0064473D"/>
    <w:rsid w:val="00646A8E"/>
    <w:rsid w:val="00647FAE"/>
    <w:rsid w:val="00650419"/>
    <w:rsid w:val="006531D5"/>
    <w:rsid w:val="00667427"/>
    <w:rsid w:val="00667515"/>
    <w:rsid w:val="006766F4"/>
    <w:rsid w:val="0068020A"/>
    <w:rsid w:val="00681617"/>
    <w:rsid w:val="0068360D"/>
    <w:rsid w:val="00684CD3"/>
    <w:rsid w:val="006874DB"/>
    <w:rsid w:val="006906E7"/>
    <w:rsid w:val="00694385"/>
    <w:rsid w:val="006A123E"/>
    <w:rsid w:val="006A6095"/>
    <w:rsid w:val="006B2AA7"/>
    <w:rsid w:val="006B41B1"/>
    <w:rsid w:val="006B6012"/>
    <w:rsid w:val="006B6F77"/>
    <w:rsid w:val="006C0264"/>
    <w:rsid w:val="006C3CC9"/>
    <w:rsid w:val="006C5B09"/>
    <w:rsid w:val="006F0009"/>
    <w:rsid w:val="006F5950"/>
    <w:rsid w:val="00700FD0"/>
    <w:rsid w:val="007021ED"/>
    <w:rsid w:val="00704505"/>
    <w:rsid w:val="00711A99"/>
    <w:rsid w:val="007129EF"/>
    <w:rsid w:val="0071502A"/>
    <w:rsid w:val="007172C8"/>
    <w:rsid w:val="00720671"/>
    <w:rsid w:val="0072178E"/>
    <w:rsid w:val="007218D7"/>
    <w:rsid w:val="00721A7F"/>
    <w:rsid w:val="00724EE2"/>
    <w:rsid w:val="007263DE"/>
    <w:rsid w:val="0073046D"/>
    <w:rsid w:val="00731C43"/>
    <w:rsid w:val="00734203"/>
    <w:rsid w:val="007379D0"/>
    <w:rsid w:val="0074025D"/>
    <w:rsid w:val="00744B7E"/>
    <w:rsid w:val="0074751A"/>
    <w:rsid w:val="0075032D"/>
    <w:rsid w:val="00756650"/>
    <w:rsid w:val="00774C9D"/>
    <w:rsid w:val="00777AC6"/>
    <w:rsid w:val="00777F24"/>
    <w:rsid w:val="00780C2F"/>
    <w:rsid w:val="00780CDD"/>
    <w:rsid w:val="0078489B"/>
    <w:rsid w:val="00784DFC"/>
    <w:rsid w:val="00785266"/>
    <w:rsid w:val="00786B8F"/>
    <w:rsid w:val="00795B7A"/>
    <w:rsid w:val="00796010"/>
    <w:rsid w:val="007978E6"/>
    <w:rsid w:val="007B03F4"/>
    <w:rsid w:val="007C4B73"/>
    <w:rsid w:val="007C5A08"/>
    <w:rsid w:val="007C715F"/>
    <w:rsid w:val="007C7B9A"/>
    <w:rsid w:val="007D1287"/>
    <w:rsid w:val="007D2039"/>
    <w:rsid w:val="007D2BC6"/>
    <w:rsid w:val="007D3654"/>
    <w:rsid w:val="007F04E7"/>
    <w:rsid w:val="007F1E2B"/>
    <w:rsid w:val="007F255B"/>
    <w:rsid w:val="007F3670"/>
    <w:rsid w:val="007F4B9B"/>
    <w:rsid w:val="007F4E05"/>
    <w:rsid w:val="008005E4"/>
    <w:rsid w:val="00801F29"/>
    <w:rsid w:val="008020F1"/>
    <w:rsid w:val="00813DB1"/>
    <w:rsid w:val="00816B58"/>
    <w:rsid w:val="00823658"/>
    <w:rsid w:val="00825092"/>
    <w:rsid w:val="00837CEF"/>
    <w:rsid w:val="008450FB"/>
    <w:rsid w:val="00845A9F"/>
    <w:rsid w:val="00851DE5"/>
    <w:rsid w:val="00853CE4"/>
    <w:rsid w:val="00854F43"/>
    <w:rsid w:val="00856D46"/>
    <w:rsid w:val="00860B74"/>
    <w:rsid w:val="00863720"/>
    <w:rsid w:val="0087475E"/>
    <w:rsid w:val="00891B38"/>
    <w:rsid w:val="00892C87"/>
    <w:rsid w:val="008973FE"/>
    <w:rsid w:val="008A2309"/>
    <w:rsid w:val="008A7399"/>
    <w:rsid w:val="008B022A"/>
    <w:rsid w:val="008B0374"/>
    <w:rsid w:val="008B0AD7"/>
    <w:rsid w:val="008B1864"/>
    <w:rsid w:val="008C055B"/>
    <w:rsid w:val="008C1BF9"/>
    <w:rsid w:val="008C64B6"/>
    <w:rsid w:val="008D2BA6"/>
    <w:rsid w:val="008D3494"/>
    <w:rsid w:val="008D6A47"/>
    <w:rsid w:val="008E38E5"/>
    <w:rsid w:val="008F03A6"/>
    <w:rsid w:val="008F603E"/>
    <w:rsid w:val="009019C7"/>
    <w:rsid w:val="00910ABD"/>
    <w:rsid w:val="009115D1"/>
    <w:rsid w:val="009207FA"/>
    <w:rsid w:val="009209F6"/>
    <w:rsid w:val="00933027"/>
    <w:rsid w:val="009338E7"/>
    <w:rsid w:val="009343BD"/>
    <w:rsid w:val="00935FD6"/>
    <w:rsid w:val="009373CB"/>
    <w:rsid w:val="00940260"/>
    <w:rsid w:val="0094467D"/>
    <w:rsid w:val="00944E10"/>
    <w:rsid w:val="009528CE"/>
    <w:rsid w:val="00953CE6"/>
    <w:rsid w:val="0095694E"/>
    <w:rsid w:val="00961942"/>
    <w:rsid w:val="00962A2F"/>
    <w:rsid w:val="00962F80"/>
    <w:rsid w:val="009652EB"/>
    <w:rsid w:val="009677F4"/>
    <w:rsid w:val="009820C8"/>
    <w:rsid w:val="009827BF"/>
    <w:rsid w:val="00983FAD"/>
    <w:rsid w:val="00991706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3B40"/>
    <w:rsid w:val="009B4622"/>
    <w:rsid w:val="009B52E1"/>
    <w:rsid w:val="009C4DB7"/>
    <w:rsid w:val="009D06AA"/>
    <w:rsid w:val="009D3EC3"/>
    <w:rsid w:val="009D732B"/>
    <w:rsid w:val="009E1040"/>
    <w:rsid w:val="009E23B1"/>
    <w:rsid w:val="009E6D70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32AE5"/>
    <w:rsid w:val="00A3677C"/>
    <w:rsid w:val="00A40233"/>
    <w:rsid w:val="00A41AC4"/>
    <w:rsid w:val="00A4700B"/>
    <w:rsid w:val="00A518DE"/>
    <w:rsid w:val="00A52CAE"/>
    <w:rsid w:val="00A71F7C"/>
    <w:rsid w:val="00A72C12"/>
    <w:rsid w:val="00A74822"/>
    <w:rsid w:val="00A74D80"/>
    <w:rsid w:val="00A808BD"/>
    <w:rsid w:val="00A81FCC"/>
    <w:rsid w:val="00A83F68"/>
    <w:rsid w:val="00A8699E"/>
    <w:rsid w:val="00A87FA5"/>
    <w:rsid w:val="00A937FB"/>
    <w:rsid w:val="00A94114"/>
    <w:rsid w:val="00A9633C"/>
    <w:rsid w:val="00AA10AD"/>
    <w:rsid w:val="00AA11D1"/>
    <w:rsid w:val="00AB2851"/>
    <w:rsid w:val="00AB4905"/>
    <w:rsid w:val="00AB547D"/>
    <w:rsid w:val="00AC0C16"/>
    <w:rsid w:val="00AC22E4"/>
    <w:rsid w:val="00AC272C"/>
    <w:rsid w:val="00AC2BEF"/>
    <w:rsid w:val="00AC3619"/>
    <w:rsid w:val="00AD7142"/>
    <w:rsid w:val="00AD75AA"/>
    <w:rsid w:val="00AD77DD"/>
    <w:rsid w:val="00AD786E"/>
    <w:rsid w:val="00AE1C18"/>
    <w:rsid w:val="00AE6A0B"/>
    <w:rsid w:val="00AF6273"/>
    <w:rsid w:val="00B14ED9"/>
    <w:rsid w:val="00B1686C"/>
    <w:rsid w:val="00B16912"/>
    <w:rsid w:val="00B174F0"/>
    <w:rsid w:val="00B3008C"/>
    <w:rsid w:val="00B4056E"/>
    <w:rsid w:val="00B40FDB"/>
    <w:rsid w:val="00B41703"/>
    <w:rsid w:val="00B44515"/>
    <w:rsid w:val="00B445AE"/>
    <w:rsid w:val="00B52792"/>
    <w:rsid w:val="00B52A61"/>
    <w:rsid w:val="00B536A4"/>
    <w:rsid w:val="00B63903"/>
    <w:rsid w:val="00B64F97"/>
    <w:rsid w:val="00B6558A"/>
    <w:rsid w:val="00B65998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0FF5"/>
    <w:rsid w:val="00BB2A6F"/>
    <w:rsid w:val="00BB5057"/>
    <w:rsid w:val="00BC2F03"/>
    <w:rsid w:val="00BC41A0"/>
    <w:rsid w:val="00BD1341"/>
    <w:rsid w:val="00BE077A"/>
    <w:rsid w:val="00BE274B"/>
    <w:rsid w:val="00BF026E"/>
    <w:rsid w:val="00BF20C5"/>
    <w:rsid w:val="00BF2CDC"/>
    <w:rsid w:val="00BF4F6B"/>
    <w:rsid w:val="00C013D5"/>
    <w:rsid w:val="00C064CC"/>
    <w:rsid w:val="00C06820"/>
    <w:rsid w:val="00C23517"/>
    <w:rsid w:val="00C24261"/>
    <w:rsid w:val="00C24288"/>
    <w:rsid w:val="00C24C85"/>
    <w:rsid w:val="00C2707F"/>
    <w:rsid w:val="00C3663D"/>
    <w:rsid w:val="00C368B9"/>
    <w:rsid w:val="00C4072A"/>
    <w:rsid w:val="00C417D1"/>
    <w:rsid w:val="00C42F50"/>
    <w:rsid w:val="00C4540B"/>
    <w:rsid w:val="00C463E5"/>
    <w:rsid w:val="00C50ABD"/>
    <w:rsid w:val="00C533F4"/>
    <w:rsid w:val="00C610E3"/>
    <w:rsid w:val="00C70BB8"/>
    <w:rsid w:val="00C73F86"/>
    <w:rsid w:val="00C74991"/>
    <w:rsid w:val="00C752F0"/>
    <w:rsid w:val="00C75768"/>
    <w:rsid w:val="00C761AC"/>
    <w:rsid w:val="00C8594D"/>
    <w:rsid w:val="00C90B00"/>
    <w:rsid w:val="00C9245F"/>
    <w:rsid w:val="00C96A00"/>
    <w:rsid w:val="00CA65AB"/>
    <w:rsid w:val="00CB32F3"/>
    <w:rsid w:val="00CD074D"/>
    <w:rsid w:val="00CE0118"/>
    <w:rsid w:val="00CF01F3"/>
    <w:rsid w:val="00CF15D3"/>
    <w:rsid w:val="00CF29BB"/>
    <w:rsid w:val="00D02BFD"/>
    <w:rsid w:val="00D100EF"/>
    <w:rsid w:val="00D125DA"/>
    <w:rsid w:val="00D172ED"/>
    <w:rsid w:val="00D20D98"/>
    <w:rsid w:val="00D23462"/>
    <w:rsid w:val="00D23D24"/>
    <w:rsid w:val="00D245FA"/>
    <w:rsid w:val="00D24EE0"/>
    <w:rsid w:val="00D26636"/>
    <w:rsid w:val="00D3095B"/>
    <w:rsid w:val="00D36FC3"/>
    <w:rsid w:val="00D36FCA"/>
    <w:rsid w:val="00D41653"/>
    <w:rsid w:val="00D41F1B"/>
    <w:rsid w:val="00D438FA"/>
    <w:rsid w:val="00D50387"/>
    <w:rsid w:val="00D5056A"/>
    <w:rsid w:val="00D62490"/>
    <w:rsid w:val="00D642DE"/>
    <w:rsid w:val="00D655C1"/>
    <w:rsid w:val="00D65A05"/>
    <w:rsid w:val="00D666AA"/>
    <w:rsid w:val="00D70354"/>
    <w:rsid w:val="00D74236"/>
    <w:rsid w:val="00D7516A"/>
    <w:rsid w:val="00D75338"/>
    <w:rsid w:val="00D80C7D"/>
    <w:rsid w:val="00D85188"/>
    <w:rsid w:val="00D86248"/>
    <w:rsid w:val="00D8653D"/>
    <w:rsid w:val="00D94D41"/>
    <w:rsid w:val="00DA3CBE"/>
    <w:rsid w:val="00DB419C"/>
    <w:rsid w:val="00DB4F7F"/>
    <w:rsid w:val="00DC166D"/>
    <w:rsid w:val="00DC6933"/>
    <w:rsid w:val="00DD1C5E"/>
    <w:rsid w:val="00DD1E95"/>
    <w:rsid w:val="00DD5B05"/>
    <w:rsid w:val="00DE1CEB"/>
    <w:rsid w:val="00DE2A73"/>
    <w:rsid w:val="00DE7D3F"/>
    <w:rsid w:val="00DF3D51"/>
    <w:rsid w:val="00DF3FF4"/>
    <w:rsid w:val="00DF41D8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25065"/>
    <w:rsid w:val="00E3440E"/>
    <w:rsid w:val="00E35EAB"/>
    <w:rsid w:val="00E36BC0"/>
    <w:rsid w:val="00E4140B"/>
    <w:rsid w:val="00E46993"/>
    <w:rsid w:val="00E51619"/>
    <w:rsid w:val="00E51943"/>
    <w:rsid w:val="00E539B7"/>
    <w:rsid w:val="00E562A1"/>
    <w:rsid w:val="00E60AD7"/>
    <w:rsid w:val="00E60EB3"/>
    <w:rsid w:val="00E64508"/>
    <w:rsid w:val="00E67CF4"/>
    <w:rsid w:val="00E73BBA"/>
    <w:rsid w:val="00E76177"/>
    <w:rsid w:val="00E7702A"/>
    <w:rsid w:val="00E80943"/>
    <w:rsid w:val="00E8099B"/>
    <w:rsid w:val="00E822F9"/>
    <w:rsid w:val="00E82A14"/>
    <w:rsid w:val="00E83B1F"/>
    <w:rsid w:val="00EA1E77"/>
    <w:rsid w:val="00EA5FD7"/>
    <w:rsid w:val="00EA6AFF"/>
    <w:rsid w:val="00EA78FD"/>
    <w:rsid w:val="00EB1374"/>
    <w:rsid w:val="00EB18B0"/>
    <w:rsid w:val="00EB516A"/>
    <w:rsid w:val="00EC2E67"/>
    <w:rsid w:val="00EC395C"/>
    <w:rsid w:val="00EC43B4"/>
    <w:rsid w:val="00EC459A"/>
    <w:rsid w:val="00EC610B"/>
    <w:rsid w:val="00EC7822"/>
    <w:rsid w:val="00EC7957"/>
    <w:rsid w:val="00ED0E13"/>
    <w:rsid w:val="00ED224B"/>
    <w:rsid w:val="00ED5C7B"/>
    <w:rsid w:val="00ED69B8"/>
    <w:rsid w:val="00ED7CEB"/>
    <w:rsid w:val="00EE66C5"/>
    <w:rsid w:val="00EF024B"/>
    <w:rsid w:val="00EF1853"/>
    <w:rsid w:val="00F0458C"/>
    <w:rsid w:val="00F066E3"/>
    <w:rsid w:val="00F1019D"/>
    <w:rsid w:val="00F2310E"/>
    <w:rsid w:val="00F23457"/>
    <w:rsid w:val="00F25A97"/>
    <w:rsid w:val="00F31F7E"/>
    <w:rsid w:val="00F375E0"/>
    <w:rsid w:val="00F50468"/>
    <w:rsid w:val="00F53D38"/>
    <w:rsid w:val="00F6352E"/>
    <w:rsid w:val="00F65495"/>
    <w:rsid w:val="00F734FE"/>
    <w:rsid w:val="00F746CE"/>
    <w:rsid w:val="00F754E1"/>
    <w:rsid w:val="00F812EA"/>
    <w:rsid w:val="00F879C2"/>
    <w:rsid w:val="00F87CE3"/>
    <w:rsid w:val="00F942FC"/>
    <w:rsid w:val="00F94F2D"/>
    <w:rsid w:val="00F9771A"/>
    <w:rsid w:val="00FA3E37"/>
    <w:rsid w:val="00FA674D"/>
    <w:rsid w:val="00FB0039"/>
    <w:rsid w:val="00FB0886"/>
    <w:rsid w:val="00FB2AF6"/>
    <w:rsid w:val="00FC13D6"/>
    <w:rsid w:val="00FC25A3"/>
    <w:rsid w:val="00FC3803"/>
    <w:rsid w:val="00FD16E7"/>
    <w:rsid w:val="00FD19BF"/>
    <w:rsid w:val="00FD2B21"/>
    <w:rsid w:val="00FD3943"/>
    <w:rsid w:val="00FD5515"/>
    <w:rsid w:val="00FD7AD3"/>
    <w:rsid w:val="00FE3526"/>
    <w:rsid w:val="00FE6744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7E966C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  <w:style w:type="character" w:customStyle="1" w:styleId="HeaderChar">
    <w:name w:val="Header Char"/>
    <w:basedOn w:val="DefaultParagraphFont"/>
    <w:link w:val="Header"/>
    <w:semiHidden/>
    <w:rsid w:val="001B290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6677339245637772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spPr>
            <a:ln>
              <a:gradFill>
                <a:gsLst>
                  <a:gs pos="0">
                    <a:srgbClr val="1F497D"/>
                  </a:gs>
                  <a:gs pos="74000">
                    <a:srgbClr val="4F81BD">
                      <a:lumMod val="45000"/>
                      <a:lumOff val="55000"/>
                    </a:srgbClr>
                  </a:gs>
                  <a:gs pos="83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tailEnd type="none"/>
            </a:ln>
          </c:spPr>
          <c:marker>
            <c:symbol val="triangle"/>
            <c:size val="7"/>
            <c:spPr>
              <a:ln>
                <a:solidFill>
                  <a:srgbClr val="4F81BD"/>
                </a:solidFill>
                <a:tailEnd type="triangle" w="lg" len="med"/>
              </a:ln>
            </c:spPr>
          </c:marker>
          <c:cat>
            <c:strRef>
              <c:f>Sheet1!$A$2:$A$6</c:f>
              <c:strCache>
                <c:ptCount val="5"/>
                <c:pt idx="0">
                  <c:v> Q I 2024</c:v>
                </c:pt>
                <c:pt idx="1">
                  <c:v> Q II 2024</c:v>
                </c:pt>
                <c:pt idx="2">
                  <c:v> Q III 2024</c:v>
                </c:pt>
                <c:pt idx="3">
                  <c:v> Q IV 2024</c:v>
                </c:pt>
                <c:pt idx="4">
                  <c:v> Q I 2025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236</c:v>
                </c:pt>
                <c:pt idx="1">
                  <c:v>216</c:v>
                </c:pt>
                <c:pt idx="2">
                  <c:v>268</c:v>
                </c:pt>
                <c:pt idx="3">
                  <c:v>326</c:v>
                </c:pt>
                <c:pt idx="4">
                  <c:v>222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CF5-4596-A098-C2C1D2F1F9A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 2024</c:v>
                </c:pt>
                <c:pt idx="1">
                  <c:v> Q II 2024</c:v>
                </c:pt>
                <c:pt idx="2">
                  <c:v> Q III 2024</c:v>
                </c:pt>
                <c:pt idx="3">
                  <c:v> Q IV 2024</c:v>
                </c:pt>
                <c:pt idx="4">
                  <c:v> Q I 2025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900</c:v>
                </c:pt>
                <c:pt idx="1">
                  <c:v>895</c:v>
                </c:pt>
                <c:pt idx="2">
                  <c:v>1048</c:v>
                </c:pt>
                <c:pt idx="3">
                  <c:v>1036</c:v>
                </c:pt>
                <c:pt idx="4">
                  <c:v>819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CF5-4596-A098-C2C1D2F1F9A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 2024</c:v>
                </c:pt>
                <c:pt idx="1">
                  <c:v> Q II 2024</c:v>
                </c:pt>
                <c:pt idx="2">
                  <c:v> Q III 2024</c:v>
                </c:pt>
                <c:pt idx="3">
                  <c:v> Q IV 2024</c:v>
                </c:pt>
                <c:pt idx="4">
                  <c:v> Q I 2025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1624</c:v>
                </c:pt>
                <c:pt idx="1">
                  <c:v>1591</c:v>
                </c:pt>
                <c:pt idx="2">
                  <c:v>1929</c:v>
                </c:pt>
                <c:pt idx="3">
                  <c:v>1905</c:v>
                </c:pt>
                <c:pt idx="4">
                  <c:v>1449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CF5-4596-A098-C2C1D2F1F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86720"/>
        <c:axId val="103190912"/>
      </c:lineChart>
      <c:catAx>
        <c:axId val="10308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03190912"/>
        <c:crosses val="autoZero"/>
        <c:auto val="1"/>
        <c:lblAlgn val="ctr"/>
        <c:lblOffset val="100"/>
        <c:noMultiLvlLbl val="0"/>
      </c:catAx>
      <c:valAx>
        <c:axId val="103190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85890615028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03086720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layout>
        <c:manualLayout>
          <c:xMode val="edge"/>
          <c:yMode val="edge"/>
          <c:x val="1.1383039271485486E-2"/>
          <c:y val="0.80822379850015025"/>
          <c:w val="0.81671709608524268"/>
          <c:h val="0.1917762014998497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13382-863D-43B7-BB4D-08C3CC20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LOAY SHEHADEH</cp:lastModifiedBy>
  <cp:revision>4</cp:revision>
  <cp:lastPrinted>2025-06-02T06:49:00Z</cp:lastPrinted>
  <dcterms:created xsi:type="dcterms:W3CDTF">2025-06-02T06:57:00Z</dcterms:created>
  <dcterms:modified xsi:type="dcterms:W3CDTF">2025-06-02T07:15:00Z</dcterms:modified>
</cp:coreProperties>
</file>