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70" w:rsidRDefault="00EC3470" w:rsidP="008F51BB">
      <w:pPr>
        <w:pStyle w:val="BodyText3"/>
        <w:ind w:right="1"/>
        <w:jc w:val="left"/>
        <w:rPr>
          <w:rFonts w:cs="Times New Roman"/>
        </w:rPr>
      </w:pPr>
    </w:p>
    <w:p w:rsidR="00EC3470" w:rsidRPr="00EC3470" w:rsidRDefault="00EC3470" w:rsidP="00EC3470">
      <w:pPr>
        <w:pStyle w:val="Heading1"/>
        <w:bidi w:val="0"/>
        <w:jc w:val="center"/>
        <w:rPr>
          <w:rFonts w:ascii="Simplified Arabic" w:hAnsi="Simplified Arabic" w:cs="Simplified Arabic"/>
          <w:b/>
          <w:bCs/>
          <w:color w:val="000000" w:themeColor="text1"/>
        </w:rPr>
      </w:pPr>
      <w:r w:rsidRPr="00EC3470">
        <w:rPr>
          <w:rFonts w:ascii="Simplified Arabic" w:hAnsi="Simplified Arabic" w:cs="Simplified Arabic"/>
          <w:b/>
          <w:bCs/>
          <w:color w:val="000000" w:themeColor="text1"/>
        </w:rPr>
        <w:t>Palestinian Central Bureau</w:t>
      </w:r>
      <w:r w:rsidRPr="00EC3470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EC3470">
        <w:rPr>
          <w:rFonts w:ascii="Simplified Arabic" w:hAnsi="Simplified Arabic" w:cs="Simplified Arabic"/>
          <w:b/>
          <w:bCs/>
          <w:color w:val="000000" w:themeColor="text1"/>
        </w:rPr>
        <w:t>of Statistics</w:t>
      </w:r>
      <w:r w:rsidRPr="00EC3470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) </w:t>
      </w:r>
      <w:r w:rsidRPr="00EC3470">
        <w:rPr>
          <w:rFonts w:ascii="Simplified Arabic" w:hAnsi="Simplified Arabic" w:cs="Simplified Arabic"/>
          <w:b/>
          <w:bCs/>
          <w:color w:val="000000" w:themeColor="text1"/>
        </w:rPr>
        <w:t>PCBS)</w:t>
      </w:r>
    </w:p>
    <w:p w:rsidR="00EC3470" w:rsidRDefault="00EC3470" w:rsidP="008F51BB">
      <w:pPr>
        <w:pStyle w:val="BodyText3"/>
        <w:ind w:right="1"/>
        <w:jc w:val="left"/>
        <w:rPr>
          <w:rFonts w:cs="Times New Roman"/>
        </w:rPr>
      </w:pPr>
    </w:p>
    <w:p w:rsidR="00EC3470" w:rsidRDefault="00EC3470" w:rsidP="008F51BB">
      <w:pPr>
        <w:pStyle w:val="BodyText3"/>
        <w:ind w:right="1"/>
        <w:jc w:val="left"/>
        <w:rPr>
          <w:rFonts w:cs="Times New Roman"/>
        </w:rPr>
      </w:pPr>
    </w:p>
    <w:p w:rsidR="008D3494" w:rsidRPr="00EC3470" w:rsidRDefault="008F51BB" w:rsidP="00EC3470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EC3470">
        <w:rPr>
          <w:rFonts w:cs="Times New Roman"/>
          <w:sz w:val="28"/>
          <w:szCs w:val="28"/>
        </w:rPr>
        <w:t>Decrease</w:t>
      </w:r>
      <w:r w:rsidR="008D3494" w:rsidRPr="00EC3470">
        <w:rPr>
          <w:rFonts w:cs="Times New Roman"/>
          <w:sz w:val="28"/>
          <w:szCs w:val="28"/>
        </w:rPr>
        <w:t xml:space="preserve"> in the number of building licenses </w:t>
      </w:r>
      <w:r w:rsidRPr="00EC3470">
        <w:rPr>
          <w:rFonts w:cs="Times New Roman"/>
          <w:sz w:val="28"/>
          <w:szCs w:val="28"/>
        </w:rPr>
        <w:t xml:space="preserve">in </w:t>
      </w:r>
      <w:r w:rsidR="008D3494" w:rsidRPr="00EC3470">
        <w:rPr>
          <w:rFonts w:cs="Times New Roman"/>
          <w:sz w:val="28"/>
          <w:szCs w:val="28"/>
        </w:rPr>
        <w:t xml:space="preserve">Palestine* in the </w:t>
      </w:r>
      <w:r w:rsidRPr="00EC3470">
        <w:rPr>
          <w:rFonts w:cs="Times New Roman"/>
          <w:sz w:val="28"/>
          <w:szCs w:val="28"/>
        </w:rPr>
        <w:t>Fourth quarter</w:t>
      </w:r>
      <w:r w:rsidR="008D3494" w:rsidRPr="00EC3470">
        <w:rPr>
          <w:rFonts w:cs="Times New Roman"/>
          <w:sz w:val="28"/>
          <w:szCs w:val="28"/>
        </w:rPr>
        <w:t xml:space="preserve"> of 202</w:t>
      </w:r>
      <w:r w:rsidR="008D3494" w:rsidRPr="00EC3470">
        <w:rPr>
          <w:rFonts w:cs="Times New Roman" w:hint="cs"/>
          <w:sz w:val="28"/>
          <w:szCs w:val="28"/>
          <w:rtl/>
        </w:rPr>
        <w:t>5</w:t>
      </w:r>
      <w:r w:rsidR="0058313E" w:rsidRPr="00EC3470">
        <w:rPr>
          <w:rFonts w:cs="Times New Roman"/>
          <w:sz w:val="28"/>
          <w:szCs w:val="28"/>
        </w:rPr>
        <w:t xml:space="preserve"> </w:t>
      </w:r>
      <w:r w:rsidR="008D3494" w:rsidRPr="00EC3470">
        <w:rPr>
          <w:sz w:val="28"/>
          <w:szCs w:val="28"/>
        </w:rPr>
        <w:t>compared with the</w:t>
      </w:r>
      <w:r w:rsidRPr="00EC3470">
        <w:rPr>
          <w:rFonts w:cs="Times New Roman"/>
          <w:sz w:val="28"/>
          <w:szCs w:val="28"/>
        </w:rPr>
        <w:t xml:space="preserve"> third</w:t>
      </w:r>
      <w:r w:rsidRPr="00EC3470">
        <w:rPr>
          <w:sz w:val="28"/>
          <w:szCs w:val="28"/>
        </w:rPr>
        <w:t xml:space="preserve"> </w:t>
      </w:r>
      <w:r w:rsidRPr="00EC3470">
        <w:rPr>
          <w:rFonts w:cs="Times New Roman"/>
          <w:sz w:val="28"/>
          <w:szCs w:val="28"/>
        </w:rPr>
        <w:t xml:space="preserve">quarter </w:t>
      </w:r>
      <w:r w:rsidR="008D3494" w:rsidRPr="00EC3470">
        <w:rPr>
          <w:rFonts w:cs="Times New Roman"/>
          <w:sz w:val="28"/>
          <w:szCs w:val="28"/>
        </w:rPr>
        <w:t xml:space="preserve">of </w:t>
      </w:r>
      <w:r w:rsidR="00733E8D" w:rsidRPr="00EC3470">
        <w:rPr>
          <w:rFonts w:cs="Times New Roman"/>
          <w:sz w:val="28"/>
          <w:szCs w:val="28"/>
        </w:rPr>
        <w:t>2025</w:t>
      </w:r>
    </w:p>
    <w:p w:rsidR="008D3494" w:rsidRPr="000925BA" w:rsidRDefault="008D3494" w:rsidP="008D3494">
      <w:pPr>
        <w:bidi w:val="0"/>
        <w:rPr>
          <w:color w:val="FF0000"/>
        </w:rPr>
      </w:pPr>
    </w:p>
    <w:p w:rsidR="008D3494" w:rsidRPr="00EC3470" w:rsidRDefault="008D3494" w:rsidP="008F51BB">
      <w:pPr>
        <w:numPr>
          <w:ilvl w:val="12"/>
          <w:numId w:val="0"/>
        </w:numPr>
        <w:bidi w:val="0"/>
        <w:ind w:left="1" w:right="1"/>
        <w:jc w:val="lowKashida"/>
        <w:rPr>
          <w:color w:val="000000" w:themeColor="text1"/>
          <w:sz w:val="26"/>
          <w:szCs w:val="26"/>
        </w:rPr>
      </w:pPr>
      <w:r w:rsidRPr="00EC3470">
        <w:rPr>
          <w:color w:val="000000" w:themeColor="text1"/>
          <w:sz w:val="26"/>
          <w:szCs w:val="26"/>
        </w:rPr>
        <w:t xml:space="preserve">The total number </w:t>
      </w:r>
      <w:proofErr w:type="gramStart"/>
      <w:r w:rsidR="00DE402D" w:rsidRPr="00EC3470">
        <w:rPr>
          <w:color w:val="000000" w:themeColor="text1"/>
          <w:sz w:val="26"/>
          <w:szCs w:val="26"/>
        </w:rPr>
        <w:t>of  building</w:t>
      </w:r>
      <w:proofErr w:type="gramEnd"/>
      <w:r w:rsidRPr="00EC3470">
        <w:rPr>
          <w:color w:val="000000" w:themeColor="text1"/>
          <w:sz w:val="26"/>
          <w:szCs w:val="26"/>
        </w:rPr>
        <w:t xml:space="preserve"> licenses issued in the </w:t>
      </w:r>
      <w:r w:rsidR="008F51BB" w:rsidRPr="00EC3470">
        <w:rPr>
          <w:color w:val="000000" w:themeColor="text1"/>
          <w:sz w:val="26"/>
          <w:szCs w:val="26"/>
        </w:rPr>
        <w:t>fourth</w:t>
      </w:r>
      <w:r w:rsidRPr="00EC3470">
        <w:rPr>
          <w:color w:val="000000" w:themeColor="text1"/>
          <w:sz w:val="26"/>
          <w:szCs w:val="26"/>
        </w:rPr>
        <w:t xml:space="preserve"> quarter of </w:t>
      </w:r>
      <w:r w:rsidRPr="00EC3470">
        <w:rPr>
          <w:rFonts w:hint="cs"/>
          <w:color w:val="000000" w:themeColor="text1"/>
          <w:sz w:val="26"/>
          <w:szCs w:val="26"/>
          <w:rtl/>
        </w:rPr>
        <w:t>2025</w:t>
      </w:r>
      <w:r w:rsidRPr="00EC3470">
        <w:rPr>
          <w:color w:val="000000" w:themeColor="text1"/>
          <w:sz w:val="26"/>
          <w:szCs w:val="26"/>
        </w:rPr>
        <w:t xml:space="preserve"> </w:t>
      </w:r>
      <w:r w:rsidR="008F51BB" w:rsidRPr="00EC3470">
        <w:rPr>
          <w:sz w:val="26"/>
          <w:szCs w:val="26"/>
        </w:rPr>
        <w:t>decreased</w:t>
      </w:r>
      <w:r w:rsidRPr="00EC3470">
        <w:rPr>
          <w:color w:val="000000" w:themeColor="text1"/>
          <w:sz w:val="26"/>
          <w:szCs w:val="26"/>
        </w:rPr>
        <w:t xml:space="preserve"> by </w:t>
      </w:r>
      <w:r w:rsidR="00C053E1" w:rsidRPr="00EC3470">
        <w:rPr>
          <w:color w:val="000000" w:themeColor="text1"/>
          <w:sz w:val="26"/>
          <w:szCs w:val="26"/>
        </w:rPr>
        <w:t>3</w:t>
      </w:r>
      <w:r w:rsidRPr="00EC3470">
        <w:rPr>
          <w:color w:val="000000" w:themeColor="text1"/>
          <w:sz w:val="26"/>
          <w:szCs w:val="26"/>
        </w:rPr>
        <w:t xml:space="preserve">% compared with the </w:t>
      </w:r>
      <w:r w:rsidR="008F51BB" w:rsidRPr="00EC3470">
        <w:rPr>
          <w:sz w:val="26"/>
          <w:szCs w:val="26"/>
        </w:rPr>
        <w:t>third</w:t>
      </w:r>
      <w:r w:rsidRPr="00EC3470">
        <w:rPr>
          <w:color w:val="000000" w:themeColor="text1"/>
          <w:sz w:val="26"/>
          <w:szCs w:val="26"/>
        </w:rPr>
        <w:t xml:space="preserve"> quarter</w:t>
      </w:r>
      <w:bookmarkStart w:id="0" w:name="OLE_LINK12"/>
      <w:r w:rsidRPr="00EC3470">
        <w:rPr>
          <w:color w:val="000000" w:themeColor="text1"/>
          <w:sz w:val="26"/>
          <w:szCs w:val="26"/>
        </w:rPr>
        <w:t xml:space="preserve"> of </w:t>
      </w:r>
      <w:r w:rsidR="00F72C50" w:rsidRPr="00EC3470">
        <w:rPr>
          <w:color w:val="000000" w:themeColor="text1"/>
          <w:sz w:val="26"/>
          <w:szCs w:val="26"/>
        </w:rPr>
        <w:t xml:space="preserve"> </w:t>
      </w:r>
      <w:r w:rsidR="00541E49" w:rsidRPr="00EC3470">
        <w:rPr>
          <w:color w:val="000000" w:themeColor="text1"/>
          <w:sz w:val="26"/>
          <w:szCs w:val="26"/>
        </w:rPr>
        <w:t>2025</w:t>
      </w:r>
      <w:r w:rsidRPr="00EC3470">
        <w:rPr>
          <w:color w:val="000000" w:themeColor="text1"/>
          <w:sz w:val="26"/>
          <w:szCs w:val="26"/>
        </w:rPr>
        <w:t xml:space="preserve">, </w:t>
      </w:r>
      <w:r w:rsidR="00541E49" w:rsidRPr="00EC3470">
        <w:rPr>
          <w:color w:val="000000" w:themeColor="text1"/>
          <w:sz w:val="26"/>
          <w:szCs w:val="26"/>
        </w:rPr>
        <w:t>and</w:t>
      </w:r>
      <w:r w:rsidRPr="00EC3470">
        <w:rPr>
          <w:color w:val="000000" w:themeColor="text1"/>
          <w:sz w:val="26"/>
          <w:szCs w:val="26"/>
        </w:rPr>
        <w:t xml:space="preserve"> </w:t>
      </w:r>
      <w:bookmarkEnd w:id="0"/>
      <w:r w:rsidR="00541E49" w:rsidRPr="00EC3470">
        <w:rPr>
          <w:color w:val="000000" w:themeColor="text1"/>
          <w:sz w:val="26"/>
          <w:szCs w:val="26"/>
        </w:rPr>
        <w:t>increased</w:t>
      </w:r>
      <w:r w:rsidRPr="00EC3470">
        <w:rPr>
          <w:color w:val="000000" w:themeColor="text1"/>
          <w:sz w:val="26"/>
          <w:szCs w:val="26"/>
        </w:rPr>
        <w:t xml:space="preserve"> by </w:t>
      </w:r>
      <w:r w:rsidR="008F51BB" w:rsidRPr="00EC3470">
        <w:rPr>
          <w:color w:val="000000" w:themeColor="text1"/>
          <w:sz w:val="26"/>
          <w:szCs w:val="26"/>
        </w:rPr>
        <w:t>11</w:t>
      </w:r>
      <w:r w:rsidRPr="00EC3470">
        <w:rPr>
          <w:color w:val="000000" w:themeColor="text1"/>
          <w:sz w:val="26"/>
          <w:szCs w:val="26"/>
        </w:rPr>
        <w:t xml:space="preserve">% compared with the </w:t>
      </w:r>
      <w:r w:rsidR="008F51BB" w:rsidRPr="00EC3470">
        <w:rPr>
          <w:color w:val="000000" w:themeColor="text1"/>
          <w:sz w:val="26"/>
          <w:szCs w:val="26"/>
        </w:rPr>
        <w:t>fourth</w:t>
      </w:r>
      <w:r w:rsidRPr="00EC3470">
        <w:rPr>
          <w:rFonts w:cs="Simplified Arabic"/>
          <w:color w:val="000000" w:themeColor="text1"/>
          <w:sz w:val="26"/>
          <w:szCs w:val="26"/>
        </w:rPr>
        <w:t xml:space="preserve"> </w:t>
      </w:r>
      <w:r w:rsidRPr="00EC3470">
        <w:rPr>
          <w:color w:val="000000" w:themeColor="text1"/>
          <w:sz w:val="26"/>
          <w:szCs w:val="26"/>
        </w:rPr>
        <w:t xml:space="preserve">quarter of </w:t>
      </w:r>
      <w:r w:rsidRPr="00EC3470">
        <w:rPr>
          <w:rFonts w:hint="cs"/>
          <w:color w:val="000000" w:themeColor="text1"/>
          <w:sz w:val="26"/>
          <w:szCs w:val="26"/>
          <w:rtl/>
        </w:rPr>
        <w:t>2024</w:t>
      </w:r>
      <w:r w:rsidRPr="00EC3470">
        <w:rPr>
          <w:color w:val="000000" w:themeColor="text1"/>
          <w:sz w:val="26"/>
          <w:szCs w:val="26"/>
        </w:rPr>
        <w:t xml:space="preserve">, at the same time the number of new building licenses </w:t>
      </w:r>
      <w:r w:rsidR="008F51BB" w:rsidRPr="00EC3470">
        <w:rPr>
          <w:sz w:val="26"/>
          <w:szCs w:val="26"/>
        </w:rPr>
        <w:t>decreased</w:t>
      </w:r>
      <w:r w:rsidRPr="00EC3470">
        <w:rPr>
          <w:color w:val="000000" w:themeColor="text1"/>
          <w:sz w:val="26"/>
          <w:szCs w:val="26"/>
        </w:rPr>
        <w:t xml:space="preserve"> by </w:t>
      </w:r>
      <w:r w:rsidR="008F51BB" w:rsidRPr="00EC3470">
        <w:rPr>
          <w:color w:val="000000" w:themeColor="text1"/>
          <w:sz w:val="26"/>
          <w:szCs w:val="26"/>
        </w:rPr>
        <w:t>7</w:t>
      </w:r>
      <w:r w:rsidRPr="00EC3470">
        <w:rPr>
          <w:color w:val="000000" w:themeColor="text1"/>
          <w:sz w:val="26"/>
          <w:szCs w:val="26"/>
        </w:rPr>
        <w:t xml:space="preserve">% compared with the </w:t>
      </w:r>
      <w:r w:rsidR="008F51BB" w:rsidRPr="00EC3470">
        <w:rPr>
          <w:sz w:val="26"/>
          <w:szCs w:val="26"/>
        </w:rPr>
        <w:t>third</w:t>
      </w:r>
      <w:r w:rsidRPr="00EC3470">
        <w:rPr>
          <w:color w:val="000000" w:themeColor="text1"/>
          <w:sz w:val="26"/>
          <w:szCs w:val="26"/>
        </w:rPr>
        <w:t xml:space="preserve"> quarter of </w:t>
      </w:r>
      <w:r w:rsidR="00541E49" w:rsidRPr="00EC3470">
        <w:rPr>
          <w:color w:val="000000" w:themeColor="text1"/>
          <w:sz w:val="26"/>
          <w:szCs w:val="26"/>
        </w:rPr>
        <w:t>2025</w:t>
      </w:r>
      <w:r w:rsidRPr="00EC3470">
        <w:rPr>
          <w:color w:val="000000" w:themeColor="text1"/>
          <w:sz w:val="26"/>
          <w:szCs w:val="26"/>
        </w:rPr>
        <w:t xml:space="preserve">, while it </w:t>
      </w:r>
      <w:r w:rsidR="00541E49" w:rsidRPr="00EC3470">
        <w:rPr>
          <w:color w:val="000000" w:themeColor="text1"/>
          <w:sz w:val="26"/>
          <w:szCs w:val="26"/>
        </w:rPr>
        <w:t>increased</w:t>
      </w:r>
      <w:r w:rsidRPr="00EC3470">
        <w:rPr>
          <w:color w:val="000000" w:themeColor="text1"/>
          <w:sz w:val="26"/>
          <w:szCs w:val="26"/>
        </w:rPr>
        <w:t xml:space="preserve"> by </w:t>
      </w:r>
      <w:r w:rsidR="008F51BB" w:rsidRPr="00EC3470">
        <w:rPr>
          <w:color w:val="000000" w:themeColor="text1"/>
          <w:sz w:val="26"/>
          <w:szCs w:val="26"/>
        </w:rPr>
        <w:t>31</w:t>
      </w:r>
      <w:r w:rsidRPr="00EC3470">
        <w:rPr>
          <w:color w:val="000000" w:themeColor="text1"/>
          <w:sz w:val="26"/>
          <w:szCs w:val="26"/>
        </w:rPr>
        <w:t xml:space="preserve">% compared with the </w:t>
      </w:r>
      <w:r w:rsidR="008F51BB" w:rsidRPr="00EC3470">
        <w:rPr>
          <w:color w:val="000000" w:themeColor="text1"/>
          <w:sz w:val="26"/>
          <w:szCs w:val="26"/>
        </w:rPr>
        <w:t>fourth</w:t>
      </w:r>
      <w:r w:rsidRPr="00EC3470">
        <w:rPr>
          <w:color w:val="000000" w:themeColor="text1"/>
          <w:sz w:val="26"/>
          <w:szCs w:val="26"/>
        </w:rPr>
        <w:t xml:space="preserve"> quarter of 2024.</w:t>
      </w:r>
    </w:p>
    <w:p w:rsidR="008D3494" w:rsidRPr="00EC3470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</w:p>
    <w:p w:rsidR="008D3494" w:rsidRPr="00EC3470" w:rsidRDefault="008D3494" w:rsidP="00630844">
      <w:pPr>
        <w:bidi w:val="0"/>
        <w:ind w:right="-2"/>
        <w:jc w:val="both"/>
        <w:rPr>
          <w:color w:val="000000" w:themeColor="text1"/>
          <w:sz w:val="26"/>
          <w:szCs w:val="26"/>
        </w:rPr>
      </w:pPr>
      <w:r w:rsidRPr="00EC3470">
        <w:rPr>
          <w:rFonts w:cs="Simplified Arabic"/>
          <w:color w:val="000000" w:themeColor="text1"/>
          <w:sz w:val="26"/>
          <w:szCs w:val="26"/>
        </w:rPr>
        <w:t>A total</w:t>
      </w:r>
      <w:r w:rsidRPr="00EC3470">
        <w:rPr>
          <w:rFonts w:cs="Simplified Arabic"/>
          <w:b/>
          <w:bCs/>
          <w:color w:val="000000" w:themeColor="text1"/>
          <w:sz w:val="26"/>
          <w:szCs w:val="26"/>
        </w:rPr>
        <w:t xml:space="preserve"> </w:t>
      </w:r>
      <w:r w:rsidRPr="00EC3470">
        <w:rPr>
          <w:color w:val="000000" w:themeColor="text1"/>
          <w:sz w:val="26"/>
          <w:szCs w:val="26"/>
        </w:rPr>
        <w:t xml:space="preserve">of </w:t>
      </w:r>
      <w:r w:rsidR="00C053E1" w:rsidRPr="00EC3470">
        <w:rPr>
          <w:color w:val="000000" w:themeColor="text1"/>
          <w:sz w:val="26"/>
          <w:szCs w:val="26"/>
        </w:rPr>
        <w:t>2</w:t>
      </w:r>
      <w:r w:rsidRPr="00EC3470">
        <w:rPr>
          <w:color w:val="000000" w:themeColor="text1"/>
          <w:sz w:val="26"/>
          <w:szCs w:val="26"/>
        </w:rPr>
        <w:t>,</w:t>
      </w:r>
      <w:r w:rsidR="00C053E1" w:rsidRPr="00EC3470">
        <w:rPr>
          <w:color w:val="000000" w:themeColor="text1"/>
          <w:sz w:val="26"/>
          <w:szCs w:val="26"/>
        </w:rPr>
        <w:t>1</w:t>
      </w:r>
      <w:r w:rsidR="008F51BB" w:rsidRPr="00EC3470">
        <w:rPr>
          <w:color w:val="000000" w:themeColor="text1"/>
          <w:sz w:val="26"/>
          <w:szCs w:val="26"/>
        </w:rPr>
        <w:t xml:space="preserve">20 </w:t>
      </w:r>
      <w:r w:rsidRPr="00EC3470">
        <w:rPr>
          <w:color w:val="000000" w:themeColor="text1"/>
          <w:sz w:val="26"/>
          <w:szCs w:val="26"/>
        </w:rPr>
        <w:t xml:space="preserve">building licenses were issued in the </w:t>
      </w:r>
      <w:r w:rsidR="00630844" w:rsidRPr="00EC3470">
        <w:rPr>
          <w:color w:val="000000" w:themeColor="text1"/>
          <w:sz w:val="26"/>
          <w:szCs w:val="26"/>
        </w:rPr>
        <w:t>fourth</w:t>
      </w:r>
      <w:r w:rsidRPr="00EC3470">
        <w:rPr>
          <w:color w:val="000000" w:themeColor="text1"/>
          <w:sz w:val="26"/>
          <w:szCs w:val="26"/>
        </w:rPr>
        <w:t xml:space="preserve"> quarter of 2025, of which </w:t>
      </w:r>
      <w:r w:rsidR="003617C4" w:rsidRPr="00EC3470">
        <w:rPr>
          <w:color w:val="000000" w:themeColor="text1"/>
          <w:sz w:val="26"/>
          <w:szCs w:val="26"/>
        </w:rPr>
        <w:t>1,</w:t>
      </w:r>
      <w:r w:rsidR="00630844" w:rsidRPr="00EC3470">
        <w:rPr>
          <w:color w:val="000000" w:themeColor="text1"/>
          <w:sz w:val="26"/>
          <w:szCs w:val="26"/>
        </w:rPr>
        <w:t>354</w:t>
      </w:r>
      <w:r w:rsidRPr="00EC3470">
        <w:rPr>
          <w:color w:val="000000" w:themeColor="text1"/>
          <w:sz w:val="26"/>
          <w:szCs w:val="26"/>
        </w:rPr>
        <w:t xml:space="preserve"> are new buildings. </w:t>
      </w:r>
    </w:p>
    <w:p w:rsidR="008D3494" w:rsidRPr="00EC3470" w:rsidRDefault="008D3494" w:rsidP="008D3494">
      <w:pPr>
        <w:bidi w:val="0"/>
        <w:ind w:right="-2"/>
        <w:jc w:val="both"/>
        <w:rPr>
          <w:color w:val="000000" w:themeColor="text1"/>
          <w:sz w:val="26"/>
          <w:szCs w:val="26"/>
        </w:rPr>
      </w:pPr>
    </w:p>
    <w:p w:rsidR="008D3494" w:rsidRPr="00EC3470" w:rsidRDefault="008D3494" w:rsidP="00DE402D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  <w:r w:rsidRPr="00EC3470">
        <w:rPr>
          <w:color w:val="000000" w:themeColor="text1"/>
          <w:sz w:val="26"/>
          <w:szCs w:val="26"/>
        </w:rPr>
        <w:t xml:space="preserve">The area of licensed buildings (residential and non-residential) totaled </w:t>
      </w:r>
      <w:r w:rsidR="00C053E1" w:rsidRPr="00EC3470">
        <w:rPr>
          <w:color w:val="000000" w:themeColor="text1"/>
          <w:sz w:val="26"/>
          <w:szCs w:val="26"/>
        </w:rPr>
        <w:t>1,</w:t>
      </w:r>
      <w:r w:rsidR="00DE402D" w:rsidRPr="00EC3470">
        <w:rPr>
          <w:color w:val="000000" w:themeColor="text1"/>
          <w:sz w:val="26"/>
          <w:szCs w:val="26"/>
        </w:rPr>
        <w:t>157</w:t>
      </w:r>
      <w:r w:rsidRPr="00EC3470">
        <w:rPr>
          <w:color w:val="000000" w:themeColor="text1"/>
          <w:sz w:val="26"/>
          <w:szCs w:val="26"/>
        </w:rPr>
        <w:t xml:space="preserve"> thousand m</w:t>
      </w:r>
      <w:r w:rsidRPr="00EC3470">
        <w:rPr>
          <w:color w:val="000000" w:themeColor="text1"/>
          <w:sz w:val="26"/>
          <w:szCs w:val="26"/>
          <w:vertAlign w:val="superscript"/>
        </w:rPr>
        <w:t>2</w:t>
      </w:r>
      <w:r w:rsidRPr="00EC3470">
        <w:rPr>
          <w:color w:val="000000" w:themeColor="text1"/>
          <w:sz w:val="26"/>
          <w:szCs w:val="26"/>
        </w:rPr>
        <w:t xml:space="preserve">, of which new buildings made up </w:t>
      </w:r>
      <w:r w:rsidR="00DE402D" w:rsidRPr="00EC3470">
        <w:rPr>
          <w:color w:val="000000" w:themeColor="text1"/>
          <w:sz w:val="26"/>
          <w:szCs w:val="26"/>
        </w:rPr>
        <w:t>983</w:t>
      </w:r>
      <w:r w:rsidRPr="00EC3470">
        <w:rPr>
          <w:color w:val="000000" w:themeColor="text1"/>
          <w:sz w:val="26"/>
          <w:szCs w:val="26"/>
        </w:rPr>
        <w:t xml:space="preserve"> thousand m</w:t>
      </w:r>
      <w:r w:rsidRPr="00EC3470">
        <w:rPr>
          <w:color w:val="000000" w:themeColor="text1"/>
          <w:sz w:val="26"/>
          <w:szCs w:val="26"/>
          <w:vertAlign w:val="superscript"/>
        </w:rPr>
        <w:t>2</w:t>
      </w:r>
      <w:r w:rsidRPr="00EC3470">
        <w:rPr>
          <w:color w:val="000000" w:themeColor="text1"/>
          <w:sz w:val="26"/>
          <w:szCs w:val="26"/>
        </w:rPr>
        <w:t xml:space="preserve"> and existing buildings comprised </w:t>
      </w:r>
      <w:r w:rsidR="00DE402D" w:rsidRPr="00EC3470">
        <w:rPr>
          <w:color w:val="000000" w:themeColor="text1"/>
          <w:sz w:val="26"/>
          <w:szCs w:val="26"/>
        </w:rPr>
        <w:t>174</w:t>
      </w:r>
      <w:r w:rsidRPr="00EC3470">
        <w:rPr>
          <w:color w:val="000000" w:themeColor="text1"/>
          <w:sz w:val="26"/>
          <w:szCs w:val="26"/>
        </w:rPr>
        <w:t xml:space="preserve"> thousand m</w:t>
      </w:r>
      <w:r w:rsidRPr="00EC3470">
        <w:rPr>
          <w:color w:val="000000" w:themeColor="text1"/>
          <w:sz w:val="26"/>
          <w:szCs w:val="26"/>
          <w:vertAlign w:val="superscript"/>
        </w:rPr>
        <w:t>2</w:t>
      </w:r>
      <w:r w:rsidRPr="00EC3470">
        <w:rPr>
          <w:color w:val="000000" w:themeColor="text1"/>
          <w:sz w:val="26"/>
          <w:szCs w:val="26"/>
        </w:rPr>
        <w:t>.</w:t>
      </w:r>
    </w:p>
    <w:p w:rsidR="008D3494" w:rsidRPr="00EC3470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</w:rPr>
      </w:pPr>
    </w:p>
    <w:p w:rsidR="008D3494" w:rsidRPr="00EC3470" w:rsidRDefault="008D3494" w:rsidP="00431903">
      <w:pPr>
        <w:bidi w:val="0"/>
        <w:jc w:val="both"/>
        <w:rPr>
          <w:color w:val="000000" w:themeColor="text1"/>
          <w:sz w:val="26"/>
          <w:szCs w:val="26"/>
          <w:lang w:eastAsia="en-US"/>
        </w:rPr>
      </w:pPr>
      <w:r w:rsidRPr="00EC3470">
        <w:rPr>
          <w:color w:val="000000" w:themeColor="text1"/>
          <w:sz w:val="26"/>
          <w:szCs w:val="26"/>
        </w:rPr>
        <w:t xml:space="preserve">The total number of licensed dwellings was </w:t>
      </w:r>
      <w:r w:rsidR="00C053E1" w:rsidRPr="00EC3470">
        <w:rPr>
          <w:color w:val="000000" w:themeColor="text1"/>
          <w:sz w:val="26"/>
          <w:szCs w:val="26"/>
        </w:rPr>
        <w:t>4</w:t>
      </w:r>
      <w:r w:rsidRPr="00EC3470">
        <w:rPr>
          <w:color w:val="000000" w:themeColor="text1"/>
          <w:sz w:val="26"/>
          <w:szCs w:val="26"/>
        </w:rPr>
        <w:t>,</w:t>
      </w:r>
      <w:r w:rsidR="00431903" w:rsidRPr="00EC3470">
        <w:rPr>
          <w:color w:val="000000" w:themeColor="text1"/>
          <w:sz w:val="26"/>
          <w:szCs w:val="26"/>
        </w:rPr>
        <w:t>348</w:t>
      </w:r>
      <w:r w:rsidRPr="00EC3470">
        <w:rPr>
          <w:color w:val="000000" w:themeColor="text1"/>
          <w:sz w:val="26"/>
          <w:szCs w:val="26"/>
        </w:rPr>
        <w:t xml:space="preserve"> with a total area of </w:t>
      </w:r>
      <w:r w:rsidR="00431903" w:rsidRPr="00EC3470">
        <w:rPr>
          <w:color w:val="000000" w:themeColor="text1"/>
          <w:sz w:val="26"/>
          <w:szCs w:val="26"/>
        </w:rPr>
        <w:t>704</w:t>
      </w:r>
      <w:r w:rsidRPr="00EC3470">
        <w:rPr>
          <w:color w:val="000000" w:themeColor="text1"/>
          <w:sz w:val="26"/>
          <w:szCs w:val="26"/>
        </w:rPr>
        <w:t xml:space="preserve"> thousand m</w:t>
      </w:r>
      <w:r w:rsidRPr="00EC3470">
        <w:rPr>
          <w:color w:val="000000" w:themeColor="text1"/>
          <w:sz w:val="26"/>
          <w:szCs w:val="26"/>
          <w:vertAlign w:val="superscript"/>
        </w:rPr>
        <w:t>2</w:t>
      </w:r>
      <w:r w:rsidRPr="00EC3470">
        <w:rPr>
          <w:color w:val="000000" w:themeColor="text1"/>
          <w:sz w:val="26"/>
          <w:szCs w:val="26"/>
        </w:rPr>
        <w:t xml:space="preserve">, of which </w:t>
      </w:r>
      <w:r w:rsidR="00C053E1" w:rsidRPr="00EC3470">
        <w:rPr>
          <w:color w:val="000000" w:themeColor="text1"/>
          <w:sz w:val="26"/>
          <w:szCs w:val="26"/>
        </w:rPr>
        <w:t>3</w:t>
      </w:r>
      <w:r w:rsidRPr="00EC3470">
        <w:rPr>
          <w:color w:val="000000" w:themeColor="text1"/>
          <w:sz w:val="26"/>
          <w:szCs w:val="26"/>
        </w:rPr>
        <w:t>,</w:t>
      </w:r>
      <w:r w:rsidR="00431903" w:rsidRPr="00EC3470">
        <w:rPr>
          <w:color w:val="000000" w:themeColor="text1"/>
          <w:sz w:val="26"/>
          <w:szCs w:val="26"/>
        </w:rPr>
        <w:t>694</w:t>
      </w:r>
      <w:r w:rsidRPr="00EC3470">
        <w:rPr>
          <w:rFonts w:eastAsia="Arial Unicode MS"/>
          <w:color w:val="000000" w:themeColor="text1"/>
          <w:sz w:val="26"/>
          <w:szCs w:val="26"/>
        </w:rPr>
        <w:t xml:space="preserve"> were </w:t>
      </w:r>
      <w:r w:rsidRPr="00EC3470">
        <w:rPr>
          <w:color w:val="000000" w:themeColor="text1"/>
          <w:sz w:val="26"/>
          <w:szCs w:val="26"/>
        </w:rPr>
        <w:t xml:space="preserve">new dwellings with a total area of </w:t>
      </w:r>
      <w:r w:rsidR="00431903" w:rsidRPr="00EC3470">
        <w:rPr>
          <w:color w:val="000000" w:themeColor="text1"/>
          <w:sz w:val="26"/>
          <w:szCs w:val="26"/>
        </w:rPr>
        <w:t>597</w:t>
      </w:r>
      <w:r w:rsidRPr="00EC3470">
        <w:rPr>
          <w:color w:val="000000" w:themeColor="text1"/>
          <w:sz w:val="26"/>
          <w:szCs w:val="26"/>
        </w:rPr>
        <w:t xml:space="preserve"> thousand m</w:t>
      </w:r>
      <w:r w:rsidRPr="00EC3470">
        <w:rPr>
          <w:color w:val="000000" w:themeColor="text1"/>
          <w:sz w:val="26"/>
          <w:szCs w:val="26"/>
          <w:vertAlign w:val="superscript"/>
        </w:rPr>
        <w:t>2</w:t>
      </w:r>
      <w:r w:rsidRPr="00EC3470">
        <w:rPr>
          <w:color w:val="000000" w:themeColor="text1"/>
          <w:sz w:val="26"/>
          <w:szCs w:val="26"/>
        </w:rPr>
        <w:t xml:space="preserve"> and </w:t>
      </w:r>
      <w:r w:rsidR="00431903" w:rsidRPr="00EC3470">
        <w:rPr>
          <w:color w:val="000000" w:themeColor="text1"/>
          <w:sz w:val="26"/>
          <w:szCs w:val="26"/>
        </w:rPr>
        <w:t>654</w:t>
      </w:r>
      <w:r w:rsidRPr="00EC3470">
        <w:rPr>
          <w:color w:val="000000" w:themeColor="text1"/>
          <w:sz w:val="26"/>
          <w:szCs w:val="26"/>
        </w:rPr>
        <w:t xml:space="preserve"> were existing dwellings with a total area of </w:t>
      </w:r>
      <w:r w:rsidR="00431903" w:rsidRPr="00EC3470">
        <w:rPr>
          <w:color w:val="000000" w:themeColor="text1"/>
          <w:sz w:val="26"/>
          <w:szCs w:val="26"/>
        </w:rPr>
        <w:t>107</w:t>
      </w:r>
      <w:r w:rsidRPr="00EC3470">
        <w:rPr>
          <w:color w:val="000000" w:themeColor="text1"/>
          <w:sz w:val="26"/>
          <w:szCs w:val="26"/>
        </w:rPr>
        <w:t xml:space="preserve"> thousand m</w:t>
      </w:r>
      <w:r w:rsidRPr="00EC3470">
        <w:rPr>
          <w:color w:val="000000" w:themeColor="text1"/>
          <w:sz w:val="26"/>
          <w:szCs w:val="26"/>
          <w:vertAlign w:val="superscript"/>
        </w:rPr>
        <w:t>2</w:t>
      </w:r>
      <w:r w:rsidRPr="00EC3470">
        <w:rPr>
          <w:color w:val="000000" w:themeColor="text1"/>
          <w:sz w:val="26"/>
          <w:szCs w:val="26"/>
        </w:rPr>
        <w:t xml:space="preserve">. </w:t>
      </w:r>
    </w:p>
    <w:p w:rsidR="008D3494" w:rsidRPr="00EC3470" w:rsidRDefault="008D3494" w:rsidP="008D3494">
      <w:pPr>
        <w:numPr>
          <w:ilvl w:val="12"/>
          <w:numId w:val="0"/>
        </w:numPr>
        <w:bidi w:val="0"/>
        <w:ind w:left="1" w:right="1"/>
        <w:jc w:val="both"/>
        <w:rPr>
          <w:color w:val="000000" w:themeColor="text1"/>
          <w:sz w:val="26"/>
          <w:szCs w:val="26"/>
          <w:rtl/>
        </w:rPr>
      </w:pPr>
    </w:p>
    <w:p w:rsidR="008D3494" w:rsidRPr="00EC3470" w:rsidRDefault="008D3494" w:rsidP="000E37F1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EC3470">
        <w:rPr>
          <w:color w:val="000000" w:themeColor="text1"/>
          <w:sz w:val="26"/>
          <w:szCs w:val="26"/>
        </w:rPr>
        <w:t xml:space="preserve">The number of new dwellings in the </w:t>
      </w:r>
      <w:r w:rsidR="000E37F1" w:rsidRPr="00EC3470">
        <w:rPr>
          <w:color w:val="000000" w:themeColor="text1"/>
          <w:sz w:val="26"/>
          <w:szCs w:val="26"/>
        </w:rPr>
        <w:t>fourth</w:t>
      </w:r>
      <w:r w:rsidRPr="00EC3470">
        <w:rPr>
          <w:color w:val="000000" w:themeColor="text1"/>
          <w:sz w:val="26"/>
          <w:szCs w:val="26"/>
        </w:rPr>
        <w:t xml:space="preserve"> quarter of 2025 </w:t>
      </w:r>
      <w:r w:rsidR="000E37F1" w:rsidRPr="00EC3470">
        <w:rPr>
          <w:sz w:val="26"/>
          <w:szCs w:val="26"/>
        </w:rPr>
        <w:t>decreased</w:t>
      </w:r>
      <w:r w:rsidRPr="00EC3470">
        <w:rPr>
          <w:color w:val="000000" w:themeColor="text1"/>
          <w:sz w:val="26"/>
          <w:szCs w:val="26"/>
        </w:rPr>
        <w:t xml:space="preserve"> by </w:t>
      </w:r>
      <w:r w:rsidR="000E37F1" w:rsidRPr="00EC3470">
        <w:rPr>
          <w:color w:val="000000" w:themeColor="text1"/>
          <w:sz w:val="26"/>
          <w:szCs w:val="26"/>
        </w:rPr>
        <w:t>3</w:t>
      </w:r>
      <w:r w:rsidRPr="00EC3470">
        <w:rPr>
          <w:color w:val="000000" w:themeColor="text1"/>
          <w:sz w:val="26"/>
          <w:szCs w:val="26"/>
        </w:rPr>
        <w:t xml:space="preserve">% compared with the </w:t>
      </w:r>
      <w:r w:rsidR="000E37F1" w:rsidRPr="00EC3470">
        <w:rPr>
          <w:sz w:val="26"/>
          <w:szCs w:val="26"/>
        </w:rPr>
        <w:t>third</w:t>
      </w:r>
      <w:r w:rsidRPr="00EC3470">
        <w:rPr>
          <w:color w:val="000000" w:themeColor="text1"/>
          <w:sz w:val="26"/>
          <w:szCs w:val="26"/>
        </w:rPr>
        <w:t xml:space="preserve"> </w:t>
      </w:r>
      <w:r w:rsidRPr="00EC3470">
        <w:rPr>
          <w:sz w:val="26"/>
          <w:szCs w:val="26"/>
        </w:rPr>
        <w:t xml:space="preserve">quarter of </w:t>
      </w:r>
      <w:r w:rsidR="000F27C8" w:rsidRPr="00EC3470">
        <w:rPr>
          <w:sz w:val="26"/>
          <w:szCs w:val="26"/>
        </w:rPr>
        <w:t>2025</w:t>
      </w:r>
      <w:r w:rsidRPr="00EC3470">
        <w:rPr>
          <w:sz w:val="26"/>
          <w:szCs w:val="26"/>
        </w:rPr>
        <w:t xml:space="preserve">, while it </w:t>
      </w:r>
      <w:r w:rsidR="000F27C8" w:rsidRPr="00EC3470">
        <w:rPr>
          <w:sz w:val="26"/>
          <w:szCs w:val="26"/>
        </w:rPr>
        <w:t>increased</w:t>
      </w:r>
      <w:r w:rsidRPr="00EC3470">
        <w:rPr>
          <w:sz w:val="26"/>
          <w:szCs w:val="26"/>
        </w:rPr>
        <w:t xml:space="preserve"> by </w:t>
      </w:r>
      <w:r w:rsidR="000E37F1" w:rsidRPr="00EC3470">
        <w:rPr>
          <w:sz w:val="26"/>
          <w:szCs w:val="26"/>
        </w:rPr>
        <w:t>22</w:t>
      </w:r>
      <w:r w:rsidRPr="00EC3470">
        <w:rPr>
          <w:sz w:val="26"/>
          <w:szCs w:val="26"/>
        </w:rPr>
        <w:t xml:space="preserve">% compared with the </w:t>
      </w:r>
      <w:r w:rsidR="000E37F1" w:rsidRPr="00EC3470">
        <w:rPr>
          <w:color w:val="000000" w:themeColor="text1"/>
          <w:sz w:val="26"/>
          <w:szCs w:val="26"/>
        </w:rPr>
        <w:t>fourth</w:t>
      </w:r>
      <w:r w:rsidRPr="00EC3470">
        <w:rPr>
          <w:sz w:val="26"/>
          <w:szCs w:val="26"/>
        </w:rPr>
        <w:t xml:space="preserve"> quarter of 2024.</w:t>
      </w:r>
    </w:p>
    <w:p w:rsidR="008D3494" w:rsidRPr="00DE78F6" w:rsidRDefault="008D3494" w:rsidP="008D349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8D3494" w:rsidRPr="00EC3470" w:rsidRDefault="008D3494" w:rsidP="008D3494">
      <w:pPr>
        <w:bidi w:val="0"/>
        <w:ind w:left="-108"/>
        <w:jc w:val="center"/>
        <w:rPr>
          <w:b/>
          <w:bCs/>
          <w:sz w:val="26"/>
          <w:szCs w:val="26"/>
        </w:rPr>
      </w:pPr>
      <w:r w:rsidRPr="00EC3470">
        <w:rPr>
          <w:b/>
          <w:bCs/>
          <w:sz w:val="26"/>
          <w:szCs w:val="26"/>
        </w:rPr>
        <w:t xml:space="preserve">Number </w:t>
      </w:r>
      <w:r w:rsidR="00BF4A03" w:rsidRPr="00EC3470">
        <w:rPr>
          <w:b/>
          <w:bCs/>
          <w:sz w:val="26"/>
          <w:szCs w:val="26"/>
        </w:rPr>
        <w:t>of Building</w:t>
      </w:r>
      <w:r w:rsidRPr="00EC3470">
        <w:rPr>
          <w:b/>
          <w:bCs/>
          <w:sz w:val="26"/>
          <w:szCs w:val="26"/>
        </w:rPr>
        <w:t xml:space="preserve"> Licenses Issued in Palestine* during the period, </w:t>
      </w:r>
    </w:p>
    <w:p w:rsidR="008D3494" w:rsidRPr="00EC3470" w:rsidRDefault="0058313E" w:rsidP="0058313E">
      <w:pPr>
        <w:bidi w:val="0"/>
        <w:ind w:left="-108"/>
        <w:jc w:val="center"/>
        <w:rPr>
          <w:b/>
          <w:bCs/>
          <w:sz w:val="26"/>
          <w:szCs w:val="26"/>
        </w:rPr>
      </w:pPr>
      <w:r w:rsidRPr="00EC3470">
        <w:rPr>
          <w:b/>
          <w:bCs/>
          <w:sz w:val="26"/>
          <w:szCs w:val="26"/>
        </w:rPr>
        <w:t>Fourth</w:t>
      </w:r>
      <w:r w:rsidR="008D3494" w:rsidRPr="00EC3470">
        <w:rPr>
          <w:b/>
          <w:bCs/>
          <w:sz w:val="26"/>
          <w:szCs w:val="26"/>
        </w:rPr>
        <w:t xml:space="preserve"> Quarter 2024 – </w:t>
      </w:r>
      <w:r w:rsidRPr="00EC3470">
        <w:rPr>
          <w:b/>
          <w:bCs/>
          <w:sz w:val="26"/>
          <w:szCs w:val="26"/>
        </w:rPr>
        <w:t>Fourth</w:t>
      </w:r>
      <w:r w:rsidR="008D3494" w:rsidRPr="00EC3470">
        <w:rPr>
          <w:b/>
          <w:bCs/>
          <w:sz w:val="26"/>
          <w:szCs w:val="26"/>
        </w:rPr>
        <w:t xml:space="preserve"> Quarter 2025</w:t>
      </w:r>
    </w:p>
    <w:p w:rsidR="008D3494" w:rsidRPr="001163C8" w:rsidRDefault="008D3494" w:rsidP="008D3494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 wp14:anchorId="2E758A26" wp14:editId="6E41AB3E">
            <wp:extent cx="3243533" cy="256159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3494" w:rsidRDefault="008D3494" w:rsidP="008D3494">
      <w:pPr>
        <w:bidi w:val="0"/>
        <w:jc w:val="lowKashida"/>
        <w:rPr>
          <w:sz w:val="20"/>
          <w:szCs w:val="20"/>
          <w:rtl/>
        </w:rPr>
      </w:pPr>
    </w:p>
    <w:p w:rsidR="008D3494" w:rsidRPr="00EC3470" w:rsidRDefault="008D3494" w:rsidP="008D3494">
      <w:pPr>
        <w:bidi w:val="0"/>
        <w:jc w:val="lowKashida"/>
        <w:rPr>
          <w:b/>
          <w:bCs/>
          <w:sz w:val="22"/>
          <w:szCs w:val="22"/>
        </w:rPr>
      </w:pPr>
      <w:r w:rsidRPr="00EC3470">
        <w:rPr>
          <w:b/>
          <w:bCs/>
          <w:sz w:val="22"/>
          <w:szCs w:val="22"/>
        </w:rPr>
        <w:t>*Data excluded those parts of Jerusalem, which were annexed by Israeli occupation in 1967.</w:t>
      </w:r>
    </w:p>
    <w:p w:rsidR="008D3494" w:rsidRPr="001163C8" w:rsidRDefault="008D3494" w:rsidP="008D3494">
      <w:pPr>
        <w:bidi w:val="0"/>
        <w:jc w:val="lowKashida"/>
        <w:rPr>
          <w:rtl/>
        </w:rPr>
      </w:pPr>
    </w:p>
    <w:p w:rsidR="00EC3470" w:rsidRPr="00EC3470" w:rsidRDefault="00EC3470" w:rsidP="00EC3470">
      <w:pPr>
        <w:pStyle w:val="Header"/>
        <w:bidi w:val="0"/>
        <w:spacing w:line="276" w:lineRule="auto"/>
        <w:jc w:val="both"/>
        <w:rPr>
          <w:b/>
          <w:bCs/>
          <w:lang w:eastAsia="en-US"/>
        </w:rPr>
      </w:pPr>
      <w:r w:rsidRPr="00EC3470">
        <w:rPr>
          <w:b/>
          <w:bCs/>
        </w:rPr>
        <w:t xml:space="preserve">Notice: </w:t>
      </w:r>
    </w:p>
    <w:p w:rsidR="00EC3470" w:rsidRPr="00EC3470" w:rsidRDefault="00EC3470" w:rsidP="00EC3470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b/>
          <w:bCs/>
          <w:lang w:bidi="ar-JO"/>
        </w:rPr>
      </w:pPr>
      <w:r w:rsidRPr="00EC3470">
        <w:rPr>
          <w:b/>
          <w:bCs/>
        </w:rPr>
        <w:t>In Gaza Strip, there are no licenses issued for this quarter due to the Israeli aggression against it</w:t>
      </w:r>
      <w:r w:rsidRPr="00EC3470">
        <w:rPr>
          <w:rFonts w:hint="cs"/>
          <w:b/>
          <w:bCs/>
          <w:rtl/>
          <w:lang w:bidi="ar-JO"/>
        </w:rPr>
        <w:t>.</w:t>
      </w:r>
    </w:p>
    <w:p w:rsidR="00EC3470" w:rsidRDefault="00EC3470" w:rsidP="00EC347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2"/>
          <w:szCs w:val="22"/>
          <w:rtl/>
        </w:rPr>
      </w:pPr>
    </w:p>
    <w:p w:rsidR="00EB1374" w:rsidRDefault="00EB1374" w:rsidP="00EB1374">
      <w:pPr>
        <w:bidi w:val="0"/>
        <w:jc w:val="both"/>
      </w:pPr>
      <w:bookmarkStart w:id="1" w:name="_GoBack"/>
      <w:bookmarkEnd w:id="1"/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EC3470">
      <w:pgSz w:w="11906" w:h="16838"/>
      <w:pgMar w:top="851" w:right="851" w:bottom="851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71" w:rsidRDefault="00B14771">
      <w:r>
        <w:separator/>
      </w:r>
    </w:p>
  </w:endnote>
  <w:endnote w:type="continuationSeparator" w:id="0">
    <w:p w:rsidR="00B14771" w:rsidRDefault="00B1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71" w:rsidRDefault="00B14771">
      <w:r>
        <w:separator/>
      </w:r>
    </w:p>
  </w:footnote>
  <w:footnote w:type="continuationSeparator" w:id="0">
    <w:p w:rsidR="00B14771" w:rsidRDefault="00B1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5433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62DB8"/>
    <w:rsid w:val="000764A8"/>
    <w:rsid w:val="00076B0B"/>
    <w:rsid w:val="00080A9E"/>
    <w:rsid w:val="0008232C"/>
    <w:rsid w:val="00083CA3"/>
    <w:rsid w:val="0008438B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37F1"/>
    <w:rsid w:val="000E5797"/>
    <w:rsid w:val="000F27C8"/>
    <w:rsid w:val="000F2C7F"/>
    <w:rsid w:val="000F4391"/>
    <w:rsid w:val="001019B5"/>
    <w:rsid w:val="0010581E"/>
    <w:rsid w:val="001119BD"/>
    <w:rsid w:val="00111C14"/>
    <w:rsid w:val="00120017"/>
    <w:rsid w:val="0012134D"/>
    <w:rsid w:val="00123762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B119F"/>
    <w:rsid w:val="001B2900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7E6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575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17C4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3F6DA7"/>
    <w:rsid w:val="00401345"/>
    <w:rsid w:val="00403EF2"/>
    <w:rsid w:val="00404F1F"/>
    <w:rsid w:val="00405B7D"/>
    <w:rsid w:val="00406C22"/>
    <w:rsid w:val="00414E14"/>
    <w:rsid w:val="004221C9"/>
    <w:rsid w:val="00422AEE"/>
    <w:rsid w:val="0042410D"/>
    <w:rsid w:val="00425774"/>
    <w:rsid w:val="00431903"/>
    <w:rsid w:val="004337F9"/>
    <w:rsid w:val="00433A7F"/>
    <w:rsid w:val="00441CDE"/>
    <w:rsid w:val="00444C89"/>
    <w:rsid w:val="00456453"/>
    <w:rsid w:val="0046044B"/>
    <w:rsid w:val="00462153"/>
    <w:rsid w:val="004643E0"/>
    <w:rsid w:val="0046477F"/>
    <w:rsid w:val="004735A5"/>
    <w:rsid w:val="0047578D"/>
    <w:rsid w:val="00480D6B"/>
    <w:rsid w:val="00495FF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D733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371DD"/>
    <w:rsid w:val="00541E49"/>
    <w:rsid w:val="00551864"/>
    <w:rsid w:val="00552521"/>
    <w:rsid w:val="00560204"/>
    <w:rsid w:val="005622FF"/>
    <w:rsid w:val="00565DA3"/>
    <w:rsid w:val="00576756"/>
    <w:rsid w:val="005804DA"/>
    <w:rsid w:val="0058313E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B49C2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10D6E"/>
    <w:rsid w:val="006112B7"/>
    <w:rsid w:val="00611BA9"/>
    <w:rsid w:val="00621306"/>
    <w:rsid w:val="006260E0"/>
    <w:rsid w:val="00630844"/>
    <w:rsid w:val="00630B91"/>
    <w:rsid w:val="00631315"/>
    <w:rsid w:val="00633F38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3FD8"/>
    <w:rsid w:val="006C5B09"/>
    <w:rsid w:val="006F0009"/>
    <w:rsid w:val="006F5950"/>
    <w:rsid w:val="00700FD0"/>
    <w:rsid w:val="007014F8"/>
    <w:rsid w:val="007021ED"/>
    <w:rsid w:val="00704505"/>
    <w:rsid w:val="00711A99"/>
    <w:rsid w:val="007129EF"/>
    <w:rsid w:val="0071502A"/>
    <w:rsid w:val="007172C8"/>
    <w:rsid w:val="00720671"/>
    <w:rsid w:val="0072178E"/>
    <w:rsid w:val="007218D7"/>
    <w:rsid w:val="00721A7F"/>
    <w:rsid w:val="00724EE2"/>
    <w:rsid w:val="007263DE"/>
    <w:rsid w:val="0073046D"/>
    <w:rsid w:val="00731C43"/>
    <w:rsid w:val="00733E8D"/>
    <w:rsid w:val="00734203"/>
    <w:rsid w:val="00737385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7F3"/>
    <w:rsid w:val="00795B7A"/>
    <w:rsid w:val="00796010"/>
    <w:rsid w:val="007978E6"/>
    <w:rsid w:val="007B03F4"/>
    <w:rsid w:val="007C5A08"/>
    <w:rsid w:val="007C69B9"/>
    <w:rsid w:val="007C715F"/>
    <w:rsid w:val="007C7B9A"/>
    <w:rsid w:val="007D1287"/>
    <w:rsid w:val="007D2039"/>
    <w:rsid w:val="007D2BC6"/>
    <w:rsid w:val="007D3654"/>
    <w:rsid w:val="007E121F"/>
    <w:rsid w:val="007F04E7"/>
    <w:rsid w:val="007F1E2B"/>
    <w:rsid w:val="007F255B"/>
    <w:rsid w:val="007F3670"/>
    <w:rsid w:val="007F4B9B"/>
    <w:rsid w:val="007F4E05"/>
    <w:rsid w:val="008005E4"/>
    <w:rsid w:val="00801F29"/>
    <w:rsid w:val="008020F1"/>
    <w:rsid w:val="00813DB1"/>
    <w:rsid w:val="00816B58"/>
    <w:rsid w:val="00823658"/>
    <w:rsid w:val="00825092"/>
    <w:rsid w:val="00837CEF"/>
    <w:rsid w:val="008450FB"/>
    <w:rsid w:val="00845A9F"/>
    <w:rsid w:val="00851DE5"/>
    <w:rsid w:val="00853CE4"/>
    <w:rsid w:val="00854156"/>
    <w:rsid w:val="00854F43"/>
    <w:rsid w:val="00856D46"/>
    <w:rsid w:val="00860B74"/>
    <w:rsid w:val="00863720"/>
    <w:rsid w:val="00873F46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B3683"/>
    <w:rsid w:val="008C055B"/>
    <w:rsid w:val="008C1BF9"/>
    <w:rsid w:val="008C64B6"/>
    <w:rsid w:val="008D2BA6"/>
    <w:rsid w:val="008D3494"/>
    <w:rsid w:val="008D6A47"/>
    <w:rsid w:val="008E38E5"/>
    <w:rsid w:val="008F03A6"/>
    <w:rsid w:val="008F51BB"/>
    <w:rsid w:val="008F603E"/>
    <w:rsid w:val="009019C7"/>
    <w:rsid w:val="00910ABD"/>
    <w:rsid w:val="009115D1"/>
    <w:rsid w:val="009207FA"/>
    <w:rsid w:val="009209F6"/>
    <w:rsid w:val="009229FE"/>
    <w:rsid w:val="00933027"/>
    <w:rsid w:val="009338E7"/>
    <w:rsid w:val="009343BD"/>
    <w:rsid w:val="00935FD6"/>
    <w:rsid w:val="009373CB"/>
    <w:rsid w:val="00940260"/>
    <w:rsid w:val="0094467D"/>
    <w:rsid w:val="00944E10"/>
    <w:rsid w:val="009528CE"/>
    <w:rsid w:val="00953CE6"/>
    <w:rsid w:val="0095694E"/>
    <w:rsid w:val="00961942"/>
    <w:rsid w:val="00962A2F"/>
    <w:rsid w:val="00962F80"/>
    <w:rsid w:val="009652EB"/>
    <w:rsid w:val="009677F4"/>
    <w:rsid w:val="009741BD"/>
    <w:rsid w:val="009820C8"/>
    <w:rsid w:val="009827BF"/>
    <w:rsid w:val="00983FAD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C4DB7"/>
    <w:rsid w:val="009D06AA"/>
    <w:rsid w:val="009D3EC3"/>
    <w:rsid w:val="009D732B"/>
    <w:rsid w:val="009E1040"/>
    <w:rsid w:val="009E23B1"/>
    <w:rsid w:val="009E6D70"/>
    <w:rsid w:val="009E7939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2C12"/>
    <w:rsid w:val="00A74822"/>
    <w:rsid w:val="00A74D80"/>
    <w:rsid w:val="00A765D3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0CA5"/>
    <w:rsid w:val="00AB2851"/>
    <w:rsid w:val="00AB4905"/>
    <w:rsid w:val="00AB547D"/>
    <w:rsid w:val="00AC0C16"/>
    <w:rsid w:val="00AC22E4"/>
    <w:rsid w:val="00AC272C"/>
    <w:rsid w:val="00AC2BEF"/>
    <w:rsid w:val="00AC3619"/>
    <w:rsid w:val="00AD7142"/>
    <w:rsid w:val="00AD75AA"/>
    <w:rsid w:val="00AD77DD"/>
    <w:rsid w:val="00AD786E"/>
    <w:rsid w:val="00AE1C18"/>
    <w:rsid w:val="00AE6A0B"/>
    <w:rsid w:val="00AF6273"/>
    <w:rsid w:val="00B14771"/>
    <w:rsid w:val="00B14ED9"/>
    <w:rsid w:val="00B1686C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536A4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0FF5"/>
    <w:rsid w:val="00BB2A6F"/>
    <w:rsid w:val="00BB5057"/>
    <w:rsid w:val="00BC2F03"/>
    <w:rsid w:val="00BC3993"/>
    <w:rsid w:val="00BC41A0"/>
    <w:rsid w:val="00BD1341"/>
    <w:rsid w:val="00BE077A"/>
    <w:rsid w:val="00BE274B"/>
    <w:rsid w:val="00BF026E"/>
    <w:rsid w:val="00BF20C5"/>
    <w:rsid w:val="00BF2CDC"/>
    <w:rsid w:val="00BF4A03"/>
    <w:rsid w:val="00BF4F6B"/>
    <w:rsid w:val="00C013D5"/>
    <w:rsid w:val="00C053E1"/>
    <w:rsid w:val="00C064CC"/>
    <w:rsid w:val="00C06820"/>
    <w:rsid w:val="00C23517"/>
    <w:rsid w:val="00C24261"/>
    <w:rsid w:val="00C24288"/>
    <w:rsid w:val="00C24C85"/>
    <w:rsid w:val="00C2707F"/>
    <w:rsid w:val="00C3663D"/>
    <w:rsid w:val="00C368B9"/>
    <w:rsid w:val="00C4072A"/>
    <w:rsid w:val="00C417D1"/>
    <w:rsid w:val="00C42F50"/>
    <w:rsid w:val="00C4540B"/>
    <w:rsid w:val="00C463E5"/>
    <w:rsid w:val="00C50ABD"/>
    <w:rsid w:val="00C51E44"/>
    <w:rsid w:val="00C533F4"/>
    <w:rsid w:val="00C610E3"/>
    <w:rsid w:val="00C70BB8"/>
    <w:rsid w:val="00C73F86"/>
    <w:rsid w:val="00C74991"/>
    <w:rsid w:val="00C752F0"/>
    <w:rsid w:val="00C75768"/>
    <w:rsid w:val="00C761AC"/>
    <w:rsid w:val="00C84380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CF29BB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1E95"/>
    <w:rsid w:val="00DD5B05"/>
    <w:rsid w:val="00DE1CEB"/>
    <w:rsid w:val="00DE2A73"/>
    <w:rsid w:val="00DE402D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562A1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470"/>
    <w:rsid w:val="00EC395C"/>
    <w:rsid w:val="00EC43B4"/>
    <w:rsid w:val="00EC459A"/>
    <w:rsid w:val="00EC610B"/>
    <w:rsid w:val="00EC7822"/>
    <w:rsid w:val="00EC7957"/>
    <w:rsid w:val="00ED0E13"/>
    <w:rsid w:val="00ED224B"/>
    <w:rsid w:val="00ED5C7B"/>
    <w:rsid w:val="00ED69B8"/>
    <w:rsid w:val="00ED7CEB"/>
    <w:rsid w:val="00EE667B"/>
    <w:rsid w:val="00EE66C5"/>
    <w:rsid w:val="00EF024B"/>
    <w:rsid w:val="00EF1853"/>
    <w:rsid w:val="00EF5DBC"/>
    <w:rsid w:val="00F0458C"/>
    <w:rsid w:val="00F04973"/>
    <w:rsid w:val="00F066E3"/>
    <w:rsid w:val="00F1019D"/>
    <w:rsid w:val="00F2310E"/>
    <w:rsid w:val="00F23457"/>
    <w:rsid w:val="00F25A97"/>
    <w:rsid w:val="00F31F7E"/>
    <w:rsid w:val="00F375E0"/>
    <w:rsid w:val="00F50468"/>
    <w:rsid w:val="00F53D38"/>
    <w:rsid w:val="00F6352E"/>
    <w:rsid w:val="00F65495"/>
    <w:rsid w:val="00F72C50"/>
    <w:rsid w:val="00F734FE"/>
    <w:rsid w:val="00F746CE"/>
    <w:rsid w:val="00F754E1"/>
    <w:rsid w:val="00F812EA"/>
    <w:rsid w:val="00F879C2"/>
    <w:rsid w:val="00F87CE3"/>
    <w:rsid w:val="00F942FC"/>
    <w:rsid w:val="00F94F2D"/>
    <w:rsid w:val="00F957C3"/>
    <w:rsid w:val="00F9771A"/>
    <w:rsid w:val="00FA3E37"/>
    <w:rsid w:val="00FA674D"/>
    <w:rsid w:val="00FB0039"/>
    <w:rsid w:val="00FB0886"/>
    <w:rsid w:val="00FB2AF6"/>
    <w:rsid w:val="00FB67EE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3526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2F643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4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C34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IV 2024</c:v>
                </c:pt>
                <c:pt idx="1">
                  <c:v> Q I 2025</c:v>
                </c:pt>
                <c:pt idx="2">
                  <c:v> Q II 2025</c:v>
                </c:pt>
                <c:pt idx="3">
                  <c:v> Q III 2025</c:v>
                </c:pt>
                <c:pt idx="4">
                  <c:v> Q IV 2025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326</c:v>
                </c:pt>
                <c:pt idx="1">
                  <c:v>222</c:v>
                </c:pt>
                <c:pt idx="2">
                  <c:v>170</c:v>
                </c:pt>
                <c:pt idx="3">
                  <c:v>206</c:v>
                </c:pt>
                <c:pt idx="4">
                  <c:v>190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F5-4596-A098-C2C1D2F1F9A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IV 2024</c:v>
                </c:pt>
                <c:pt idx="1">
                  <c:v> Q I 2025</c:v>
                </c:pt>
                <c:pt idx="2">
                  <c:v> Q II 2025</c:v>
                </c:pt>
                <c:pt idx="3">
                  <c:v> Q III 2025</c:v>
                </c:pt>
                <c:pt idx="4">
                  <c:v> Q IV 2025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1036</c:v>
                </c:pt>
                <c:pt idx="1">
                  <c:v>819</c:v>
                </c:pt>
                <c:pt idx="2">
                  <c:v>1071</c:v>
                </c:pt>
                <c:pt idx="3">
                  <c:v>1452</c:v>
                </c:pt>
                <c:pt idx="4">
                  <c:v>1354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F5-4596-A098-C2C1D2F1F9A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IV 2024</c:v>
                </c:pt>
                <c:pt idx="1">
                  <c:v> Q I 2025</c:v>
                </c:pt>
                <c:pt idx="2">
                  <c:v> Q II 2025</c:v>
                </c:pt>
                <c:pt idx="3">
                  <c:v> Q III 2025</c:v>
                </c:pt>
                <c:pt idx="4">
                  <c:v> Q IV 2025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1905</c:v>
                </c:pt>
                <c:pt idx="1">
                  <c:v>1449</c:v>
                </c:pt>
                <c:pt idx="2">
                  <c:v>1637</c:v>
                </c:pt>
                <c:pt idx="3">
                  <c:v>2184</c:v>
                </c:pt>
                <c:pt idx="4">
                  <c:v>2120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CF5-4596-A098-C2C1D2F1F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8243144"/>
        <c:axId val="348238048"/>
      </c:lineChart>
      <c:catAx>
        <c:axId val="348243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348238048"/>
        <c:crosses val="autoZero"/>
        <c:auto val="1"/>
        <c:lblAlgn val="ctr"/>
        <c:lblOffset val="100"/>
        <c:noMultiLvlLbl val="0"/>
      </c:catAx>
      <c:valAx>
        <c:axId val="3482380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348243144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736E-610B-4B6C-A571-A793E5C3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pcbs</cp:lastModifiedBy>
  <cp:revision>3</cp:revision>
  <cp:lastPrinted>2026-03-03T08:56:00Z</cp:lastPrinted>
  <dcterms:created xsi:type="dcterms:W3CDTF">2026-03-03T08:37:00Z</dcterms:created>
  <dcterms:modified xsi:type="dcterms:W3CDTF">2026-03-03T08:59:00Z</dcterms:modified>
</cp:coreProperties>
</file>