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8E" w:rsidRDefault="007C308E" w:rsidP="007C308E">
      <w:pPr>
        <w:pStyle w:val="Heading1"/>
        <w:jc w:val="center"/>
        <w:rPr>
          <w:rFonts w:hint="cs"/>
          <w:sz w:val="32"/>
          <w:szCs w:val="32"/>
          <w:rtl/>
        </w:rPr>
      </w:pPr>
    </w:p>
    <w:p w:rsidR="007C308E" w:rsidRPr="00116955" w:rsidRDefault="007C308E" w:rsidP="007C308E">
      <w:pPr>
        <w:pStyle w:val="Heading1"/>
        <w:jc w:val="center"/>
        <w:rPr>
          <w:color w:val="000000"/>
          <w:sz w:val="32"/>
          <w:szCs w:val="32"/>
          <w:rtl/>
        </w:rPr>
      </w:pPr>
      <w:r w:rsidRPr="001C45E5">
        <w:rPr>
          <w:sz w:val="32"/>
          <w:szCs w:val="32"/>
        </w:rPr>
        <w:t xml:space="preserve">Palestinian Central Bureau </w:t>
      </w:r>
      <w:r w:rsidRPr="001C45E5">
        <w:rPr>
          <w:rFonts w:cs="Simplified Arabic"/>
          <w:sz w:val="32"/>
          <w:szCs w:val="32"/>
        </w:rPr>
        <w:t>of Statistics (PCBS)</w:t>
      </w:r>
    </w:p>
    <w:p w:rsidR="007C308E" w:rsidRPr="008824EF" w:rsidRDefault="007C308E" w:rsidP="007C308E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7C308E" w:rsidRPr="001534AC" w:rsidRDefault="00A711AF" w:rsidP="000217BB">
      <w:pPr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Decrease</w:t>
      </w:r>
      <w:r w:rsidRPr="008824EF">
        <w:rPr>
          <w:b/>
          <w:bCs/>
          <w:color w:val="000000"/>
          <w:sz w:val="32"/>
          <w:szCs w:val="32"/>
        </w:rPr>
        <w:t xml:space="preserve"> </w:t>
      </w:r>
      <w:r w:rsidR="007C308E" w:rsidRPr="008824EF">
        <w:rPr>
          <w:b/>
          <w:bCs/>
          <w:color w:val="000000"/>
          <w:sz w:val="32"/>
          <w:szCs w:val="32"/>
        </w:rPr>
        <w:t xml:space="preserve">in the </w:t>
      </w:r>
      <w:r w:rsidR="007C308E">
        <w:rPr>
          <w:b/>
          <w:bCs/>
          <w:kern w:val="36"/>
          <w:sz w:val="28"/>
          <w:szCs w:val="28"/>
        </w:rPr>
        <w:t>Consumer Price</w:t>
      </w:r>
      <w:r w:rsidR="007C308E">
        <w:rPr>
          <w:b/>
          <w:bCs/>
          <w:color w:val="000000"/>
          <w:sz w:val="28"/>
          <w:szCs w:val="28"/>
        </w:rPr>
        <w:t xml:space="preserve"> </w:t>
      </w:r>
      <w:r w:rsidR="007C308E">
        <w:rPr>
          <w:b/>
          <w:bCs/>
          <w:sz w:val="28"/>
          <w:szCs w:val="28"/>
        </w:rPr>
        <w:t>Index</w:t>
      </w:r>
      <w:r w:rsidR="007C308E">
        <w:rPr>
          <w:b/>
          <w:bCs/>
          <w:color w:val="000000"/>
          <w:sz w:val="28"/>
          <w:szCs w:val="28"/>
        </w:rPr>
        <w:t xml:space="preserve"> </w:t>
      </w:r>
      <w:r w:rsidR="007C308E" w:rsidRPr="008824EF">
        <w:rPr>
          <w:b/>
          <w:bCs/>
          <w:color w:val="000000"/>
          <w:sz w:val="32"/>
          <w:szCs w:val="32"/>
        </w:rPr>
        <w:t>during</w:t>
      </w:r>
      <w:r w:rsidR="000217BB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28"/>
          <w:szCs w:val="28"/>
        </w:rPr>
        <w:t>May</w:t>
      </w:r>
      <w:r w:rsidR="007C308E" w:rsidRPr="008824EF">
        <w:rPr>
          <w:b/>
          <w:bCs/>
          <w:color w:val="000000"/>
          <w:sz w:val="32"/>
          <w:szCs w:val="32"/>
        </w:rPr>
        <w:t>,</w:t>
      </w:r>
      <w:r w:rsidR="000217BB">
        <w:rPr>
          <w:b/>
          <w:bCs/>
          <w:color w:val="000000"/>
          <w:sz w:val="32"/>
          <w:szCs w:val="32"/>
        </w:rPr>
        <w:t>05</w:t>
      </w:r>
      <w:r w:rsidR="007C308E" w:rsidRPr="008824EF">
        <w:rPr>
          <w:b/>
          <w:bCs/>
          <w:color w:val="000000"/>
          <w:sz w:val="32"/>
          <w:szCs w:val="32"/>
        </w:rPr>
        <w:t>/2016</w:t>
      </w: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  <w:rtl/>
        </w:rPr>
      </w:pPr>
    </w:p>
    <w:p w:rsidR="00A711AF" w:rsidRPr="004E75FD" w:rsidRDefault="00A711AF" w:rsidP="00A711AF">
      <w:pPr>
        <w:bidi w:val="0"/>
        <w:spacing w:line="360" w:lineRule="auto"/>
        <w:jc w:val="lowKashida"/>
        <w:rPr>
          <w:color w:val="000000"/>
          <w:sz w:val="20"/>
          <w:szCs w:val="20"/>
        </w:rPr>
      </w:pPr>
    </w:p>
    <w:p w:rsidR="00A711AF" w:rsidRDefault="00A711AF" w:rsidP="00A711AF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>The overall Consumer Price Index (CPI) for Palestine during May 2016 decreased by 0.49% compared with April 2016 (by 0.66%</w:t>
      </w:r>
      <w:r w:rsidRPr="00A755B8">
        <w:rPr>
          <w:color w:val="000000"/>
        </w:rPr>
        <w:t xml:space="preserve"> </w:t>
      </w:r>
      <w:r>
        <w:rPr>
          <w:color w:val="000000"/>
        </w:rPr>
        <w:t xml:space="preserve">in the West Bank**, by 0.45% in Gaza Strip, and slightly decreased by 0.03% in Jerusalem J1*). </w:t>
      </w:r>
    </w:p>
    <w:p w:rsidR="00A711AF" w:rsidRPr="008B0063" w:rsidRDefault="00A711AF" w:rsidP="00A711AF">
      <w:pPr>
        <w:bidi w:val="0"/>
        <w:spacing w:line="360" w:lineRule="auto"/>
        <w:jc w:val="lowKashida"/>
        <w:rPr>
          <w:color w:val="000000"/>
          <w:sz w:val="20"/>
          <w:szCs w:val="20"/>
        </w:rPr>
      </w:pPr>
    </w:p>
    <w:p w:rsidR="00A711AF" w:rsidRDefault="00A711AF" w:rsidP="00A711AF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 xml:space="preserve">The CPI during May 2016 decreased </w:t>
      </w:r>
      <w:r>
        <w:t xml:space="preserve">by </w:t>
      </w:r>
      <w:r>
        <w:rPr>
          <w:color w:val="000000"/>
        </w:rPr>
        <w:t>0.31% compared with May 2015 (by 2.41% in Jerusalem J1*, by 0.77% in the West Bank**, and by 0.30%</w:t>
      </w:r>
      <w:r w:rsidRPr="00B13E86">
        <w:rPr>
          <w:color w:val="000000"/>
        </w:rPr>
        <w:t xml:space="preserve"> </w:t>
      </w:r>
      <w:r>
        <w:rPr>
          <w:color w:val="000000"/>
        </w:rPr>
        <w:t>in</w:t>
      </w:r>
      <w:r w:rsidRPr="00AA0475">
        <w:rPr>
          <w:color w:val="000000"/>
        </w:rPr>
        <w:t xml:space="preserve"> </w:t>
      </w:r>
      <w:r>
        <w:rPr>
          <w:color w:val="000000"/>
        </w:rPr>
        <w:t>Gaza Strip).</w:t>
      </w:r>
    </w:p>
    <w:p w:rsidR="00A711AF" w:rsidRPr="00607BE9" w:rsidRDefault="00A711AF" w:rsidP="00A711AF">
      <w:pPr>
        <w:bidi w:val="0"/>
        <w:spacing w:line="360" w:lineRule="auto"/>
        <w:jc w:val="lowKashida"/>
        <w:rPr>
          <w:color w:val="000000"/>
          <w:sz w:val="20"/>
          <w:szCs w:val="20"/>
        </w:rPr>
      </w:pPr>
    </w:p>
    <w:p w:rsidR="00A711AF" w:rsidRDefault="00A711AF" w:rsidP="00A711AF">
      <w:pPr>
        <w:bidi w:val="0"/>
        <w:spacing w:line="360" w:lineRule="auto"/>
        <w:jc w:val="lowKashida"/>
        <w:rPr>
          <w:color w:val="000000"/>
          <w:sz w:val="20"/>
          <w:szCs w:val="20"/>
        </w:rPr>
      </w:pPr>
      <w:r>
        <w:rPr>
          <w:color w:val="000000"/>
        </w:rPr>
        <w:t xml:space="preserve">The CPI during the first five months of 2016 increased by 0.26% compared with </w:t>
      </w:r>
      <w:r w:rsidRPr="00C316FC">
        <w:rPr>
          <w:color w:val="000000"/>
        </w:rPr>
        <w:t>the s</w:t>
      </w:r>
      <w:r>
        <w:rPr>
          <w:color w:val="000000"/>
        </w:rPr>
        <w:t>ame period of the previous year (by 0.51% in the West Bank**, while it decreased by 1.73% in</w:t>
      </w:r>
      <w:r w:rsidRPr="000A3D00">
        <w:rPr>
          <w:color w:val="000000"/>
        </w:rPr>
        <w:t xml:space="preserve"> </w:t>
      </w:r>
      <w:r>
        <w:rPr>
          <w:color w:val="000000"/>
        </w:rPr>
        <w:t>Jerusalem J1*, and by 0.18%</w:t>
      </w:r>
      <w:r w:rsidRPr="00224F72">
        <w:rPr>
          <w:color w:val="000000"/>
        </w:rPr>
        <w:t xml:space="preserve"> </w:t>
      </w:r>
      <w:r>
        <w:rPr>
          <w:color w:val="000000"/>
        </w:rPr>
        <w:t>in Gaza Strip).</w:t>
      </w:r>
    </w:p>
    <w:p w:rsidR="00A711AF" w:rsidRPr="00607BE9" w:rsidRDefault="00A711AF" w:rsidP="00A711AF">
      <w:pPr>
        <w:bidi w:val="0"/>
        <w:spacing w:line="360" w:lineRule="auto"/>
        <w:jc w:val="lowKashida"/>
        <w:rPr>
          <w:color w:val="000000"/>
          <w:sz w:val="22"/>
          <w:szCs w:val="22"/>
        </w:rPr>
      </w:pPr>
    </w:p>
    <w:p w:rsidR="00A711AF" w:rsidRDefault="00A711AF" w:rsidP="00A711AF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>The change in (CPI) in Palestine for May 2016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is traced back to changes in prices of the following expenditure sub groups compared with previous month:</w:t>
      </w:r>
    </w:p>
    <w:p w:rsidR="00A711AF" w:rsidRPr="00247498" w:rsidRDefault="00A711AF" w:rsidP="00A711AF">
      <w:pPr>
        <w:bidi w:val="0"/>
        <w:jc w:val="both"/>
        <w:rPr>
          <w:color w:val="000000"/>
          <w:sz w:val="12"/>
          <w:szCs w:val="12"/>
        </w:rPr>
      </w:pPr>
    </w:p>
    <w:tbl>
      <w:tblPr>
        <w:tblW w:w="6539" w:type="dxa"/>
        <w:jc w:val="center"/>
        <w:tblInd w:w="-998" w:type="dxa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3886"/>
        <w:gridCol w:w="2653"/>
      </w:tblGrid>
      <w:tr w:rsidR="00A711AF" w:rsidTr="00A711AF">
        <w:trPr>
          <w:trHeight w:hRule="exact" w:val="281"/>
          <w:jc w:val="center"/>
        </w:trPr>
        <w:tc>
          <w:tcPr>
            <w:tcW w:w="38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11AF" w:rsidRDefault="00A711AF" w:rsidP="00A711AF">
            <w:pPr>
              <w:pStyle w:val="BodyText3"/>
              <w:bidi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 Groups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11AF" w:rsidRDefault="00A711AF" w:rsidP="00A711AF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A711AF" w:rsidTr="003D64AF">
        <w:trPr>
          <w:trHeight w:hRule="exact" w:val="372"/>
          <w:jc w:val="center"/>
        </w:trPr>
        <w:tc>
          <w:tcPr>
            <w:tcW w:w="3886" w:type="dxa"/>
            <w:vAlign w:val="center"/>
          </w:tcPr>
          <w:p w:rsidR="00A711AF" w:rsidRPr="005E3CD8" w:rsidRDefault="00A711AF" w:rsidP="00A711AF">
            <w:pPr>
              <w:bidi w:val="0"/>
              <w:rPr>
                <w:color w:val="000000"/>
              </w:rPr>
            </w:pPr>
            <w:r w:rsidRPr="009D61DF">
              <w:rPr>
                <w:color w:val="000000"/>
              </w:rPr>
              <w:t xml:space="preserve">Dried </w:t>
            </w:r>
            <w:r>
              <w:rPr>
                <w:color w:val="000000"/>
              </w:rPr>
              <w:t>V</w:t>
            </w:r>
            <w:r w:rsidRPr="009D61DF">
              <w:rPr>
                <w:color w:val="000000"/>
              </w:rPr>
              <w:t>egetables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- 24.54%</w:t>
            </w:r>
          </w:p>
        </w:tc>
      </w:tr>
      <w:tr w:rsidR="00A711AF" w:rsidTr="003D64AF">
        <w:trPr>
          <w:trHeight w:hRule="exact" w:val="333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 w:rsidRPr="00C2202F">
              <w:t>Fresh Vegetables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- 9.13%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 w:rsidRPr="00C2202F">
              <w:t xml:space="preserve">Fresh </w:t>
            </w:r>
            <w:r>
              <w:t>Fruit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</w:pPr>
            <w:r>
              <w:t>- 7.75%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Potatoes and other Tubers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proofErr w:type="spellStart"/>
            <w:r>
              <w:rPr>
                <w:rFonts w:hint="cs"/>
                <w:color w:val="000000"/>
                <w:rtl/>
              </w:rPr>
              <w:t>-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hint="cs"/>
                <w:color w:val="000000"/>
                <w:rtl/>
              </w:rPr>
              <w:t>4.75</w:t>
            </w:r>
            <w:r>
              <w:rPr>
                <w:color w:val="000000"/>
              </w:rPr>
              <w:t>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Pr="00C213D0" w:rsidRDefault="00A711AF" w:rsidP="00A711AF">
            <w:pPr>
              <w:bidi w:val="0"/>
            </w:pPr>
            <w:r w:rsidRPr="00B529B1">
              <w:t xml:space="preserve">Oils and </w:t>
            </w:r>
            <w:r>
              <w:t>F</w:t>
            </w:r>
            <w:r w:rsidRPr="00B529B1">
              <w:t>ats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</w:pPr>
            <w:proofErr w:type="spellStart"/>
            <w:r>
              <w:rPr>
                <w:rFonts w:hint="cs"/>
                <w:color w:val="000000"/>
                <w:rtl/>
              </w:rPr>
              <w:t>-</w:t>
            </w:r>
            <w:proofErr w:type="spellEnd"/>
            <w:r>
              <w:rPr>
                <w:color w:val="000000"/>
              </w:rPr>
              <w:t xml:space="preserve"> 1.06%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Pr="00C2202F" w:rsidRDefault="00A711AF" w:rsidP="00A711AF">
            <w:pPr>
              <w:bidi w:val="0"/>
            </w:pPr>
            <w:r w:rsidRPr="00C213D0">
              <w:t>Eggs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t>- 0.64%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 w:rsidRPr="00B529B1">
              <w:rPr>
                <w:color w:val="000000"/>
              </w:rPr>
              <w:t xml:space="preserve">Fresh </w:t>
            </w:r>
            <w:r>
              <w:rPr>
                <w:color w:val="000000"/>
              </w:rPr>
              <w:t>M</w:t>
            </w:r>
            <w:r w:rsidRPr="00B529B1">
              <w:rPr>
                <w:color w:val="000000"/>
              </w:rPr>
              <w:t>eat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t>- 0.41%</w:t>
            </w:r>
          </w:p>
        </w:tc>
      </w:tr>
      <w:tr w:rsidR="00A711AF" w:rsidTr="003D64AF">
        <w:trPr>
          <w:trHeight w:hRule="exact" w:val="342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 w:rsidRPr="00B529B1">
              <w:rPr>
                <w:color w:val="000000"/>
              </w:rPr>
              <w:t>Fresh</w:t>
            </w:r>
            <w:r>
              <w:rPr>
                <w:color w:val="000000"/>
              </w:rPr>
              <w:t xml:space="preserve"> F</w:t>
            </w:r>
            <w:r w:rsidRPr="00B529B1">
              <w:rPr>
                <w:color w:val="000000"/>
              </w:rPr>
              <w:t>ish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+ 4.94%</w:t>
            </w:r>
          </w:p>
        </w:tc>
      </w:tr>
      <w:tr w:rsidR="00A711AF" w:rsidTr="00A711AF">
        <w:trPr>
          <w:trHeight w:hRule="exact" w:val="281"/>
          <w:jc w:val="center"/>
        </w:trPr>
        <w:tc>
          <w:tcPr>
            <w:tcW w:w="3886" w:type="dxa"/>
            <w:vAlign w:val="center"/>
          </w:tcPr>
          <w:p w:rsidR="00A711AF" w:rsidRPr="005E3CD8" w:rsidRDefault="00A711AF" w:rsidP="00A711AF">
            <w:pPr>
              <w:bidi w:val="0"/>
              <w:rPr>
                <w:color w:val="000000"/>
              </w:rPr>
            </w:pPr>
            <w:r w:rsidRPr="00416A05">
              <w:rPr>
                <w:color w:val="000000"/>
              </w:rPr>
              <w:t>Fresh poultry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</w:pPr>
            <w:r>
              <w:t>+ 1.56%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Pr="005E3CD8" w:rsidRDefault="00A711AF" w:rsidP="00A711AF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Liquid F</w:t>
            </w:r>
            <w:r w:rsidRPr="000D1511">
              <w:rPr>
                <w:color w:val="000000"/>
              </w:rPr>
              <w:t>uel</w:t>
            </w:r>
            <w:r>
              <w:rPr>
                <w:color w:val="000000"/>
              </w:rPr>
              <w:t xml:space="preserve"> for House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+ 1.45%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Default="00A711AF" w:rsidP="00A711AF">
            <w:pPr>
              <w:bidi w:val="0"/>
              <w:rPr>
                <w:color w:val="000000"/>
              </w:rPr>
            </w:pPr>
            <w:r w:rsidRPr="00B529B1">
              <w:rPr>
                <w:color w:val="000000"/>
              </w:rPr>
              <w:t xml:space="preserve">Imported </w:t>
            </w:r>
            <w:r>
              <w:rPr>
                <w:color w:val="000000"/>
              </w:rPr>
              <w:t>C</w:t>
            </w:r>
            <w:r w:rsidRPr="00B529B1">
              <w:rPr>
                <w:color w:val="000000"/>
              </w:rPr>
              <w:t>igarettes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+ 0.99%</w:t>
            </w:r>
          </w:p>
        </w:tc>
      </w:tr>
      <w:tr w:rsidR="00A711AF" w:rsidTr="003D64AF">
        <w:trPr>
          <w:trHeight w:hRule="exact" w:val="360"/>
          <w:jc w:val="center"/>
        </w:trPr>
        <w:tc>
          <w:tcPr>
            <w:tcW w:w="3886" w:type="dxa"/>
            <w:vAlign w:val="center"/>
          </w:tcPr>
          <w:p w:rsidR="00A711AF" w:rsidRPr="00700557" w:rsidRDefault="00A711AF" w:rsidP="00A711AF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Liquid F</w:t>
            </w:r>
            <w:r w:rsidRPr="000D1511">
              <w:rPr>
                <w:color w:val="000000"/>
              </w:rPr>
              <w:t>uel</w:t>
            </w:r>
            <w:r>
              <w:rPr>
                <w:color w:val="000000"/>
              </w:rPr>
              <w:t xml:space="preserve"> for Cars</w:t>
            </w:r>
          </w:p>
        </w:tc>
        <w:tc>
          <w:tcPr>
            <w:tcW w:w="2653" w:type="dxa"/>
            <w:vAlign w:val="center"/>
          </w:tcPr>
          <w:p w:rsidR="00A711AF" w:rsidRDefault="00A711AF" w:rsidP="00A711AF">
            <w:pPr>
              <w:tabs>
                <w:tab w:val="right" w:pos="338"/>
              </w:tabs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+ 0.69%</w:t>
            </w:r>
          </w:p>
        </w:tc>
      </w:tr>
    </w:tbl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A711AF" w:rsidRPr="00A711AF" w:rsidRDefault="00A711AF" w:rsidP="003D64AF">
      <w:pPr>
        <w:autoSpaceDE w:val="0"/>
        <w:autoSpaceDN w:val="0"/>
        <w:bidi w:val="0"/>
        <w:adjustRightInd w:val="0"/>
        <w:rPr>
          <w:rFonts w:cs="Simplified Arabic"/>
          <w:b/>
          <w:bCs/>
          <w:snapToGrid w:val="0"/>
          <w:color w:val="000000"/>
          <w:sz w:val="25"/>
          <w:szCs w:val="25"/>
        </w:rPr>
      </w:pPr>
    </w:p>
    <w:p w:rsidR="00A711AF" w:rsidRP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A711AF">
        <w:rPr>
          <w:rFonts w:cs="Simplified Arabic"/>
          <w:b/>
          <w:bCs/>
          <w:snapToGrid w:val="0"/>
          <w:color w:val="000000"/>
          <w:sz w:val="25"/>
          <w:szCs w:val="25"/>
        </w:rPr>
        <w:t>The consumer price index in Palestine for May</w:t>
      </w:r>
      <w:r w:rsidRPr="00A711AF">
        <w:rPr>
          <w:b/>
          <w:bCs/>
          <w:color w:val="000000"/>
          <w:sz w:val="25"/>
          <w:szCs w:val="25"/>
        </w:rPr>
        <w:t xml:space="preserve"> </w:t>
      </w:r>
      <w:r w:rsidRPr="00A711AF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2015 – </w:t>
      </w:r>
      <w:r w:rsidRPr="00A711AF">
        <w:rPr>
          <w:b/>
          <w:bCs/>
          <w:color w:val="000000"/>
          <w:sz w:val="25"/>
          <w:szCs w:val="25"/>
        </w:rPr>
        <w:t xml:space="preserve">May </w:t>
      </w:r>
      <w:r w:rsidRPr="00A711AF">
        <w:rPr>
          <w:rFonts w:cs="Simplified Arabic"/>
          <w:b/>
          <w:bCs/>
          <w:snapToGrid w:val="0"/>
          <w:color w:val="000000"/>
          <w:sz w:val="25"/>
          <w:szCs w:val="25"/>
        </w:rPr>
        <w:t>2016</w:t>
      </w:r>
    </w:p>
    <w:p w:rsidR="00A711AF" w:rsidRP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A711AF">
        <w:rPr>
          <w:rFonts w:cs="Simplified Arabic"/>
          <w:b/>
          <w:bCs/>
          <w:snapToGrid w:val="0"/>
          <w:color w:val="000000"/>
          <w:sz w:val="25"/>
          <w:szCs w:val="25"/>
        </w:rPr>
        <w:t>(Base Year 2010=100)</w:t>
      </w:r>
    </w:p>
    <w:p w:rsidR="00A711AF" w:rsidRPr="005100F6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en-US"/>
        </w:rPr>
        <w:drawing>
          <wp:inline distT="0" distB="0" distL="0" distR="0">
            <wp:extent cx="2905125" cy="2428875"/>
            <wp:effectExtent l="19050" t="0" r="9525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A711AF" w:rsidRDefault="00A711AF" w:rsidP="00A711AF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0"/>
          <w:szCs w:val="20"/>
        </w:rPr>
      </w:pPr>
      <w:r>
        <w:rPr>
          <w:rFonts w:cs="Simplified Arabic"/>
          <w:b/>
          <w:bCs/>
          <w:snapToGrid w:val="0"/>
          <w:color w:val="000000"/>
          <w:sz w:val="20"/>
          <w:szCs w:val="20"/>
        </w:rPr>
        <w:t>Notes</w:t>
      </w:r>
      <w:r>
        <w:rPr>
          <w:rFonts w:cs="Simplified Arabic"/>
          <w:snapToGrid w:val="0"/>
          <w:color w:val="000000"/>
          <w:sz w:val="20"/>
          <w:szCs w:val="20"/>
        </w:rPr>
        <w:t>:</w:t>
      </w:r>
    </w:p>
    <w:p w:rsidR="00A711AF" w:rsidRDefault="00A711AF" w:rsidP="00A711AF">
      <w:pPr>
        <w:numPr>
          <w:ilvl w:val="0"/>
          <w:numId w:val="1"/>
        </w:numPr>
        <w:bidi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Jerusalem J1*: </w:t>
      </w:r>
      <w:r w:rsidRPr="00A122F8">
        <w:rPr>
          <w:color w:val="000000"/>
          <w:sz w:val="20"/>
          <w:szCs w:val="20"/>
        </w:rPr>
        <w:t>Includes that part of Jerusalem which was annexed forcefully by Israel following its occupation of the West Bank in 1967.</w:t>
      </w:r>
    </w:p>
    <w:p w:rsidR="00A711AF" w:rsidRPr="00A122F8" w:rsidRDefault="00A711AF" w:rsidP="00A711AF">
      <w:pPr>
        <w:numPr>
          <w:ilvl w:val="0"/>
          <w:numId w:val="1"/>
        </w:numPr>
        <w:bidi w:val="0"/>
        <w:jc w:val="both"/>
        <w:rPr>
          <w:color w:val="000000"/>
          <w:sz w:val="20"/>
          <w:szCs w:val="20"/>
        </w:rPr>
      </w:pPr>
      <w:r w:rsidRPr="00A122F8">
        <w:rPr>
          <w:sz w:val="20"/>
          <w:szCs w:val="20"/>
        </w:rPr>
        <w:t>The data of  West Bank** doesn't include that part of Jerusalem which was annexed forcefully by Israel following its occupation of the West Bank in 1967.</w:t>
      </w:r>
    </w:p>
    <w:p w:rsidR="00A711AF" w:rsidRDefault="00A711AF" w:rsidP="00A711AF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0217BB" w:rsidRDefault="000217BB" w:rsidP="000217BB">
      <w:pPr>
        <w:bidi w:val="0"/>
        <w:spacing w:line="360" w:lineRule="auto"/>
        <w:jc w:val="lowKashida"/>
        <w:rPr>
          <w:b/>
          <w:bCs/>
          <w:color w:val="000000"/>
          <w:sz w:val="28"/>
          <w:szCs w:val="28"/>
        </w:rPr>
      </w:pPr>
    </w:p>
    <w:p w:rsidR="00C65090" w:rsidRPr="007C308E" w:rsidRDefault="007C308E">
      <w:r>
        <w:rPr>
          <w:rFonts w:hint="cs"/>
          <w:rtl/>
        </w:rPr>
        <w:t xml:space="preserve"> </w:t>
      </w:r>
    </w:p>
    <w:sectPr w:rsidR="00C65090" w:rsidRPr="007C308E" w:rsidSect="008824EF">
      <w:footerReference w:type="even" r:id="rId8"/>
      <w:footerReference w:type="default" r:id="rId9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04" w:rsidRDefault="00746004" w:rsidP="007831CC">
      <w:r>
        <w:separator/>
      </w:r>
    </w:p>
  </w:endnote>
  <w:endnote w:type="continuationSeparator" w:id="0">
    <w:p w:rsidR="00746004" w:rsidRDefault="00746004" w:rsidP="0078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FA8" w:rsidRDefault="00A10EC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C308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C3FA8" w:rsidRDefault="0074600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EF" w:rsidRDefault="00A10EC6">
    <w:pPr>
      <w:pStyle w:val="Footer"/>
      <w:jc w:val="center"/>
    </w:pPr>
    <w:r>
      <w:fldChar w:fldCharType="begin"/>
    </w:r>
    <w:r w:rsidR="007C308E">
      <w:instrText xml:space="preserve"> PAGE   \* MERGEFORMAT </w:instrText>
    </w:r>
    <w:r>
      <w:fldChar w:fldCharType="separate"/>
    </w:r>
    <w:r w:rsidR="003D64AF">
      <w:rPr>
        <w:noProof/>
        <w:rtl/>
      </w:rPr>
      <w:t>1</w:t>
    </w:r>
    <w:r>
      <w:fldChar w:fldCharType="end"/>
    </w:r>
  </w:p>
  <w:p w:rsidR="008824EF" w:rsidRDefault="00746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04" w:rsidRDefault="00746004" w:rsidP="007831CC">
      <w:r>
        <w:separator/>
      </w:r>
    </w:p>
  </w:footnote>
  <w:footnote w:type="continuationSeparator" w:id="0">
    <w:p w:rsidR="00746004" w:rsidRDefault="00746004" w:rsidP="00783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08E"/>
    <w:rsid w:val="000217BB"/>
    <w:rsid w:val="00367394"/>
    <w:rsid w:val="003D64AF"/>
    <w:rsid w:val="005E7849"/>
    <w:rsid w:val="00746004"/>
    <w:rsid w:val="007831CC"/>
    <w:rsid w:val="007C308E"/>
    <w:rsid w:val="00A10EC6"/>
    <w:rsid w:val="00A711AF"/>
    <w:rsid w:val="00B81E9A"/>
    <w:rsid w:val="00BC578F"/>
    <w:rsid w:val="00C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308E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0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0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308E"/>
  </w:style>
  <w:style w:type="paragraph" w:styleId="BodyText3">
    <w:name w:val="Body Text 3"/>
    <w:basedOn w:val="Normal"/>
    <w:link w:val="BodyText3Char"/>
    <w:semiHidden/>
    <w:unhideWhenUsed/>
    <w:rsid w:val="007C30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C308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08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A71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812080536912751"/>
          <c:y val="4.1860465116279069E-2"/>
          <c:w val="0.72954170822986764"/>
          <c:h val="0.646511627906976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481618369132442E-2"/>
                  <c:y val="0.1178283270146787"/>
                </c:manualLayout>
              </c:layout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-6.2349349188494318E-4"/>
                  <c:y val="-0.11183386798872365"/>
                </c:manualLayout>
              </c:layout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May.2015</c:v>
                </c:pt>
                <c:pt idx="1">
                  <c:v>Jun.2015</c:v>
                </c:pt>
                <c:pt idx="2">
                  <c:v>Jul.2015</c:v>
                </c:pt>
                <c:pt idx="3">
                  <c:v>Aug.2015</c:v>
                </c:pt>
                <c:pt idx="4">
                  <c:v>Sep.2015</c:v>
                </c:pt>
                <c:pt idx="5">
                  <c:v>Oct.2015</c:v>
                </c:pt>
                <c:pt idx="6">
                  <c:v>Nov.2015</c:v>
                </c:pt>
                <c:pt idx="7">
                  <c:v>Dec.2015</c:v>
                </c:pt>
                <c:pt idx="8">
                  <c:v>Jan.2016</c:v>
                </c:pt>
                <c:pt idx="9">
                  <c:v>Feb.2016</c:v>
                </c:pt>
                <c:pt idx="10">
                  <c:v>Mar.2016</c:v>
                </c:pt>
                <c:pt idx="11">
                  <c:v>Apr.2016</c:v>
                </c:pt>
                <c:pt idx="12">
                  <c:v>May.2016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110.84</c:v>
                </c:pt>
                <c:pt idx="1">
                  <c:v>110.89</c:v>
                </c:pt>
                <c:pt idx="2">
                  <c:v>110.43</c:v>
                </c:pt>
                <c:pt idx="3">
                  <c:v>110.7</c:v>
                </c:pt>
                <c:pt idx="4">
                  <c:v>112.07</c:v>
                </c:pt>
                <c:pt idx="5">
                  <c:v>112.16999999999999</c:v>
                </c:pt>
                <c:pt idx="6">
                  <c:v>111.49119147496852</c:v>
                </c:pt>
                <c:pt idx="7">
                  <c:v>111.68859617520528</c:v>
                </c:pt>
                <c:pt idx="8">
                  <c:v>110.95508249018647</c:v>
                </c:pt>
                <c:pt idx="9">
                  <c:v>110.6713665568969</c:v>
                </c:pt>
                <c:pt idx="10">
                  <c:v>110.72</c:v>
                </c:pt>
                <c:pt idx="11">
                  <c:v>111.0324175626627</c:v>
                </c:pt>
                <c:pt idx="12">
                  <c:v>110.49315008326094</c:v>
                </c:pt>
              </c:numCache>
            </c:numRef>
          </c:val>
        </c:ser>
        <c:marker val="1"/>
        <c:axId val="108981248"/>
        <c:axId val="81207680"/>
      </c:lineChart>
      <c:catAx>
        <c:axId val="108981248"/>
        <c:scaling>
          <c:orientation val="minMax"/>
        </c:scaling>
        <c:axPos val="b"/>
        <c:numFmt formatCode="@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1207680"/>
        <c:crosses val="autoZero"/>
        <c:auto val="1"/>
        <c:lblAlgn val="ctr"/>
        <c:lblOffset val="100"/>
        <c:tickLblSkip val="2"/>
        <c:tickMarkSkip val="1"/>
      </c:catAx>
      <c:valAx>
        <c:axId val="81207680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Consumer Price Index CPI</a:t>
                </a:r>
              </a:p>
            </c:rich>
          </c:tx>
          <c:layout>
            <c:manualLayout>
              <c:xMode val="edge"/>
              <c:yMode val="edge"/>
              <c:x val="2.229364186619532E-2"/>
              <c:y val="0.11411055996855027"/>
            </c:manualLayout>
          </c:layout>
          <c:spPr>
            <a:noFill/>
            <a:ln w="25297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8981248"/>
        <c:crosses val="autoZero"/>
        <c:crossBetween val="between"/>
        <c:majorUnit val="1"/>
      </c:valAx>
      <c:spPr>
        <a:noFill/>
        <a:ln w="25400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5</cp:revision>
  <cp:lastPrinted>2016-06-13T08:11:00Z</cp:lastPrinted>
  <dcterms:created xsi:type="dcterms:W3CDTF">2016-06-13T08:04:00Z</dcterms:created>
  <dcterms:modified xsi:type="dcterms:W3CDTF">2016-06-13T08:33:00Z</dcterms:modified>
</cp:coreProperties>
</file>