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205" w:rsidRDefault="00EE2205" w:rsidP="00E1790C">
      <w:pPr>
        <w:pStyle w:val="Heading1"/>
        <w:bidi w:val="0"/>
        <w:rPr>
          <w:b/>
          <w:bCs/>
          <w:sz w:val="28"/>
          <w:szCs w:val="28"/>
        </w:rPr>
      </w:pPr>
    </w:p>
    <w:p w:rsidR="00EE2205" w:rsidRPr="00E1790C" w:rsidRDefault="00EE2205" w:rsidP="00EE2205">
      <w:pPr>
        <w:pStyle w:val="Heading1"/>
        <w:jc w:val="center"/>
        <w:rPr>
          <w:b/>
          <w:bCs/>
          <w:sz w:val="32"/>
          <w:szCs w:val="32"/>
          <w:rtl/>
        </w:rPr>
      </w:pPr>
      <w:r w:rsidRPr="00E1790C">
        <w:rPr>
          <w:b/>
          <w:bCs/>
          <w:sz w:val="32"/>
          <w:szCs w:val="32"/>
        </w:rPr>
        <w:t>Palestinian Central Bureau of Statistics (PCBS)</w:t>
      </w:r>
    </w:p>
    <w:p w:rsidR="00EE2205" w:rsidRPr="00EE2205" w:rsidRDefault="00EE2205" w:rsidP="00EE2205">
      <w:pPr>
        <w:rPr>
          <w:sz w:val="16"/>
          <w:szCs w:val="16"/>
          <w:rtl/>
        </w:rPr>
      </w:pPr>
    </w:p>
    <w:p w:rsidR="00EE2205" w:rsidRPr="00E1790C" w:rsidRDefault="0044598F" w:rsidP="00EE2205">
      <w:pPr>
        <w:pStyle w:val="BodyText2"/>
        <w:bidi w:val="0"/>
        <w:jc w:val="center"/>
        <w:rPr>
          <w:rFonts w:cs="Times New Roman"/>
          <w:i w:val="0"/>
          <w:iCs w:val="0"/>
        </w:rPr>
      </w:pPr>
      <w:r>
        <w:rPr>
          <w:rFonts w:cs="Times New Roman"/>
          <w:i w:val="0"/>
          <w:iCs w:val="0"/>
        </w:rPr>
        <w:t>T</w:t>
      </w:r>
      <w:r w:rsidR="00004B12">
        <w:rPr>
          <w:rFonts w:cs="Times New Roman"/>
          <w:i w:val="0"/>
          <w:iCs w:val="0"/>
        </w:rPr>
        <w:t>he</w:t>
      </w:r>
      <w:r w:rsidR="00526C9C" w:rsidRPr="00E1790C">
        <w:rPr>
          <w:rFonts w:cs="Times New Roman"/>
          <w:i w:val="0"/>
          <w:iCs w:val="0"/>
        </w:rPr>
        <w:t xml:space="preserve"> Palestinian Child Day </w:t>
      </w:r>
      <w:r w:rsidR="008E3047">
        <w:rPr>
          <w:rFonts w:cs="Times New Roman"/>
          <w:i w:val="0"/>
          <w:iCs w:val="0"/>
        </w:rPr>
        <w:t>05/04/2016</w:t>
      </w:r>
    </w:p>
    <w:p w:rsidR="00526C9C" w:rsidRPr="00E1790C" w:rsidRDefault="00526C9C" w:rsidP="00EE2205">
      <w:pPr>
        <w:pStyle w:val="BodyText2"/>
        <w:bidi w:val="0"/>
        <w:jc w:val="center"/>
        <w:rPr>
          <w:rFonts w:cs="Times New Roman"/>
          <w:i w:val="0"/>
          <w:iCs w:val="0"/>
        </w:rPr>
      </w:pPr>
      <w:r w:rsidRPr="00E1790C">
        <w:rPr>
          <w:rFonts w:cs="Times New Roman"/>
          <w:i w:val="0"/>
          <w:iCs w:val="0"/>
        </w:rPr>
        <w:t>Palestinian Children are Victims of Continuing Israeli Violence and Violations</w:t>
      </w:r>
    </w:p>
    <w:p w:rsidR="008F2707" w:rsidRPr="00E1790C" w:rsidRDefault="008F2707" w:rsidP="00EE2205">
      <w:pPr>
        <w:pStyle w:val="BodyText2"/>
        <w:bidi w:val="0"/>
        <w:rPr>
          <w:rFonts w:cs="Times New Roman"/>
          <w:i w:val="0"/>
          <w:iCs w:val="0"/>
        </w:rPr>
      </w:pPr>
    </w:p>
    <w:p w:rsidR="00E1790C" w:rsidRDefault="00E1790C" w:rsidP="00E1790C">
      <w:pPr>
        <w:pStyle w:val="BodyText2"/>
        <w:bidi w:val="0"/>
        <w:rPr>
          <w:rFonts w:cs="Times New Roman"/>
          <w:i w:val="0"/>
          <w:iCs w:val="0"/>
          <w:sz w:val="26"/>
          <w:szCs w:val="26"/>
        </w:rPr>
      </w:pPr>
    </w:p>
    <w:p w:rsidR="00E1790C" w:rsidRDefault="00E1790C" w:rsidP="00E1790C">
      <w:pPr>
        <w:pStyle w:val="BodyText2"/>
        <w:bidi w:val="0"/>
        <w:rPr>
          <w:rFonts w:cs="Times New Roman"/>
          <w:i w:val="0"/>
          <w:iCs w:val="0"/>
          <w:sz w:val="26"/>
          <w:szCs w:val="26"/>
        </w:rPr>
      </w:pPr>
    </w:p>
    <w:p w:rsidR="008F2707" w:rsidRPr="00E1790C" w:rsidRDefault="00E06D92" w:rsidP="00E1790C">
      <w:pPr>
        <w:pStyle w:val="BodyText2"/>
        <w:bidi w:val="0"/>
        <w:rPr>
          <w:rFonts w:cs="Times New Roman"/>
          <w:i w:val="0"/>
          <w:iCs w:val="0"/>
        </w:rPr>
      </w:pPr>
      <w:r w:rsidRPr="00E1790C">
        <w:rPr>
          <w:rFonts w:cs="Times New Roman"/>
          <w:i w:val="0"/>
          <w:iCs w:val="0"/>
        </w:rPr>
        <w:t>Almost half of the population are children</w:t>
      </w:r>
    </w:p>
    <w:p w:rsidR="00526C9C" w:rsidRPr="001C13ED" w:rsidRDefault="00526C9C" w:rsidP="001E322D">
      <w:pPr>
        <w:jc w:val="both"/>
        <w:rPr>
          <w:sz w:val="24"/>
          <w:szCs w:val="24"/>
          <w:rtl/>
        </w:rPr>
      </w:pPr>
      <w:r w:rsidRPr="001C13ED">
        <w:rPr>
          <w:sz w:val="24"/>
          <w:szCs w:val="24"/>
        </w:rPr>
        <w:t>The number of children below 18 years in Palestine was estimated at 2,165,288 in 2015, including 1,105,6</w:t>
      </w:r>
      <w:r w:rsidR="0086640A">
        <w:rPr>
          <w:sz w:val="24"/>
          <w:szCs w:val="24"/>
        </w:rPr>
        <w:t>63</w:t>
      </w:r>
      <w:r w:rsidRPr="001C13ED">
        <w:rPr>
          <w:sz w:val="24"/>
          <w:szCs w:val="24"/>
        </w:rPr>
        <w:t xml:space="preserve"> males and 1,059,625 females. The number of children in the West Bank attained 641,557 males and 615,493 females while in the Gaza Strip male children accounted for 464,106 compared to 444,132 female children.</w:t>
      </w:r>
    </w:p>
    <w:p w:rsidR="00084EA2" w:rsidRPr="00EE2205" w:rsidRDefault="00084EA2" w:rsidP="000371AF">
      <w:pPr>
        <w:pStyle w:val="BodyText2"/>
        <w:bidi w:val="0"/>
        <w:jc w:val="center"/>
        <w:rPr>
          <w:rFonts w:cs="Times New Roman"/>
          <w:i w:val="0"/>
          <w:iCs w:val="0"/>
          <w:sz w:val="16"/>
          <w:szCs w:val="16"/>
          <w:rtl/>
        </w:rPr>
      </w:pPr>
    </w:p>
    <w:p w:rsidR="00E1790C" w:rsidRDefault="00526C9C" w:rsidP="00E1790C">
      <w:pPr>
        <w:jc w:val="center"/>
        <w:rPr>
          <w:b/>
          <w:bCs/>
          <w:sz w:val="25"/>
          <w:szCs w:val="25"/>
        </w:rPr>
      </w:pPr>
      <w:r w:rsidRPr="00E1790C">
        <w:rPr>
          <w:b/>
          <w:bCs/>
          <w:sz w:val="25"/>
          <w:szCs w:val="25"/>
        </w:rPr>
        <w:t>Estimates of number of children according to gender and age</w:t>
      </w:r>
    </w:p>
    <w:p w:rsidR="00E1790C" w:rsidRPr="00E1790C" w:rsidRDefault="00E1790C" w:rsidP="00E1790C">
      <w:pPr>
        <w:jc w:val="center"/>
        <w:rPr>
          <w:b/>
          <w:bCs/>
          <w:sz w:val="16"/>
          <w:szCs w:val="16"/>
          <w:rtl/>
        </w:rPr>
      </w:pPr>
    </w:p>
    <w:tbl>
      <w:tblPr>
        <w:tblStyle w:val="TableGrid"/>
        <w:tblW w:w="5833" w:type="dxa"/>
        <w:jc w:val="center"/>
        <w:tblInd w:w="-534" w:type="dxa"/>
        <w:tblLook w:val="04A0"/>
      </w:tblPr>
      <w:tblGrid>
        <w:gridCol w:w="1510"/>
        <w:gridCol w:w="1079"/>
        <w:gridCol w:w="996"/>
        <w:gridCol w:w="1168"/>
        <w:gridCol w:w="1080"/>
      </w:tblGrid>
      <w:tr w:rsidR="00526C9C" w:rsidRPr="00E1790C" w:rsidTr="00E1790C">
        <w:trPr>
          <w:jc w:val="center"/>
        </w:trPr>
        <w:tc>
          <w:tcPr>
            <w:tcW w:w="1510" w:type="dxa"/>
            <w:vMerge w:val="restart"/>
            <w:vAlign w:val="center"/>
          </w:tcPr>
          <w:p w:rsidR="00526C9C" w:rsidRPr="00E1790C" w:rsidRDefault="00526C9C" w:rsidP="00EE2205">
            <w:pPr>
              <w:jc w:val="center"/>
              <w:rPr>
                <w:b/>
                <w:bCs/>
                <w:sz w:val="24"/>
                <w:szCs w:val="24"/>
              </w:rPr>
            </w:pPr>
            <w:r w:rsidRPr="00E1790C">
              <w:rPr>
                <w:b/>
                <w:bCs/>
                <w:sz w:val="24"/>
                <w:szCs w:val="24"/>
              </w:rPr>
              <w:t>Age Group</w:t>
            </w:r>
          </w:p>
        </w:tc>
        <w:tc>
          <w:tcPr>
            <w:tcW w:w="2075" w:type="dxa"/>
            <w:gridSpan w:val="2"/>
            <w:vAlign w:val="center"/>
          </w:tcPr>
          <w:p w:rsidR="00526C9C" w:rsidRPr="00E1790C" w:rsidRDefault="00526C9C" w:rsidP="00EE2205">
            <w:pPr>
              <w:jc w:val="center"/>
              <w:rPr>
                <w:b/>
                <w:bCs/>
                <w:sz w:val="24"/>
                <w:szCs w:val="24"/>
              </w:rPr>
            </w:pPr>
            <w:r w:rsidRPr="00E1790C">
              <w:rPr>
                <w:b/>
                <w:bCs/>
                <w:sz w:val="24"/>
                <w:szCs w:val="24"/>
              </w:rPr>
              <w:t>West Bank</w:t>
            </w:r>
          </w:p>
        </w:tc>
        <w:tc>
          <w:tcPr>
            <w:tcW w:w="2248" w:type="dxa"/>
            <w:gridSpan w:val="2"/>
            <w:vAlign w:val="center"/>
          </w:tcPr>
          <w:p w:rsidR="00526C9C" w:rsidRPr="00E1790C" w:rsidRDefault="00526C9C" w:rsidP="00EE2205">
            <w:pPr>
              <w:jc w:val="center"/>
              <w:rPr>
                <w:b/>
                <w:bCs/>
                <w:sz w:val="24"/>
                <w:szCs w:val="24"/>
              </w:rPr>
            </w:pPr>
            <w:r w:rsidRPr="00E1790C">
              <w:rPr>
                <w:b/>
                <w:bCs/>
                <w:sz w:val="24"/>
                <w:szCs w:val="24"/>
              </w:rPr>
              <w:t>Gaza Strip</w:t>
            </w:r>
          </w:p>
        </w:tc>
      </w:tr>
      <w:tr w:rsidR="00526C9C" w:rsidRPr="00E1790C" w:rsidTr="00E1790C">
        <w:trPr>
          <w:jc w:val="center"/>
        </w:trPr>
        <w:tc>
          <w:tcPr>
            <w:tcW w:w="1510" w:type="dxa"/>
            <w:vMerge/>
            <w:vAlign w:val="center"/>
          </w:tcPr>
          <w:p w:rsidR="00526C9C" w:rsidRPr="00E1790C" w:rsidRDefault="00526C9C" w:rsidP="00EE2205">
            <w:pPr>
              <w:jc w:val="center"/>
              <w:rPr>
                <w:b/>
                <w:bCs/>
                <w:sz w:val="24"/>
                <w:szCs w:val="24"/>
              </w:rPr>
            </w:pPr>
          </w:p>
        </w:tc>
        <w:tc>
          <w:tcPr>
            <w:tcW w:w="1079" w:type="dxa"/>
            <w:vAlign w:val="center"/>
          </w:tcPr>
          <w:p w:rsidR="00526C9C" w:rsidRPr="00E1790C" w:rsidRDefault="00526C9C" w:rsidP="00EE2205">
            <w:pPr>
              <w:jc w:val="center"/>
              <w:rPr>
                <w:b/>
                <w:bCs/>
                <w:sz w:val="24"/>
                <w:szCs w:val="24"/>
              </w:rPr>
            </w:pPr>
            <w:r w:rsidRPr="00E1790C">
              <w:rPr>
                <w:b/>
                <w:bCs/>
                <w:sz w:val="24"/>
                <w:szCs w:val="24"/>
              </w:rPr>
              <w:t>Male</w:t>
            </w:r>
          </w:p>
        </w:tc>
        <w:tc>
          <w:tcPr>
            <w:tcW w:w="996" w:type="dxa"/>
            <w:vAlign w:val="center"/>
          </w:tcPr>
          <w:p w:rsidR="00526C9C" w:rsidRPr="00E1790C" w:rsidRDefault="00526C9C" w:rsidP="00EE2205">
            <w:pPr>
              <w:jc w:val="center"/>
              <w:rPr>
                <w:b/>
                <w:bCs/>
                <w:sz w:val="24"/>
                <w:szCs w:val="24"/>
              </w:rPr>
            </w:pPr>
            <w:r w:rsidRPr="00E1790C">
              <w:rPr>
                <w:b/>
                <w:bCs/>
                <w:sz w:val="24"/>
                <w:szCs w:val="24"/>
              </w:rPr>
              <w:t>Female</w:t>
            </w:r>
          </w:p>
        </w:tc>
        <w:tc>
          <w:tcPr>
            <w:tcW w:w="1168" w:type="dxa"/>
            <w:vAlign w:val="center"/>
          </w:tcPr>
          <w:p w:rsidR="00526C9C" w:rsidRPr="00E1790C" w:rsidRDefault="00526C9C" w:rsidP="00EE2205">
            <w:pPr>
              <w:jc w:val="center"/>
              <w:rPr>
                <w:b/>
                <w:bCs/>
                <w:sz w:val="24"/>
                <w:szCs w:val="24"/>
              </w:rPr>
            </w:pPr>
            <w:r w:rsidRPr="00E1790C">
              <w:rPr>
                <w:b/>
                <w:bCs/>
                <w:sz w:val="24"/>
                <w:szCs w:val="24"/>
              </w:rPr>
              <w:t>Male</w:t>
            </w:r>
          </w:p>
        </w:tc>
        <w:tc>
          <w:tcPr>
            <w:tcW w:w="1080" w:type="dxa"/>
            <w:vAlign w:val="center"/>
          </w:tcPr>
          <w:p w:rsidR="00526C9C" w:rsidRPr="00E1790C" w:rsidRDefault="00526C9C" w:rsidP="00EE2205">
            <w:pPr>
              <w:jc w:val="center"/>
              <w:rPr>
                <w:b/>
                <w:bCs/>
                <w:sz w:val="24"/>
                <w:szCs w:val="24"/>
              </w:rPr>
            </w:pPr>
            <w:r w:rsidRPr="00E1790C">
              <w:rPr>
                <w:b/>
                <w:bCs/>
                <w:sz w:val="24"/>
                <w:szCs w:val="24"/>
              </w:rPr>
              <w:t>Female</w:t>
            </w:r>
          </w:p>
        </w:tc>
      </w:tr>
      <w:tr w:rsidR="00526C9C" w:rsidRPr="00E1790C" w:rsidTr="00E1790C">
        <w:trPr>
          <w:trHeight w:val="395"/>
          <w:jc w:val="center"/>
        </w:trPr>
        <w:tc>
          <w:tcPr>
            <w:tcW w:w="1510" w:type="dxa"/>
          </w:tcPr>
          <w:p w:rsidR="00526C9C" w:rsidRPr="00E1790C" w:rsidRDefault="00526C9C" w:rsidP="00EE2205">
            <w:pPr>
              <w:jc w:val="center"/>
              <w:rPr>
                <w:b/>
                <w:bCs/>
                <w:sz w:val="24"/>
                <w:szCs w:val="24"/>
              </w:rPr>
            </w:pPr>
            <w:r w:rsidRPr="00E1790C">
              <w:rPr>
                <w:b/>
                <w:bCs/>
                <w:sz w:val="24"/>
                <w:szCs w:val="24"/>
              </w:rPr>
              <w:t>0-4</w:t>
            </w:r>
          </w:p>
        </w:tc>
        <w:tc>
          <w:tcPr>
            <w:tcW w:w="1079" w:type="dxa"/>
          </w:tcPr>
          <w:p w:rsidR="00526C9C" w:rsidRPr="00E1790C" w:rsidRDefault="00526C9C" w:rsidP="00EE2205">
            <w:pPr>
              <w:jc w:val="center"/>
              <w:rPr>
                <w:sz w:val="24"/>
                <w:szCs w:val="24"/>
              </w:rPr>
            </w:pPr>
            <w:r w:rsidRPr="00E1790C">
              <w:rPr>
                <w:sz w:val="24"/>
                <w:szCs w:val="24"/>
              </w:rPr>
              <w:t>202,010</w:t>
            </w:r>
          </w:p>
        </w:tc>
        <w:tc>
          <w:tcPr>
            <w:tcW w:w="996" w:type="dxa"/>
          </w:tcPr>
          <w:p w:rsidR="00526C9C" w:rsidRPr="00E1790C" w:rsidRDefault="00526C9C" w:rsidP="00EE2205">
            <w:pPr>
              <w:jc w:val="center"/>
              <w:rPr>
                <w:sz w:val="24"/>
                <w:szCs w:val="24"/>
                <w:rtl/>
              </w:rPr>
            </w:pPr>
            <w:r w:rsidRPr="00E1790C">
              <w:rPr>
                <w:sz w:val="24"/>
                <w:szCs w:val="24"/>
              </w:rPr>
              <w:t>193,147</w:t>
            </w:r>
          </w:p>
        </w:tc>
        <w:tc>
          <w:tcPr>
            <w:tcW w:w="1168" w:type="dxa"/>
          </w:tcPr>
          <w:p w:rsidR="00526C9C" w:rsidRPr="00E1790C" w:rsidRDefault="00526C9C" w:rsidP="00EE2205">
            <w:pPr>
              <w:jc w:val="center"/>
              <w:rPr>
                <w:sz w:val="24"/>
                <w:szCs w:val="24"/>
              </w:rPr>
            </w:pPr>
            <w:r w:rsidRPr="00E1790C">
              <w:rPr>
                <w:sz w:val="24"/>
                <w:szCs w:val="24"/>
              </w:rPr>
              <w:t>157,906</w:t>
            </w:r>
          </w:p>
        </w:tc>
        <w:tc>
          <w:tcPr>
            <w:tcW w:w="1080" w:type="dxa"/>
          </w:tcPr>
          <w:p w:rsidR="00526C9C" w:rsidRPr="00E1790C" w:rsidRDefault="00526C9C" w:rsidP="00EE2205">
            <w:pPr>
              <w:jc w:val="center"/>
              <w:rPr>
                <w:sz w:val="24"/>
                <w:szCs w:val="24"/>
              </w:rPr>
            </w:pPr>
            <w:r w:rsidRPr="00E1790C">
              <w:rPr>
                <w:sz w:val="24"/>
                <w:szCs w:val="24"/>
              </w:rPr>
              <w:t>150,909</w:t>
            </w:r>
          </w:p>
        </w:tc>
      </w:tr>
      <w:tr w:rsidR="00526C9C" w:rsidRPr="00E1790C" w:rsidTr="00E1790C">
        <w:trPr>
          <w:trHeight w:val="377"/>
          <w:jc w:val="center"/>
        </w:trPr>
        <w:tc>
          <w:tcPr>
            <w:tcW w:w="1510" w:type="dxa"/>
          </w:tcPr>
          <w:p w:rsidR="00526C9C" w:rsidRPr="00E1790C" w:rsidRDefault="00526C9C" w:rsidP="00EE2205">
            <w:pPr>
              <w:jc w:val="center"/>
              <w:rPr>
                <w:b/>
                <w:bCs/>
                <w:sz w:val="24"/>
                <w:szCs w:val="24"/>
              </w:rPr>
            </w:pPr>
            <w:r w:rsidRPr="00E1790C">
              <w:rPr>
                <w:b/>
                <w:bCs/>
                <w:sz w:val="24"/>
                <w:szCs w:val="24"/>
              </w:rPr>
              <w:t>5-9</w:t>
            </w:r>
          </w:p>
        </w:tc>
        <w:tc>
          <w:tcPr>
            <w:tcW w:w="1079" w:type="dxa"/>
          </w:tcPr>
          <w:p w:rsidR="00526C9C" w:rsidRPr="00E1790C" w:rsidRDefault="00526C9C" w:rsidP="00EE2205">
            <w:pPr>
              <w:jc w:val="center"/>
              <w:rPr>
                <w:sz w:val="24"/>
                <w:szCs w:val="24"/>
              </w:rPr>
            </w:pPr>
            <w:r w:rsidRPr="00E1790C">
              <w:rPr>
                <w:sz w:val="24"/>
                <w:szCs w:val="24"/>
              </w:rPr>
              <w:t>175,268</w:t>
            </w:r>
          </w:p>
        </w:tc>
        <w:tc>
          <w:tcPr>
            <w:tcW w:w="996" w:type="dxa"/>
          </w:tcPr>
          <w:p w:rsidR="00526C9C" w:rsidRPr="00E1790C" w:rsidRDefault="00526C9C" w:rsidP="00EE2205">
            <w:pPr>
              <w:jc w:val="center"/>
              <w:rPr>
                <w:sz w:val="24"/>
                <w:szCs w:val="24"/>
              </w:rPr>
            </w:pPr>
            <w:r w:rsidRPr="00E1790C">
              <w:rPr>
                <w:sz w:val="24"/>
                <w:szCs w:val="24"/>
              </w:rPr>
              <w:t>169,067</w:t>
            </w:r>
          </w:p>
        </w:tc>
        <w:tc>
          <w:tcPr>
            <w:tcW w:w="1168" w:type="dxa"/>
          </w:tcPr>
          <w:p w:rsidR="00526C9C" w:rsidRPr="00E1790C" w:rsidRDefault="00526C9C" w:rsidP="00EE2205">
            <w:pPr>
              <w:jc w:val="center"/>
              <w:rPr>
                <w:sz w:val="24"/>
                <w:szCs w:val="24"/>
              </w:rPr>
            </w:pPr>
            <w:r w:rsidRPr="00E1790C">
              <w:rPr>
                <w:sz w:val="24"/>
                <w:szCs w:val="24"/>
              </w:rPr>
              <w:t>127,709</w:t>
            </w:r>
          </w:p>
        </w:tc>
        <w:tc>
          <w:tcPr>
            <w:tcW w:w="1080" w:type="dxa"/>
          </w:tcPr>
          <w:p w:rsidR="00526C9C" w:rsidRPr="00E1790C" w:rsidRDefault="00526C9C" w:rsidP="00EE2205">
            <w:pPr>
              <w:jc w:val="center"/>
              <w:rPr>
                <w:sz w:val="24"/>
                <w:szCs w:val="24"/>
              </w:rPr>
            </w:pPr>
            <w:r w:rsidRPr="00E1790C">
              <w:rPr>
                <w:sz w:val="24"/>
                <w:szCs w:val="24"/>
              </w:rPr>
              <w:t>122,405</w:t>
            </w:r>
          </w:p>
        </w:tc>
      </w:tr>
      <w:tr w:rsidR="00526C9C" w:rsidRPr="00E1790C" w:rsidTr="00E1790C">
        <w:trPr>
          <w:trHeight w:val="368"/>
          <w:jc w:val="center"/>
        </w:trPr>
        <w:tc>
          <w:tcPr>
            <w:tcW w:w="1510" w:type="dxa"/>
          </w:tcPr>
          <w:p w:rsidR="00526C9C" w:rsidRPr="00E1790C" w:rsidRDefault="00526C9C" w:rsidP="00EE2205">
            <w:pPr>
              <w:jc w:val="center"/>
              <w:rPr>
                <w:b/>
                <w:bCs/>
                <w:sz w:val="24"/>
                <w:szCs w:val="24"/>
              </w:rPr>
            </w:pPr>
            <w:r w:rsidRPr="00E1790C">
              <w:rPr>
                <w:b/>
                <w:bCs/>
                <w:sz w:val="24"/>
                <w:szCs w:val="24"/>
              </w:rPr>
              <w:t>10-14</w:t>
            </w:r>
          </w:p>
        </w:tc>
        <w:tc>
          <w:tcPr>
            <w:tcW w:w="1079" w:type="dxa"/>
          </w:tcPr>
          <w:p w:rsidR="00526C9C" w:rsidRPr="00E1790C" w:rsidRDefault="00526C9C" w:rsidP="00EE2205">
            <w:pPr>
              <w:jc w:val="center"/>
              <w:rPr>
                <w:sz w:val="24"/>
                <w:szCs w:val="24"/>
              </w:rPr>
            </w:pPr>
            <w:r w:rsidRPr="00E1790C">
              <w:rPr>
                <w:sz w:val="24"/>
                <w:szCs w:val="24"/>
              </w:rPr>
              <w:t>165,940</w:t>
            </w:r>
          </w:p>
        </w:tc>
        <w:tc>
          <w:tcPr>
            <w:tcW w:w="996" w:type="dxa"/>
          </w:tcPr>
          <w:p w:rsidR="00526C9C" w:rsidRPr="00E1790C" w:rsidRDefault="00526C9C" w:rsidP="00EE2205">
            <w:pPr>
              <w:jc w:val="center"/>
              <w:rPr>
                <w:sz w:val="24"/>
                <w:szCs w:val="24"/>
              </w:rPr>
            </w:pPr>
            <w:r w:rsidRPr="00E1790C">
              <w:rPr>
                <w:sz w:val="24"/>
                <w:szCs w:val="24"/>
              </w:rPr>
              <w:t>159,208</w:t>
            </w:r>
          </w:p>
        </w:tc>
        <w:tc>
          <w:tcPr>
            <w:tcW w:w="1168" w:type="dxa"/>
          </w:tcPr>
          <w:p w:rsidR="00526C9C" w:rsidRPr="00E1790C" w:rsidRDefault="00526C9C" w:rsidP="00EE2205">
            <w:pPr>
              <w:jc w:val="center"/>
              <w:rPr>
                <w:sz w:val="24"/>
                <w:szCs w:val="24"/>
              </w:rPr>
            </w:pPr>
            <w:r w:rsidRPr="00E1790C">
              <w:rPr>
                <w:sz w:val="24"/>
                <w:szCs w:val="24"/>
              </w:rPr>
              <w:t>114,142</w:t>
            </w:r>
          </w:p>
        </w:tc>
        <w:tc>
          <w:tcPr>
            <w:tcW w:w="1080" w:type="dxa"/>
          </w:tcPr>
          <w:p w:rsidR="00526C9C" w:rsidRPr="00E1790C" w:rsidRDefault="00526C9C" w:rsidP="00EE2205">
            <w:pPr>
              <w:jc w:val="center"/>
              <w:rPr>
                <w:sz w:val="24"/>
                <w:szCs w:val="24"/>
              </w:rPr>
            </w:pPr>
            <w:r w:rsidRPr="00E1790C">
              <w:rPr>
                <w:sz w:val="24"/>
                <w:szCs w:val="24"/>
              </w:rPr>
              <w:t>108,911</w:t>
            </w:r>
          </w:p>
        </w:tc>
      </w:tr>
      <w:tr w:rsidR="00526C9C" w:rsidRPr="00E1790C" w:rsidTr="00E1790C">
        <w:trPr>
          <w:trHeight w:val="440"/>
          <w:jc w:val="center"/>
        </w:trPr>
        <w:tc>
          <w:tcPr>
            <w:tcW w:w="1510" w:type="dxa"/>
          </w:tcPr>
          <w:p w:rsidR="00526C9C" w:rsidRPr="00E1790C" w:rsidRDefault="00526C9C" w:rsidP="00EE2205">
            <w:pPr>
              <w:jc w:val="center"/>
              <w:rPr>
                <w:b/>
                <w:bCs/>
                <w:sz w:val="24"/>
                <w:szCs w:val="24"/>
              </w:rPr>
            </w:pPr>
            <w:r w:rsidRPr="00E1790C">
              <w:rPr>
                <w:b/>
                <w:bCs/>
                <w:sz w:val="24"/>
                <w:szCs w:val="24"/>
              </w:rPr>
              <w:t>15-17</w:t>
            </w:r>
          </w:p>
        </w:tc>
        <w:tc>
          <w:tcPr>
            <w:tcW w:w="1079" w:type="dxa"/>
          </w:tcPr>
          <w:p w:rsidR="00526C9C" w:rsidRPr="00E1790C" w:rsidRDefault="00526C9C" w:rsidP="00EE2205">
            <w:pPr>
              <w:jc w:val="center"/>
              <w:rPr>
                <w:sz w:val="24"/>
                <w:szCs w:val="24"/>
              </w:rPr>
            </w:pPr>
            <w:r w:rsidRPr="00E1790C">
              <w:rPr>
                <w:sz w:val="24"/>
                <w:szCs w:val="24"/>
              </w:rPr>
              <w:t>98,339</w:t>
            </w:r>
          </w:p>
        </w:tc>
        <w:tc>
          <w:tcPr>
            <w:tcW w:w="996" w:type="dxa"/>
          </w:tcPr>
          <w:p w:rsidR="00526C9C" w:rsidRPr="00E1790C" w:rsidRDefault="00526C9C" w:rsidP="00EE2205">
            <w:pPr>
              <w:jc w:val="center"/>
              <w:rPr>
                <w:sz w:val="24"/>
                <w:szCs w:val="24"/>
              </w:rPr>
            </w:pPr>
            <w:r w:rsidRPr="00E1790C">
              <w:rPr>
                <w:sz w:val="24"/>
                <w:szCs w:val="24"/>
              </w:rPr>
              <w:t>94,071</w:t>
            </w:r>
          </w:p>
        </w:tc>
        <w:tc>
          <w:tcPr>
            <w:tcW w:w="1168" w:type="dxa"/>
          </w:tcPr>
          <w:p w:rsidR="00526C9C" w:rsidRPr="00E1790C" w:rsidRDefault="00526C9C" w:rsidP="00EE2205">
            <w:pPr>
              <w:jc w:val="center"/>
              <w:rPr>
                <w:sz w:val="24"/>
                <w:szCs w:val="24"/>
              </w:rPr>
            </w:pPr>
            <w:r w:rsidRPr="00E1790C">
              <w:rPr>
                <w:sz w:val="24"/>
                <w:szCs w:val="24"/>
              </w:rPr>
              <w:t>64,349</w:t>
            </w:r>
          </w:p>
        </w:tc>
        <w:tc>
          <w:tcPr>
            <w:tcW w:w="1080" w:type="dxa"/>
          </w:tcPr>
          <w:p w:rsidR="00526C9C" w:rsidRPr="00E1790C" w:rsidRDefault="00526C9C" w:rsidP="00EE2205">
            <w:pPr>
              <w:jc w:val="center"/>
              <w:rPr>
                <w:sz w:val="24"/>
                <w:szCs w:val="24"/>
              </w:rPr>
            </w:pPr>
            <w:r w:rsidRPr="00E1790C">
              <w:rPr>
                <w:sz w:val="24"/>
                <w:szCs w:val="24"/>
              </w:rPr>
              <w:t>61,907</w:t>
            </w:r>
          </w:p>
        </w:tc>
      </w:tr>
    </w:tbl>
    <w:p w:rsidR="00E06D92" w:rsidRPr="00EE2205" w:rsidRDefault="00E06D92" w:rsidP="007C7FC3">
      <w:pPr>
        <w:jc w:val="both"/>
        <w:rPr>
          <w:b/>
          <w:bCs/>
          <w:sz w:val="16"/>
          <w:szCs w:val="16"/>
        </w:rPr>
      </w:pPr>
    </w:p>
    <w:p w:rsidR="00E06D92" w:rsidRPr="00E1790C" w:rsidRDefault="00E06D92" w:rsidP="008F2707">
      <w:pPr>
        <w:jc w:val="both"/>
        <w:rPr>
          <w:color w:val="222222"/>
          <w:sz w:val="28"/>
          <w:szCs w:val="28"/>
        </w:rPr>
      </w:pPr>
      <w:r w:rsidRPr="00E1790C">
        <w:rPr>
          <w:b/>
          <w:bCs/>
          <w:sz w:val="28"/>
          <w:szCs w:val="28"/>
        </w:rPr>
        <w:t>Noticeable Increase in the Number of Children Detained</w:t>
      </w:r>
    </w:p>
    <w:p w:rsidR="008F2707" w:rsidRDefault="007C7FC3" w:rsidP="007C7FC3">
      <w:pPr>
        <w:jc w:val="both"/>
        <w:rPr>
          <w:color w:val="333333"/>
          <w:sz w:val="24"/>
          <w:szCs w:val="24"/>
        </w:rPr>
      </w:pPr>
      <w:r>
        <w:rPr>
          <w:color w:val="333333"/>
          <w:sz w:val="24"/>
          <w:szCs w:val="24"/>
        </w:rPr>
        <w:t xml:space="preserve">About </w:t>
      </w:r>
      <w:r w:rsidR="00526C9C" w:rsidRPr="00820663">
        <w:rPr>
          <w:color w:val="333333"/>
          <w:sz w:val="24"/>
          <w:szCs w:val="24"/>
        </w:rPr>
        <w:t>2,179 children aging 11 – 18 years were detained in 2015. This is an increase by 72.1% compared to 2014. This figure is unprecedented compared to previous years. However, the increase is a trend since 1,266 children were detained in 2014 showing an increase by 36.0% compared to 2013.</w:t>
      </w:r>
    </w:p>
    <w:p w:rsidR="008F2707" w:rsidRPr="00EE2205" w:rsidRDefault="008F2707" w:rsidP="007C7FC3">
      <w:pPr>
        <w:jc w:val="both"/>
        <w:rPr>
          <w:rStyle w:val="shorttext"/>
          <w:b/>
          <w:bCs/>
          <w:color w:val="222222"/>
          <w:sz w:val="16"/>
          <w:szCs w:val="16"/>
        </w:rPr>
      </w:pPr>
    </w:p>
    <w:p w:rsidR="008F2707" w:rsidRPr="00E1790C" w:rsidRDefault="008F2707" w:rsidP="008F2707">
      <w:pPr>
        <w:jc w:val="both"/>
        <w:rPr>
          <w:color w:val="333333"/>
          <w:sz w:val="28"/>
          <w:szCs w:val="28"/>
        </w:rPr>
      </w:pPr>
      <w:r w:rsidRPr="00E1790C">
        <w:rPr>
          <w:rStyle w:val="shorttext"/>
          <w:b/>
          <w:bCs/>
          <w:color w:val="222222"/>
          <w:sz w:val="28"/>
          <w:szCs w:val="28"/>
        </w:rPr>
        <w:t xml:space="preserve"> 32 martyrs of children</w:t>
      </w:r>
    </w:p>
    <w:p w:rsidR="001F42AD" w:rsidRPr="001F42AD" w:rsidRDefault="001F42AD" w:rsidP="008F2707">
      <w:pPr>
        <w:jc w:val="both"/>
        <w:rPr>
          <w:color w:val="FF0000"/>
          <w:sz w:val="36"/>
          <w:szCs w:val="36"/>
        </w:rPr>
      </w:pPr>
      <w:r w:rsidRPr="001F42AD">
        <w:rPr>
          <w:color w:val="222222"/>
          <w:sz w:val="24"/>
          <w:szCs w:val="24"/>
        </w:rPr>
        <w:t>The number of martyrs reached 181 martyrs during the year 2015 were 32 martyrs of children and 9 women and 26 martyrs in the Gaza Strip, while the number of injured has risen during the year 2015 about 16,620 wounded.</w:t>
      </w:r>
    </w:p>
    <w:p w:rsidR="008F2707" w:rsidRPr="00EE2205" w:rsidRDefault="008F2707" w:rsidP="008F2707">
      <w:pPr>
        <w:pStyle w:val="BodyText"/>
        <w:bidi w:val="0"/>
        <w:rPr>
          <w:rFonts w:cs="Times New Roman"/>
          <w:sz w:val="16"/>
          <w:szCs w:val="16"/>
        </w:rPr>
      </w:pPr>
    </w:p>
    <w:p w:rsidR="00FE340C" w:rsidRPr="00E1790C" w:rsidRDefault="008F2707" w:rsidP="008F2707">
      <w:pPr>
        <w:pStyle w:val="BodyText"/>
        <w:bidi w:val="0"/>
        <w:jc w:val="left"/>
        <w:rPr>
          <w:rFonts w:cs="Times New Roman"/>
          <w:sz w:val="28"/>
          <w:szCs w:val="28"/>
        </w:rPr>
      </w:pPr>
      <w:r w:rsidRPr="00E1790C">
        <w:rPr>
          <w:rFonts w:cs="Times New Roman"/>
          <w:sz w:val="28"/>
          <w:szCs w:val="28"/>
        </w:rPr>
        <w:t>Children are the Most Harmed by Israeli Violations Social Cash Assistance</w:t>
      </w:r>
    </w:p>
    <w:p w:rsidR="00526C9C" w:rsidRDefault="007C7FC3" w:rsidP="00E1790C">
      <w:pPr>
        <w:pStyle w:val="BodyText"/>
        <w:bidi w:val="0"/>
        <w:jc w:val="both"/>
        <w:rPr>
          <w:rFonts w:cs="Times New Roman"/>
          <w:b w:val="0"/>
          <w:bCs w:val="0"/>
          <w:sz w:val="24"/>
          <w:szCs w:val="24"/>
        </w:rPr>
      </w:pPr>
      <w:r>
        <w:rPr>
          <w:rFonts w:cs="Times New Roman"/>
          <w:b w:val="0"/>
          <w:bCs w:val="0"/>
          <w:sz w:val="24"/>
          <w:szCs w:val="24"/>
        </w:rPr>
        <w:t xml:space="preserve">The </w:t>
      </w:r>
      <w:r w:rsidR="00526C9C" w:rsidRPr="001C13ED">
        <w:rPr>
          <w:rFonts w:cs="Times New Roman"/>
          <w:b w:val="0"/>
          <w:bCs w:val="0"/>
          <w:sz w:val="24"/>
          <w:szCs w:val="24"/>
        </w:rPr>
        <w:t xml:space="preserve">assaults against citizens and expropriation of land as well as house demolition and displacement of residents </w:t>
      </w:r>
      <w:r>
        <w:rPr>
          <w:rFonts w:cs="Times New Roman"/>
          <w:b w:val="0"/>
          <w:bCs w:val="0"/>
          <w:sz w:val="24"/>
          <w:szCs w:val="24"/>
        </w:rPr>
        <w:t xml:space="preserve">in the West Bank </w:t>
      </w:r>
      <w:r w:rsidR="00526C9C" w:rsidRPr="001C13ED">
        <w:rPr>
          <w:rFonts w:cs="Times New Roman"/>
          <w:b w:val="0"/>
          <w:bCs w:val="0"/>
          <w:sz w:val="24"/>
          <w:szCs w:val="24"/>
        </w:rPr>
        <w:t>have increased in 2015. I</w:t>
      </w:r>
      <w:r w:rsidR="00E1790C">
        <w:rPr>
          <w:rFonts w:cs="Times New Roman"/>
          <w:b w:val="0"/>
          <w:bCs w:val="0"/>
          <w:sz w:val="24"/>
          <w:szCs w:val="24"/>
        </w:rPr>
        <w:t xml:space="preserve">srael demolished 645 houses and </w:t>
      </w:r>
      <w:r w:rsidR="00526C9C" w:rsidRPr="001C13ED">
        <w:rPr>
          <w:rFonts w:cs="Times New Roman"/>
          <w:b w:val="0"/>
          <w:bCs w:val="0"/>
          <w:sz w:val="24"/>
          <w:szCs w:val="24"/>
        </w:rPr>
        <w:t>establishments, displacing and harming 2,180 people including 1,109 children in the West Ban</w:t>
      </w:r>
      <w:r w:rsidR="00E1790C">
        <w:rPr>
          <w:rFonts w:cs="Times New Roman"/>
          <w:b w:val="0"/>
          <w:bCs w:val="0"/>
          <w:sz w:val="24"/>
          <w:szCs w:val="24"/>
        </w:rPr>
        <w:t>k</w:t>
      </w:r>
      <w:r w:rsidR="00526C9C" w:rsidRPr="001C13ED">
        <w:rPr>
          <w:rFonts w:cs="Times New Roman"/>
          <w:b w:val="0"/>
          <w:bCs w:val="0"/>
          <w:sz w:val="24"/>
          <w:szCs w:val="24"/>
        </w:rPr>
        <w:t xml:space="preserve"> Governorates including Jerusalem. It also destroyed another 780 houses and establishments. </w:t>
      </w:r>
    </w:p>
    <w:p w:rsidR="008F2707" w:rsidRPr="008F2707" w:rsidRDefault="008F2707" w:rsidP="008F2707">
      <w:pPr>
        <w:pStyle w:val="BodyText"/>
        <w:bidi w:val="0"/>
        <w:jc w:val="both"/>
        <w:rPr>
          <w:rFonts w:cs="Times New Roman"/>
          <w:b w:val="0"/>
          <w:bCs w:val="0"/>
          <w:sz w:val="16"/>
          <w:szCs w:val="16"/>
          <w:rtl/>
        </w:rPr>
      </w:pPr>
    </w:p>
    <w:p w:rsidR="00266EEA" w:rsidRPr="00E1790C" w:rsidRDefault="008F2707" w:rsidP="008F2707">
      <w:pPr>
        <w:pStyle w:val="BodyText"/>
        <w:jc w:val="right"/>
        <w:rPr>
          <w:rFonts w:cs="Times New Roman"/>
          <w:b w:val="0"/>
          <w:bCs w:val="0"/>
          <w:sz w:val="28"/>
          <w:szCs w:val="28"/>
          <w:rtl/>
        </w:rPr>
      </w:pPr>
      <w:r w:rsidRPr="00E1790C">
        <w:rPr>
          <w:sz w:val="28"/>
          <w:szCs w:val="28"/>
          <w:lang w:bidi="ar-JO"/>
        </w:rPr>
        <w:t>Assaults on Schools and Infrastructure</w:t>
      </w:r>
    </w:p>
    <w:p w:rsidR="00526C9C" w:rsidRDefault="007C7FC3" w:rsidP="001B3144">
      <w:pPr>
        <w:pStyle w:val="BodyText"/>
        <w:bidi w:val="0"/>
        <w:jc w:val="both"/>
        <w:rPr>
          <w:rFonts w:cs="Times New Roman"/>
          <w:b w:val="0"/>
          <w:bCs w:val="0"/>
          <w:sz w:val="24"/>
          <w:szCs w:val="24"/>
        </w:rPr>
      </w:pPr>
      <w:r w:rsidRPr="001C13ED">
        <w:rPr>
          <w:rFonts w:cs="Times New Roman"/>
          <w:b w:val="0"/>
          <w:bCs w:val="0"/>
          <w:sz w:val="24"/>
          <w:szCs w:val="24"/>
        </w:rPr>
        <w:t>in 2014</w:t>
      </w:r>
      <w:r>
        <w:rPr>
          <w:rFonts w:cs="Times New Roman"/>
          <w:b w:val="0"/>
          <w:bCs w:val="0"/>
          <w:sz w:val="24"/>
          <w:szCs w:val="24"/>
        </w:rPr>
        <w:t xml:space="preserve">, </w:t>
      </w:r>
      <w:r w:rsidR="00485B1B" w:rsidRPr="001C13ED">
        <w:rPr>
          <w:rFonts w:cs="Times New Roman"/>
          <w:b w:val="0"/>
          <w:bCs w:val="0"/>
          <w:sz w:val="24"/>
          <w:szCs w:val="24"/>
        </w:rPr>
        <w:t xml:space="preserve">Israel </w:t>
      </w:r>
      <w:r w:rsidR="001B3144" w:rsidRPr="001C13ED">
        <w:rPr>
          <w:rFonts w:cs="Times New Roman"/>
          <w:b w:val="0"/>
          <w:bCs w:val="0"/>
          <w:sz w:val="24"/>
          <w:szCs w:val="24"/>
        </w:rPr>
        <w:t>soldiers and settlers</w:t>
      </w:r>
      <w:r w:rsidR="001B3144">
        <w:rPr>
          <w:rFonts w:cs="Times New Roman"/>
          <w:b w:val="0"/>
          <w:bCs w:val="0"/>
          <w:sz w:val="24"/>
          <w:szCs w:val="24"/>
        </w:rPr>
        <w:t xml:space="preserve"> </w:t>
      </w:r>
      <w:r>
        <w:rPr>
          <w:rFonts w:cs="Times New Roman"/>
          <w:b w:val="0"/>
          <w:bCs w:val="0"/>
          <w:sz w:val="24"/>
          <w:szCs w:val="24"/>
        </w:rPr>
        <w:t xml:space="preserve">had </w:t>
      </w:r>
      <w:r w:rsidR="00485B1B" w:rsidRPr="001C13ED">
        <w:rPr>
          <w:rFonts w:cs="Times New Roman"/>
          <w:b w:val="0"/>
          <w:bCs w:val="0"/>
          <w:sz w:val="24"/>
          <w:szCs w:val="24"/>
        </w:rPr>
        <w:t>attack</w:t>
      </w:r>
      <w:r w:rsidR="001B3144">
        <w:rPr>
          <w:rFonts w:cs="Times New Roman"/>
          <w:b w:val="0"/>
          <w:bCs w:val="0"/>
          <w:sz w:val="24"/>
          <w:szCs w:val="24"/>
        </w:rPr>
        <w:t>ed</w:t>
      </w:r>
      <w:r w:rsidR="00485B1B" w:rsidRPr="001C13ED">
        <w:rPr>
          <w:rFonts w:cs="Times New Roman"/>
          <w:b w:val="0"/>
          <w:bCs w:val="0"/>
          <w:sz w:val="24"/>
          <w:szCs w:val="24"/>
        </w:rPr>
        <w:t xml:space="preserve"> 72 schools. 21,882 students and 1,332 teachers suffered as a result of these aggressions not to mention material losses, total or partial destruction of school property following breaking, sabotaging and onslaughts.</w:t>
      </w:r>
    </w:p>
    <w:p w:rsidR="008F2707" w:rsidRPr="008F2707" w:rsidRDefault="008F2707" w:rsidP="008F2707">
      <w:pPr>
        <w:pStyle w:val="BodyText"/>
        <w:bidi w:val="0"/>
        <w:jc w:val="both"/>
        <w:rPr>
          <w:rFonts w:cs="Times New Roman"/>
          <w:b w:val="0"/>
          <w:bCs w:val="0"/>
          <w:sz w:val="16"/>
          <w:szCs w:val="16"/>
        </w:rPr>
      </w:pPr>
    </w:p>
    <w:p w:rsidR="00820663" w:rsidRPr="00E1790C" w:rsidRDefault="008F2707" w:rsidP="00820663">
      <w:pPr>
        <w:pStyle w:val="BodyText"/>
        <w:bidi w:val="0"/>
        <w:jc w:val="both"/>
        <w:rPr>
          <w:rFonts w:cs="Times New Roman"/>
          <w:b w:val="0"/>
          <w:bCs w:val="0"/>
          <w:sz w:val="28"/>
          <w:szCs w:val="28"/>
          <w:rtl/>
        </w:rPr>
      </w:pPr>
      <w:r w:rsidRPr="00E1790C">
        <w:rPr>
          <w:rFonts w:cs="Times New Roman"/>
          <w:sz w:val="28"/>
          <w:szCs w:val="28"/>
        </w:rPr>
        <w:t>Rise in the Percentage of Child Labor for the Age Group 15-17 years</w:t>
      </w:r>
    </w:p>
    <w:p w:rsidR="00A867E3" w:rsidRDefault="00485B1B" w:rsidP="00E1790C">
      <w:pPr>
        <w:pStyle w:val="BodyText"/>
        <w:bidi w:val="0"/>
        <w:jc w:val="both"/>
        <w:rPr>
          <w:rFonts w:cs="Times New Roman"/>
          <w:b w:val="0"/>
          <w:bCs w:val="0"/>
          <w:sz w:val="24"/>
          <w:szCs w:val="24"/>
        </w:rPr>
      </w:pPr>
      <w:bookmarkStart w:id="0" w:name="_GoBack"/>
      <w:bookmarkEnd w:id="0"/>
      <w:r w:rsidRPr="001C13ED">
        <w:rPr>
          <w:rFonts w:cs="Times New Roman"/>
          <w:b w:val="0"/>
          <w:bCs w:val="0"/>
          <w:sz w:val="24"/>
          <w:szCs w:val="24"/>
        </w:rPr>
        <w:t xml:space="preserve">The percentage of children aged 10-14 years who are working reached 2.0% in 2015, compared to 2.1% in 2012. However, for the age group 15-17 the percentage of children at work reached 9.0% in 2015, showing an increase from its 2012 level 7.7%. The percentage of children working and not enrolled in education reached 15.5% and 33.7% </w:t>
      </w:r>
      <w:r w:rsidR="001E322D">
        <w:rPr>
          <w:rFonts w:cs="Times New Roman"/>
          <w:b w:val="0"/>
          <w:bCs w:val="0"/>
          <w:sz w:val="24"/>
          <w:szCs w:val="24"/>
        </w:rPr>
        <w:t>of all children not enrolled to education for</w:t>
      </w:r>
      <w:r w:rsidRPr="001C13ED">
        <w:rPr>
          <w:rFonts w:cs="Times New Roman"/>
          <w:b w:val="0"/>
          <w:bCs w:val="0"/>
          <w:sz w:val="24"/>
          <w:szCs w:val="24"/>
        </w:rPr>
        <w:t xml:space="preserve"> each age group respectively for the year 2015. The percentage of children enrolled in education for the same age groups reached 1.6% and 3.6% of the total number of children enrolled in education for both age groups respectively. </w:t>
      </w:r>
    </w:p>
    <w:p w:rsidR="00E1790C" w:rsidRDefault="00E1790C" w:rsidP="00E1790C">
      <w:pPr>
        <w:pStyle w:val="BodyText"/>
        <w:bidi w:val="0"/>
        <w:jc w:val="both"/>
        <w:rPr>
          <w:rFonts w:cs="Times New Roman"/>
          <w:b w:val="0"/>
          <w:bCs w:val="0"/>
          <w:sz w:val="16"/>
          <w:szCs w:val="16"/>
        </w:rPr>
      </w:pPr>
    </w:p>
    <w:p w:rsidR="00E1790C" w:rsidRPr="00E1790C" w:rsidRDefault="00E1790C" w:rsidP="00E1790C">
      <w:pPr>
        <w:pStyle w:val="BodyText"/>
        <w:bidi w:val="0"/>
        <w:jc w:val="both"/>
        <w:rPr>
          <w:rFonts w:cs="Times New Roman"/>
          <w:b w:val="0"/>
          <w:bCs w:val="0"/>
          <w:sz w:val="16"/>
          <w:szCs w:val="16"/>
        </w:rPr>
      </w:pPr>
    </w:p>
    <w:p w:rsidR="00E1790C" w:rsidRDefault="00E1790C" w:rsidP="00485B1B">
      <w:pPr>
        <w:pStyle w:val="BodyText"/>
        <w:bidi w:val="0"/>
        <w:rPr>
          <w:rFonts w:cs="Times New Roman"/>
          <w:sz w:val="25"/>
          <w:szCs w:val="25"/>
        </w:rPr>
      </w:pPr>
    </w:p>
    <w:p w:rsidR="00E1790C" w:rsidRDefault="00485B1B" w:rsidP="00004B12">
      <w:pPr>
        <w:pStyle w:val="BodyText"/>
        <w:bidi w:val="0"/>
        <w:rPr>
          <w:rFonts w:cs="Times New Roman"/>
          <w:sz w:val="25"/>
          <w:szCs w:val="25"/>
        </w:rPr>
      </w:pPr>
      <w:r w:rsidRPr="00E1790C">
        <w:rPr>
          <w:rFonts w:cs="Times New Roman"/>
          <w:sz w:val="25"/>
          <w:szCs w:val="25"/>
        </w:rPr>
        <w:t xml:space="preserve">Distribution of Children at Labor Aged 10-17 years </w:t>
      </w:r>
    </w:p>
    <w:p w:rsidR="00485B1B" w:rsidRPr="00E1790C" w:rsidRDefault="00485B1B" w:rsidP="00E1790C">
      <w:pPr>
        <w:pStyle w:val="BodyText"/>
        <w:bidi w:val="0"/>
        <w:rPr>
          <w:rFonts w:cs="Times New Roman"/>
          <w:sz w:val="25"/>
          <w:szCs w:val="25"/>
        </w:rPr>
      </w:pPr>
      <w:r w:rsidRPr="00E1790C">
        <w:rPr>
          <w:rFonts w:cs="Times New Roman"/>
          <w:sz w:val="25"/>
          <w:szCs w:val="25"/>
        </w:rPr>
        <w:t>according to Economic Activity and Region</w:t>
      </w:r>
      <w:r w:rsidR="00C70470" w:rsidRPr="00E1790C">
        <w:rPr>
          <w:rFonts w:cs="Times New Roman"/>
          <w:sz w:val="25"/>
          <w:szCs w:val="25"/>
        </w:rPr>
        <w:t xml:space="preserve"> in 2015</w:t>
      </w:r>
    </w:p>
    <w:tbl>
      <w:tblPr>
        <w:tblStyle w:val="TableGrid"/>
        <w:tblW w:w="7074" w:type="dxa"/>
        <w:jc w:val="center"/>
        <w:tblInd w:w="-1452" w:type="dxa"/>
        <w:tblLayout w:type="fixed"/>
        <w:tblLook w:val="04A0"/>
      </w:tblPr>
      <w:tblGrid>
        <w:gridCol w:w="3163"/>
        <w:gridCol w:w="1170"/>
        <w:gridCol w:w="1440"/>
        <w:gridCol w:w="1301"/>
      </w:tblGrid>
      <w:tr w:rsidR="00E1790C" w:rsidRPr="00EE2205" w:rsidTr="00E1790C">
        <w:trPr>
          <w:trHeight w:val="332"/>
          <w:jc w:val="center"/>
        </w:trPr>
        <w:tc>
          <w:tcPr>
            <w:tcW w:w="3163" w:type="dxa"/>
            <w:vMerge w:val="restart"/>
            <w:vAlign w:val="center"/>
          </w:tcPr>
          <w:p w:rsidR="00485B1B" w:rsidRPr="00EE2205" w:rsidRDefault="00485B1B" w:rsidP="00485B1B">
            <w:pPr>
              <w:pStyle w:val="BodyText"/>
              <w:bidi w:val="0"/>
              <w:rPr>
                <w:rFonts w:cs="Times New Roman"/>
                <w:sz w:val="24"/>
                <w:szCs w:val="24"/>
              </w:rPr>
            </w:pPr>
            <w:r w:rsidRPr="00EE2205">
              <w:rPr>
                <w:rFonts w:cs="Times New Roman"/>
                <w:sz w:val="24"/>
                <w:szCs w:val="24"/>
              </w:rPr>
              <w:t>Economic Activity</w:t>
            </w:r>
          </w:p>
        </w:tc>
        <w:tc>
          <w:tcPr>
            <w:tcW w:w="1170" w:type="dxa"/>
            <w:vMerge w:val="restart"/>
            <w:vAlign w:val="center"/>
          </w:tcPr>
          <w:p w:rsidR="00485B1B" w:rsidRPr="00EE2205" w:rsidRDefault="00485B1B" w:rsidP="00485B1B">
            <w:pPr>
              <w:pStyle w:val="BodyText"/>
              <w:bidi w:val="0"/>
              <w:rPr>
                <w:rFonts w:cs="Times New Roman"/>
                <w:sz w:val="24"/>
                <w:szCs w:val="24"/>
              </w:rPr>
            </w:pPr>
            <w:r w:rsidRPr="00EE2205">
              <w:rPr>
                <w:rFonts w:cs="Times New Roman"/>
                <w:sz w:val="24"/>
                <w:szCs w:val="24"/>
              </w:rPr>
              <w:t>Palestine</w:t>
            </w:r>
          </w:p>
        </w:tc>
        <w:tc>
          <w:tcPr>
            <w:tcW w:w="2741" w:type="dxa"/>
            <w:gridSpan w:val="2"/>
            <w:vAlign w:val="center"/>
          </w:tcPr>
          <w:p w:rsidR="00485B1B" w:rsidRPr="00EE2205" w:rsidRDefault="00485B1B" w:rsidP="00485B1B">
            <w:pPr>
              <w:pStyle w:val="BodyText"/>
              <w:bidi w:val="0"/>
              <w:rPr>
                <w:rFonts w:cs="Times New Roman"/>
                <w:sz w:val="24"/>
                <w:szCs w:val="24"/>
              </w:rPr>
            </w:pPr>
            <w:r w:rsidRPr="00EE2205">
              <w:rPr>
                <w:rFonts w:cs="Times New Roman"/>
                <w:sz w:val="24"/>
                <w:szCs w:val="24"/>
              </w:rPr>
              <w:t>Region</w:t>
            </w:r>
          </w:p>
        </w:tc>
      </w:tr>
      <w:tr w:rsidR="00E1790C" w:rsidRPr="00EE2205" w:rsidTr="00E1790C">
        <w:trPr>
          <w:jc w:val="center"/>
        </w:trPr>
        <w:tc>
          <w:tcPr>
            <w:tcW w:w="3163" w:type="dxa"/>
            <w:vMerge/>
          </w:tcPr>
          <w:p w:rsidR="00485B1B" w:rsidRPr="00EE2205" w:rsidRDefault="00485B1B" w:rsidP="00485B1B">
            <w:pPr>
              <w:pStyle w:val="BodyText"/>
              <w:bidi w:val="0"/>
              <w:rPr>
                <w:rFonts w:cs="Times New Roman"/>
                <w:sz w:val="24"/>
                <w:szCs w:val="24"/>
              </w:rPr>
            </w:pPr>
          </w:p>
        </w:tc>
        <w:tc>
          <w:tcPr>
            <w:tcW w:w="1170" w:type="dxa"/>
            <w:vMerge/>
          </w:tcPr>
          <w:p w:rsidR="00485B1B" w:rsidRPr="00EE2205" w:rsidRDefault="00485B1B" w:rsidP="00485B1B">
            <w:pPr>
              <w:pStyle w:val="BodyText"/>
              <w:bidi w:val="0"/>
              <w:rPr>
                <w:rFonts w:cs="Times New Roman"/>
                <w:sz w:val="24"/>
                <w:szCs w:val="24"/>
              </w:rPr>
            </w:pPr>
          </w:p>
        </w:tc>
        <w:tc>
          <w:tcPr>
            <w:tcW w:w="1440" w:type="dxa"/>
          </w:tcPr>
          <w:p w:rsidR="00485B1B" w:rsidRPr="00EE2205" w:rsidRDefault="00485B1B" w:rsidP="00485B1B">
            <w:pPr>
              <w:pStyle w:val="BodyText"/>
              <w:bidi w:val="0"/>
              <w:rPr>
                <w:rFonts w:cs="Times New Roman"/>
                <w:b w:val="0"/>
                <w:bCs w:val="0"/>
                <w:sz w:val="24"/>
                <w:szCs w:val="24"/>
              </w:rPr>
            </w:pPr>
            <w:r w:rsidRPr="00EE2205">
              <w:rPr>
                <w:rFonts w:cs="Times New Roman"/>
                <w:b w:val="0"/>
                <w:bCs w:val="0"/>
                <w:sz w:val="24"/>
                <w:szCs w:val="24"/>
              </w:rPr>
              <w:t>West Bank</w:t>
            </w:r>
          </w:p>
        </w:tc>
        <w:tc>
          <w:tcPr>
            <w:tcW w:w="1301" w:type="dxa"/>
          </w:tcPr>
          <w:p w:rsidR="00485B1B" w:rsidRPr="00EE2205" w:rsidRDefault="00485B1B" w:rsidP="00485B1B">
            <w:pPr>
              <w:pStyle w:val="BodyText"/>
              <w:bidi w:val="0"/>
              <w:rPr>
                <w:rFonts w:cs="Times New Roman"/>
                <w:b w:val="0"/>
                <w:bCs w:val="0"/>
                <w:sz w:val="24"/>
                <w:szCs w:val="24"/>
              </w:rPr>
            </w:pPr>
            <w:r w:rsidRPr="00EE2205">
              <w:rPr>
                <w:rFonts w:cs="Times New Roman"/>
                <w:b w:val="0"/>
                <w:bCs w:val="0"/>
                <w:sz w:val="24"/>
                <w:szCs w:val="24"/>
              </w:rPr>
              <w:t>Gaza Strip</w:t>
            </w:r>
          </w:p>
        </w:tc>
      </w:tr>
      <w:tr w:rsidR="00E1790C" w:rsidRPr="00EE2205" w:rsidTr="00E1790C">
        <w:trPr>
          <w:jc w:val="center"/>
        </w:trPr>
        <w:tc>
          <w:tcPr>
            <w:tcW w:w="3163" w:type="dxa"/>
          </w:tcPr>
          <w:p w:rsidR="00C70470" w:rsidRPr="00EE2205" w:rsidRDefault="00C70470" w:rsidP="00C70470">
            <w:pPr>
              <w:pStyle w:val="BodyText"/>
              <w:bidi w:val="0"/>
              <w:jc w:val="left"/>
              <w:rPr>
                <w:rFonts w:cs="Times New Roman"/>
                <w:b w:val="0"/>
                <w:bCs w:val="0"/>
                <w:sz w:val="24"/>
                <w:szCs w:val="24"/>
              </w:rPr>
            </w:pPr>
            <w:r w:rsidRPr="00EE2205">
              <w:rPr>
                <w:rFonts w:cs="Times New Roman"/>
                <w:b w:val="0"/>
                <w:bCs w:val="0"/>
                <w:sz w:val="24"/>
                <w:szCs w:val="24"/>
              </w:rPr>
              <w:t>Agriculture, hunting, forestry, fishing</w:t>
            </w:r>
          </w:p>
        </w:tc>
        <w:tc>
          <w:tcPr>
            <w:tcW w:w="1170" w:type="dxa"/>
            <w:vAlign w:val="center"/>
          </w:tcPr>
          <w:p w:rsidR="00C70470" w:rsidRPr="00EE2205" w:rsidRDefault="00C70470" w:rsidP="00A035E2">
            <w:pPr>
              <w:bidi/>
              <w:ind w:firstLine="285"/>
              <w:jc w:val="both"/>
              <w:rPr>
                <w:b/>
                <w:bCs/>
                <w:sz w:val="24"/>
                <w:szCs w:val="24"/>
                <w:rtl/>
              </w:rPr>
            </w:pPr>
            <w:r w:rsidRPr="00EE2205">
              <w:rPr>
                <w:b/>
                <w:bCs/>
                <w:sz w:val="24"/>
                <w:szCs w:val="24"/>
              </w:rPr>
              <w:t>27.4</w:t>
            </w:r>
          </w:p>
        </w:tc>
        <w:tc>
          <w:tcPr>
            <w:tcW w:w="1440" w:type="dxa"/>
            <w:vAlign w:val="center"/>
          </w:tcPr>
          <w:p w:rsidR="00C70470" w:rsidRPr="00EE2205" w:rsidRDefault="00C70470" w:rsidP="00A035E2">
            <w:pPr>
              <w:bidi/>
              <w:ind w:firstLine="285"/>
              <w:jc w:val="both"/>
              <w:rPr>
                <w:sz w:val="24"/>
                <w:szCs w:val="24"/>
                <w:rtl/>
              </w:rPr>
            </w:pPr>
            <w:r w:rsidRPr="00EE2205">
              <w:rPr>
                <w:sz w:val="24"/>
                <w:szCs w:val="24"/>
                <w:rtl/>
              </w:rPr>
              <w:t>29.3</w:t>
            </w:r>
          </w:p>
        </w:tc>
        <w:tc>
          <w:tcPr>
            <w:tcW w:w="1301" w:type="dxa"/>
            <w:vAlign w:val="center"/>
          </w:tcPr>
          <w:p w:rsidR="00C70470" w:rsidRPr="00EE2205" w:rsidRDefault="00C70470" w:rsidP="00A035E2">
            <w:pPr>
              <w:bidi/>
              <w:ind w:firstLine="285"/>
              <w:jc w:val="both"/>
              <w:rPr>
                <w:sz w:val="24"/>
                <w:szCs w:val="24"/>
                <w:rtl/>
              </w:rPr>
            </w:pPr>
            <w:r w:rsidRPr="00EE2205">
              <w:rPr>
                <w:sz w:val="24"/>
                <w:szCs w:val="24"/>
                <w:rtl/>
              </w:rPr>
              <w:t>21.6</w:t>
            </w:r>
          </w:p>
        </w:tc>
      </w:tr>
      <w:tr w:rsidR="00E1790C" w:rsidRPr="00EE2205" w:rsidTr="00E1790C">
        <w:trPr>
          <w:trHeight w:val="602"/>
          <w:jc w:val="center"/>
        </w:trPr>
        <w:tc>
          <w:tcPr>
            <w:tcW w:w="3163" w:type="dxa"/>
          </w:tcPr>
          <w:p w:rsidR="00C70470" w:rsidRPr="00EE2205" w:rsidRDefault="00C70470" w:rsidP="00C70470">
            <w:pPr>
              <w:pStyle w:val="BodyText"/>
              <w:bidi w:val="0"/>
              <w:jc w:val="left"/>
              <w:rPr>
                <w:rFonts w:cs="Times New Roman"/>
                <w:b w:val="0"/>
                <w:bCs w:val="0"/>
                <w:sz w:val="24"/>
                <w:szCs w:val="24"/>
              </w:rPr>
            </w:pPr>
            <w:r w:rsidRPr="00EE2205">
              <w:rPr>
                <w:rFonts w:cs="Times New Roman"/>
                <w:b w:val="0"/>
                <w:bCs w:val="0"/>
                <w:sz w:val="24"/>
                <w:szCs w:val="24"/>
              </w:rPr>
              <w:t>Mining, quarries, transformational industries</w:t>
            </w:r>
          </w:p>
        </w:tc>
        <w:tc>
          <w:tcPr>
            <w:tcW w:w="1170" w:type="dxa"/>
            <w:vAlign w:val="center"/>
          </w:tcPr>
          <w:p w:rsidR="00C70470" w:rsidRPr="00EE2205" w:rsidRDefault="00C70470" w:rsidP="00A035E2">
            <w:pPr>
              <w:bidi/>
              <w:ind w:firstLine="285"/>
              <w:jc w:val="both"/>
              <w:rPr>
                <w:b/>
                <w:bCs/>
                <w:sz w:val="24"/>
                <w:szCs w:val="24"/>
              </w:rPr>
            </w:pPr>
            <w:r w:rsidRPr="00EE2205">
              <w:rPr>
                <w:b/>
                <w:bCs/>
                <w:sz w:val="24"/>
                <w:szCs w:val="24"/>
                <w:rtl/>
              </w:rPr>
              <w:t>17.8</w:t>
            </w:r>
          </w:p>
        </w:tc>
        <w:tc>
          <w:tcPr>
            <w:tcW w:w="1440" w:type="dxa"/>
            <w:vAlign w:val="center"/>
          </w:tcPr>
          <w:p w:rsidR="00C70470" w:rsidRPr="00EE2205" w:rsidRDefault="00C70470" w:rsidP="00A035E2">
            <w:pPr>
              <w:bidi/>
              <w:ind w:firstLine="285"/>
              <w:jc w:val="both"/>
              <w:rPr>
                <w:sz w:val="24"/>
                <w:szCs w:val="24"/>
              </w:rPr>
            </w:pPr>
            <w:r w:rsidRPr="00EE2205">
              <w:rPr>
                <w:sz w:val="24"/>
                <w:szCs w:val="24"/>
                <w:rtl/>
              </w:rPr>
              <w:t>21.5</w:t>
            </w:r>
          </w:p>
        </w:tc>
        <w:tc>
          <w:tcPr>
            <w:tcW w:w="1301" w:type="dxa"/>
            <w:vAlign w:val="center"/>
          </w:tcPr>
          <w:p w:rsidR="00C70470" w:rsidRPr="00EE2205" w:rsidRDefault="00C70470" w:rsidP="00A035E2">
            <w:pPr>
              <w:bidi/>
              <w:ind w:firstLine="285"/>
              <w:jc w:val="both"/>
              <w:rPr>
                <w:sz w:val="24"/>
                <w:szCs w:val="24"/>
              </w:rPr>
            </w:pPr>
            <w:r w:rsidRPr="00EE2205">
              <w:rPr>
                <w:sz w:val="24"/>
                <w:szCs w:val="24"/>
                <w:rtl/>
              </w:rPr>
              <w:t>6.4</w:t>
            </w:r>
          </w:p>
        </w:tc>
      </w:tr>
      <w:tr w:rsidR="00E1790C" w:rsidRPr="00EE2205" w:rsidTr="00E1790C">
        <w:trPr>
          <w:trHeight w:val="350"/>
          <w:jc w:val="center"/>
        </w:trPr>
        <w:tc>
          <w:tcPr>
            <w:tcW w:w="3163" w:type="dxa"/>
          </w:tcPr>
          <w:p w:rsidR="00C70470" w:rsidRPr="00EE2205" w:rsidRDefault="00C70470" w:rsidP="00C70470">
            <w:pPr>
              <w:pStyle w:val="BodyText"/>
              <w:bidi w:val="0"/>
              <w:jc w:val="left"/>
              <w:rPr>
                <w:rFonts w:cs="Times New Roman"/>
                <w:b w:val="0"/>
                <w:bCs w:val="0"/>
                <w:sz w:val="24"/>
                <w:szCs w:val="24"/>
              </w:rPr>
            </w:pPr>
            <w:r w:rsidRPr="00EE2205">
              <w:rPr>
                <w:rFonts w:cs="Times New Roman"/>
                <w:b w:val="0"/>
                <w:bCs w:val="0"/>
                <w:sz w:val="24"/>
                <w:szCs w:val="24"/>
              </w:rPr>
              <w:t>Construction</w:t>
            </w:r>
          </w:p>
        </w:tc>
        <w:tc>
          <w:tcPr>
            <w:tcW w:w="1170" w:type="dxa"/>
            <w:vAlign w:val="center"/>
          </w:tcPr>
          <w:p w:rsidR="00C70470" w:rsidRPr="00EE2205" w:rsidRDefault="00C70470" w:rsidP="00A035E2">
            <w:pPr>
              <w:bidi/>
              <w:ind w:firstLine="285"/>
              <w:jc w:val="both"/>
              <w:rPr>
                <w:b/>
                <w:bCs/>
                <w:sz w:val="24"/>
                <w:szCs w:val="24"/>
              </w:rPr>
            </w:pPr>
            <w:r w:rsidRPr="00EE2205">
              <w:rPr>
                <w:b/>
                <w:bCs/>
                <w:sz w:val="24"/>
                <w:szCs w:val="24"/>
                <w:rtl/>
              </w:rPr>
              <w:t>13.1</w:t>
            </w:r>
          </w:p>
        </w:tc>
        <w:tc>
          <w:tcPr>
            <w:tcW w:w="1440" w:type="dxa"/>
            <w:vAlign w:val="center"/>
          </w:tcPr>
          <w:p w:rsidR="00C70470" w:rsidRPr="00EE2205" w:rsidRDefault="00C70470" w:rsidP="00A035E2">
            <w:pPr>
              <w:bidi/>
              <w:ind w:firstLine="285"/>
              <w:jc w:val="both"/>
              <w:rPr>
                <w:sz w:val="24"/>
                <w:szCs w:val="24"/>
              </w:rPr>
            </w:pPr>
            <w:r w:rsidRPr="00EE2205">
              <w:rPr>
                <w:sz w:val="24"/>
                <w:szCs w:val="24"/>
                <w:rtl/>
              </w:rPr>
              <w:t>14.9</w:t>
            </w:r>
          </w:p>
        </w:tc>
        <w:tc>
          <w:tcPr>
            <w:tcW w:w="1301" w:type="dxa"/>
            <w:vAlign w:val="center"/>
          </w:tcPr>
          <w:p w:rsidR="00C70470" w:rsidRPr="00EE2205" w:rsidRDefault="00C70470" w:rsidP="00A035E2">
            <w:pPr>
              <w:bidi/>
              <w:ind w:firstLine="285"/>
              <w:jc w:val="both"/>
              <w:rPr>
                <w:sz w:val="24"/>
                <w:szCs w:val="24"/>
              </w:rPr>
            </w:pPr>
            <w:r w:rsidRPr="00EE2205">
              <w:rPr>
                <w:sz w:val="24"/>
                <w:szCs w:val="24"/>
                <w:rtl/>
              </w:rPr>
              <w:t>7.4</w:t>
            </w:r>
          </w:p>
        </w:tc>
      </w:tr>
      <w:tr w:rsidR="00E1790C" w:rsidRPr="00EE2205" w:rsidTr="00E1790C">
        <w:trPr>
          <w:trHeight w:val="413"/>
          <w:jc w:val="center"/>
        </w:trPr>
        <w:tc>
          <w:tcPr>
            <w:tcW w:w="3163" w:type="dxa"/>
          </w:tcPr>
          <w:p w:rsidR="00C70470" w:rsidRPr="00EE2205" w:rsidRDefault="00C70470" w:rsidP="00C70470">
            <w:pPr>
              <w:pStyle w:val="BodyText"/>
              <w:bidi w:val="0"/>
              <w:jc w:val="left"/>
              <w:rPr>
                <w:rFonts w:cs="Times New Roman"/>
                <w:b w:val="0"/>
                <w:bCs w:val="0"/>
                <w:sz w:val="24"/>
                <w:szCs w:val="24"/>
              </w:rPr>
            </w:pPr>
            <w:r w:rsidRPr="00EE2205">
              <w:rPr>
                <w:rFonts w:cs="Times New Roman"/>
                <w:b w:val="0"/>
                <w:bCs w:val="0"/>
                <w:sz w:val="24"/>
                <w:szCs w:val="24"/>
              </w:rPr>
              <w:t>Trade, restaurants, hotels</w:t>
            </w:r>
          </w:p>
        </w:tc>
        <w:tc>
          <w:tcPr>
            <w:tcW w:w="1170" w:type="dxa"/>
            <w:vAlign w:val="center"/>
          </w:tcPr>
          <w:p w:rsidR="00C70470" w:rsidRPr="00EE2205" w:rsidRDefault="00C70470" w:rsidP="00A035E2">
            <w:pPr>
              <w:bidi/>
              <w:ind w:firstLine="285"/>
              <w:jc w:val="both"/>
              <w:rPr>
                <w:b/>
                <w:bCs/>
                <w:sz w:val="24"/>
                <w:szCs w:val="24"/>
                <w:rtl/>
              </w:rPr>
            </w:pPr>
            <w:r w:rsidRPr="00EE2205">
              <w:rPr>
                <w:b/>
                <w:bCs/>
                <w:sz w:val="24"/>
                <w:szCs w:val="24"/>
                <w:rtl/>
              </w:rPr>
              <w:t>34.8</w:t>
            </w:r>
          </w:p>
        </w:tc>
        <w:tc>
          <w:tcPr>
            <w:tcW w:w="1440" w:type="dxa"/>
            <w:vAlign w:val="center"/>
          </w:tcPr>
          <w:p w:rsidR="00C70470" w:rsidRPr="00EE2205" w:rsidRDefault="00C70470" w:rsidP="00A035E2">
            <w:pPr>
              <w:bidi/>
              <w:ind w:firstLine="285"/>
              <w:jc w:val="both"/>
              <w:rPr>
                <w:sz w:val="24"/>
                <w:szCs w:val="24"/>
                <w:rtl/>
                <w:lang w:val="en-GB"/>
              </w:rPr>
            </w:pPr>
            <w:r w:rsidRPr="00EE2205">
              <w:rPr>
                <w:sz w:val="24"/>
                <w:szCs w:val="24"/>
                <w:rtl/>
                <w:lang w:val="en-GB"/>
              </w:rPr>
              <w:t>30.0</w:t>
            </w:r>
          </w:p>
        </w:tc>
        <w:tc>
          <w:tcPr>
            <w:tcW w:w="1301" w:type="dxa"/>
            <w:vAlign w:val="center"/>
          </w:tcPr>
          <w:p w:rsidR="00C70470" w:rsidRPr="00EE2205" w:rsidRDefault="00C70470" w:rsidP="00A035E2">
            <w:pPr>
              <w:bidi/>
              <w:ind w:firstLine="285"/>
              <w:jc w:val="both"/>
              <w:rPr>
                <w:sz w:val="24"/>
                <w:szCs w:val="24"/>
                <w:rtl/>
                <w:lang w:val="en-GB"/>
              </w:rPr>
            </w:pPr>
            <w:r w:rsidRPr="00EE2205">
              <w:rPr>
                <w:sz w:val="24"/>
                <w:szCs w:val="24"/>
                <w:rtl/>
                <w:lang w:val="en-GB"/>
              </w:rPr>
              <w:t>49.2</w:t>
            </w:r>
          </w:p>
        </w:tc>
      </w:tr>
      <w:tr w:rsidR="00E1790C" w:rsidRPr="00EE2205" w:rsidTr="00E1790C">
        <w:trPr>
          <w:trHeight w:val="557"/>
          <w:jc w:val="center"/>
        </w:trPr>
        <w:tc>
          <w:tcPr>
            <w:tcW w:w="3163" w:type="dxa"/>
          </w:tcPr>
          <w:p w:rsidR="00C70470" w:rsidRPr="00EE2205" w:rsidRDefault="00C70470" w:rsidP="00C70470">
            <w:pPr>
              <w:pStyle w:val="BodyText"/>
              <w:bidi w:val="0"/>
              <w:jc w:val="left"/>
              <w:rPr>
                <w:rFonts w:cs="Times New Roman"/>
                <w:b w:val="0"/>
                <w:bCs w:val="0"/>
                <w:sz w:val="24"/>
                <w:szCs w:val="24"/>
              </w:rPr>
            </w:pPr>
            <w:r w:rsidRPr="00EE2205">
              <w:rPr>
                <w:rFonts w:cs="Times New Roman"/>
                <w:b w:val="0"/>
                <w:bCs w:val="0"/>
                <w:sz w:val="24"/>
                <w:szCs w:val="24"/>
              </w:rPr>
              <w:t>Transportation, warehouses, telecommunication</w:t>
            </w:r>
          </w:p>
        </w:tc>
        <w:tc>
          <w:tcPr>
            <w:tcW w:w="1170" w:type="dxa"/>
            <w:vAlign w:val="center"/>
          </w:tcPr>
          <w:p w:rsidR="00C70470" w:rsidRPr="00EE2205" w:rsidRDefault="00C70470" w:rsidP="00A035E2">
            <w:pPr>
              <w:bidi/>
              <w:ind w:firstLine="285"/>
              <w:jc w:val="both"/>
              <w:rPr>
                <w:b/>
                <w:bCs/>
                <w:sz w:val="24"/>
                <w:szCs w:val="24"/>
              </w:rPr>
            </w:pPr>
            <w:r w:rsidRPr="00EE2205">
              <w:rPr>
                <w:b/>
                <w:bCs/>
                <w:sz w:val="24"/>
                <w:szCs w:val="24"/>
                <w:rtl/>
              </w:rPr>
              <w:t>2.5</w:t>
            </w:r>
          </w:p>
        </w:tc>
        <w:tc>
          <w:tcPr>
            <w:tcW w:w="1440" w:type="dxa"/>
            <w:vAlign w:val="center"/>
          </w:tcPr>
          <w:p w:rsidR="00C70470" w:rsidRPr="00EE2205" w:rsidRDefault="00C70470" w:rsidP="00A035E2">
            <w:pPr>
              <w:bidi/>
              <w:ind w:firstLine="285"/>
              <w:jc w:val="both"/>
              <w:rPr>
                <w:sz w:val="24"/>
                <w:szCs w:val="24"/>
                <w:rtl/>
              </w:rPr>
            </w:pPr>
            <w:r w:rsidRPr="00EE2205">
              <w:rPr>
                <w:sz w:val="24"/>
                <w:szCs w:val="24"/>
                <w:rtl/>
              </w:rPr>
              <w:t>1.1</w:t>
            </w:r>
          </w:p>
        </w:tc>
        <w:tc>
          <w:tcPr>
            <w:tcW w:w="1301" w:type="dxa"/>
            <w:vAlign w:val="center"/>
          </w:tcPr>
          <w:p w:rsidR="00C70470" w:rsidRPr="00EE2205" w:rsidRDefault="00C70470" w:rsidP="00E1790C">
            <w:pPr>
              <w:bidi/>
              <w:ind w:firstLine="285"/>
              <w:jc w:val="center"/>
              <w:rPr>
                <w:sz w:val="24"/>
                <w:szCs w:val="24"/>
              </w:rPr>
            </w:pPr>
            <w:r w:rsidRPr="00EE2205">
              <w:rPr>
                <w:sz w:val="24"/>
                <w:szCs w:val="24"/>
                <w:rtl/>
              </w:rPr>
              <w:t>6.7</w:t>
            </w:r>
          </w:p>
        </w:tc>
      </w:tr>
      <w:tr w:rsidR="00E1790C" w:rsidRPr="00EE2205" w:rsidTr="00E1790C">
        <w:trPr>
          <w:trHeight w:val="440"/>
          <w:jc w:val="center"/>
        </w:trPr>
        <w:tc>
          <w:tcPr>
            <w:tcW w:w="3163" w:type="dxa"/>
          </w:tcPr>
          <w:p w:rsidR="00C70470" w:rsidRPr="00EE2205" w:rsidRDefault="00C70470" w:rsidP="00C70470">
            <w:pPr>
              <w:pStyle w:val="BodyText"/>
              <w:bidi w:val="0"/>
              <w:jc w:val="left"/>
              <w:rPr>
                <w:rFonts w:cs="Times New Roman"/>
                <w:b w:val="0"/>
                <w:bCs w:val="0"/>
                <w:sz w:val="24"/>
                <w:szCs w:val="24"/>
              </w:rPr>
            </w:pPr>
            <w:r w:rsidRPr="00EE2205">
              <w:rPr>
                <w:rFonts w:cs="Times New Roman"/>
                <w:b w:val="0"/>
                <w:bCs w:val="0"/>
                <w:sz w:val="24"/>
                <w:szCs w:val="24"/>
              </w:rPr>
              <w:t>Services and other sectors</w:t>
            </w:r>
          </w:p>
        </w:tc>
        <w:tc>
          <w:tcPr>
            <w:tcW w:w="1170" w:type="dxa"/>
            <w:vAlign w:val="center"/>
          </w:tcPr>
          <w:p w:rsidR="00C70470" w:rsidRPr="00EE2205" w:rsidRDefault="00C70470" w:rsidP="001E322D">
            <w:pPr>
              <w:bidi/>
              <w:ind w:firstLine="285"/>
              <w:jc w:val="both"/>
              <w:rPr>
                <w:b/>
                <w:bCs/>
                <w:sz w:val="24"/>
                <w:szCs w:val="24"/>
              </w:rPr>
            </w:pPr>
            <w:r w:rsidRPr="00EE2205">
              <w:rPr>
                <w:b/>
                <w:bCs/>
                <w:sz w:val="24"/>
                <w:szCs w:val="24"/>
                <w:rtl/>
              </w:rPr>
              <w:t>4.</w:t>
            </w:r>
            <w:r w:rsidR="001E322D" w:rsidRPr="00EE2205">
              <w:rPr>
                <w:rFonts w:hint="cs"/>
                <w:b/>
                <w:bCs/>
                <w:sz w:val="24"/>
                <w:szCs w:val="24"/>
                <w:rtl/>
              </w:rPr>
              <w:t>4</w:t>
            </w:r>
          </w:p>
        </w:tc>
        <w:tc>
          <w:tcPr>
            <w:tcW w:w="1440" w:type="dxa"/>
            <w:vAlign w:val="center"/>
          </w:tcPr>
          <w:p w:rsidR="00C70470" w:rsidRPr="00EE2205" w:rsidRDefault="00C70470" w:rsidP="00A035E2">
            <w:pPr>
              <w:bidi/>
              <w:ind w:firstLine="285"/>
              <w:jc w:val="both"/>
              <w:rPr>
                <w:sz w:val="24"/>
                <w:szCs w:val="24"/>
              </w:rPr>
            </w:pPr>
            <w:r w:rsidRPr="00EE2205">
              <w:rPr>
                <w:sz w:val="24"/>
                <w:szCs w:val="24"/>
                <w:rtl/>
              </w:rPr>
              <w:t>3.2</w:t>
            </w:r>
          </w:p>
        </w:tc>
        <w:tc>
          <w:tcPr>
            <w:tcW w:w="1301" w:type="dxa"/>
            <w:vAlign w:val="center"/>
          </w:tcPr>
          <w:p w:rsidR="00C70470" w:rsidRPr="00EE2205" w:rsidRDefault="00C70470" w:rsidP="00A035E2">
            <w:pPr>
              <w:bidi/>
              <w:ind w:firstLine="285"/>
              <w:jc w:val="both"/>
              <w:rPr>
                <w:sz w:val="24"/>
                <w:szCs w:val="24"/>
              </w:rPr>
            </w:pPr>
            <w:r w:rsidRPr="00EE2205">
              <w:rPr>
                <w:sz w:val="24"/>
                <w:szCs w:val="24"/>
                <w:rtl/>
              </w:rPr>
              <w:t>8.6</w:t>
            </w:r>
          </w:p>
        </w:tc>
      </w:tr>
      <w:tr w:rsidR="00E1790C" w:rsidRPr="00EE2205" w:rsidTr="00E1790C">
        <w:trPr>
          <w:trHeight w:val="422"/>
          <w:jc w:val="center"/>
        </w:trPr>
        <w:tc>
          <w:tcPr>
            <w:tcW w:w="3163" w:type="dxa"/>
          </w:tcPr>
          <w:p w:rsidR="00C70470" w:rsidRPr="00EE2205" w:rsidRDefault="00C70470" w:rsidP="00C70470">
            <w:pPr>
              <w:pStyle w:val="BodyText"/>
              <w:bidi w:val="0"/>
              <w:jc w:val="left"/>
              <w:rPr>
                <w:rFonts w:cs="Times New Roman"/>
                <w:sz w:val="24"/>
                <w:szCs w:val="24"/>
              </w:rPr>
            </w:pPr>
            <w:r w:rsidRPr="00EE2205">
              <w:rPr>
                <w:rFonts w:cs="Times New Roman"/>
                <w:sz w:val="24"/>
                <w:szCs w:val="24"/>
              </w:rPr>
              <w:t>Total</w:t>
            </w:r>
          </w:p>
        </w:tc>
        <w:tc>
          <w:tcPr>
            <w:tcW w:w="1170" w:type="dxa"/>
            <w:vAlign w:val="center"/>
          </w:tcPr>
          <w:p w:rsidR="00C70470" w:rsidRPr="00EE2205" w:rsidRDefault="00C70470" w:rsidP="00A035E2">
            <w:pPr>
              <w:bidi/>
              <w:ind w:firstLine="285"/>
              <w:jc w:val="both"/>
              <w:rPr>
                <w:b/>
                <w:bCs/>
                <w:sz w:val="24"/>
                <w:szCs w:val="24"/>
              </w:rPr>
            </w:pPr>
            <w:r w:rsidRPr="00EE2205">
              <w:rPr>
                <w:b/>
                <w:bCs/>
                <w:sz w:val="24"/>
                <w:szCs w:val="24"/>
              </w:rPr>
              <w:t>100</w:t>
            </w:r>
          </w:p>
        </w:tc>
        <w:tc>
          <w:tcPr>
            <w:tcW w:w="1440" w:type="dxa"/>
            <w:vAlign w:val="center"/>
          </w:tcPr>
          <w:p w:rsidR="00C70470" w:rsidRPr="00EE2205" w:rsidRDefault="00C70470" w:rsidP="00A035E2">
            <w:pPr>
              <w:bidi/>
              <w:ind w:firstLine="285"/>
              <w:jc w:val="both"/>
              <w:rPr>
                <w:b/>
                <w:bCs/>
                <w:sz w:val="24"/>
                <w:szCs w:val="24"/>
                <w:rtl/>
              </w:rPr>
            </w:pPr>
            <w:r w:rsidRPr="00EE2205">
              <w:rPr>
                <w:b/>
                <w:bCs/>
                <w:sz w:val="24"/>
                <w:szCs w:val="24"/>
              </w:rPr>
              <w:t>100</w:t>
            </w:r>
          </w:p>
        </w:tc>
        <w:tc>
          <w:tcPr>
            <w:tcW w:w="1301" w:type="dxa"/>
            <w:vAlign w:val="center"/>
          </w:tcPr>
          <w:p w:rsidR="00C70470" w:rsidRPr="00EE2205" w:rsidRDefault="00C70470" w:rsidP="00A035E2">
            <w:pPr>
              <w:bidi/>
              <w:ind w:firstLine="285"/>
              <w:jc w:val="both"/>
              <w:rPr>
                <w:b/>
                <w:bCs/>
                <w:sz w:val="24"/>
                <w:szCs w:val="24"/>
              </w:rPr>
            </w:pPr>
            <w:r w:rsidRPr="00EE2205">
              <w:rPr>
                <w:b/>
                <w:bCs/>
                <w:sz w:val="24"/>
                <w:szCs w:val="24"/>
              </w:rPr>
              <w:t>100</w:t>
            </w:r>
          </w:p>
        </w:tc>
      </w:tr>
    </w:tbl>
    <w:p w:rsidR="00485B1B" w:rsidRPr="001C13ED" w:rsidRDefault="00485B1B" w:rsidP="00485B1B">
      <w:pPr>
        <w:pStyle w:val="BodyText"/>
        <w:bidi w:val="0"/>
        <w:rPr>
          <w:rFonts w:cs="Times New Roman"/>
          <w:b w:val="0"/>
          <w:bCs w:val="0"/>
          <w:sz w:val="24"/>
          <w:szCs w:val="24"/>
          <w:rtl/>
        </w:rPr>
      </w:pPr>
    </w:p>
    <w:p w:rsidR="00084EA2" w:rsidRDefault="001B3144" w:rsidP="00EE2205">
      <w:pPr>
        <w:pStyle w:val="BodyText"/>
        <w:bidi w:val="0"/>
        <w:jc w:val="both"/>
        <w:rPr>
          <w:rFonts w:asciiTheme="minorHAnsi" w:hAnsiTheme="minorHAnsi"/>
          <w:b w:val="0"/>
          <w:bCs w:val="0"/>
          <w:sz w:val="24"/>
          <w:szCs w:val="24"/>
        </w:rPr>
      </w:pPr>
      <w:r>
        <w:rPr>
          <w:rFonts w:cs="Times New Roman"/>
          <w:b w:val="0"/>
          <w:bCs w:val="0"/>
          <w:sz w:val="24"/>
          <w:szCs w:val="24"/>
        </w:rPr>
        <w:t>T</w:t>
      </w:r>
      <w:r w:rsidR="00C70470" w:rsidRPr="001C13ED">
        <w:rPr>
          <w:rFonts w:cs="Times New Roman"/>
          <w:b w:val="0"/>
          <w:bCs w:val="0"/>
          <w:sz w:val="24"/>
          <w:szCs w:val="24"/>
        </w:rPr>
        <w:t>he number of children who received social assistance in the West Bank reached 58,544 compared to 193,505 in the Gaza Strip</w:t>
      </w:r>
      <w:r w:rsidRPr="001B3144">
        <w:rPr>
          <w:rFonts w:cs="Times New Roman"/>
          <w:b w:val="0"/>
          <w:bCs w:val="0"/>
          <w:sz w:val="24"/>
          <w:szCs w:val="24"/>
        </w:rPr>
        <w:t xml:space="preserve"> </w:t>
      </w:r>
      <w:r w:rsidRPr="001C13ED">
        <w:rPr>
          <w:rFonts w:cs="Times New Roman"/>
          <w:b w:val="0"/>
          <w:bCs w:val="0"/>
          <w:sz w:val="24"/>
          <w:szCs w:val="24"/>
        </w:rPr>
        <w:t>for the year 2015</w:t>
      </w:r>
      <w:r w:rsidR="00C70470" w:rsidRPr="001C13ED">
        <w:rPr>
          <w:rFonts w:cs="Times New Roman"/>
          <w:b w:val="0"/>
          <w:bCs w:val="0"/>
          <w:sz w:val="24"/>
          <w:szCs w:val="24"/>
        </w:rPr>
        <w:t>. The number of children who receive cash assistance for a chronic illness reached 4,486 in the West Bank and 9,021 in the Gaza strip. On the other hand, 3,99</w:t>
      </w:r>
      <w:r w:rsidR="001E322D">
        <w:rPr>
          <w:rFonts w:cs="Times New Roman"/>
          <w:b w:val="0"/>
          <w:bCs w:val="0"/>
          <w:sz w:val="24"/>
          <w:szCs w:val="24"/>
        </w:rPr>
        <w:t>4</w:t>
      </w:r>
      <w:r w:rsidR="00C70470" w:rsidRPr="001C13ED">
        <w:rPr>
          <w:rFonts w:cs="Times New Roman"/>
          <w:b w:val="0"/>
          <w:bCs w:val="0"/>
          <w:sz w:val="24"/>
          <w:szCs w:val="24"/>
        </w:rPr>
        <w:t xml:space="preserve"> children suffer disabilities and receive cash assistance in the West Bank compared to 7,149 in the Gaza Strip.</w:t>
      </w:r>
    </w:p>
    <w:p w:rsidR="00EE2205" w:rsidRPr="00EE2205" w:rsidRDefault="00EE2205" w:rsidP="00EE2205">
      <w:pPr>
        <w:pStyle w:val="BodyText"/>
        <w:bidi w:val="0"/>
        <w:jc w:val="both"/>
        <w:rPr>
          <w:rFonts w:asciiTheme="minorHAnsi" w:hAnsiTheme="minorHAnsi"/>
          <w:b w:val="0"/>
          <w:bCs w:val="0"/>
          <w:sz w:val="16"/>
          <w:szCs w:val="16"/>
        </w:rPr>
      </w:pPr>
    </w:p>
    <w:p w:rsidR="001B3144" w:rsidRPr="00E1790C" w:rsidRDefault="001B3144" w:rsidP="007C7FC3">
      <w:pPr>
        <w:pStyle w:val="BodyText"/>
        <w:overflowPunct/>
        <w:autoSpaceDE/>
        <w:autoSpaceDN/>
        <w:bidi w:val="0"/>
        <w:adjustRightInd/>
        <w:jc w:val="both"/>
        <w:textAlignment w:val="auto"/>
        <w:rPr>
          <w:sz w:val="22"/>
          <w:szCs w:val="22"/>
          <w:lang w:eastAsia="ar-SA"/>
        </w:rPr>
      </w:pPr>
      <w:r w:rsidRPr="00E1790C">
        <w:rPr>
          <w:sz w:val="22"/>
          <w:szCs w:val="22"/>
          <w:lang w:eastAsia="ar-SA"/>
        </w:rPr>
        <w:t>Data Sources:</w:t>
      </w:r>
    </w:p>
    <w:p w:rsidR="00EE2205" w:rsidRPr="00E1790C" w:rsidRDefault="00EE2205" w:rsidP="00EE2205">
      <w:pPr>
        <w:pStyle w:val="BodyText"/>
        <w:overflowPunct/>
        <w:autoSpaceDE/>
        <w:autoSpaceDN/>
        <w:bidi w:val="0"/>
        <w:adjustRightInd/>
        <w:jc w:val="both"/>
        <w:textAlignment w:val="auto"/>
        <w:rPr>
          <w:sz w:val="22"/>
          <w:szCs w:val="22"/>
          <w:lang w:eastAsia="ar-SA"/>
        </w:rPr>
      </w:pPr>
    </w:p>
    <w:p w:rsidR="007C7FC3" w:rsidRPr="00E1790C" w:rsidRDefault="007C7FC3" w:rsidP="001B3144">
      <w:pPr>
        <w:pStyle w:val="BodyText"/>
        <w:numPr>
          <w:ilvl w:val="0"/>
          <w:numId w:val="12"/>
        </w:numPr>
        <w:overflowPunct/>
        <w:autoSpaceDE/>
        <w:autoSpaceDN/>
        <w:bidi w:val="0"/>
        <w:adjustRightInd/>
        <w:jc w:val="both"/>
        <w:textAlignment w:val="auto"/>
        <w:rPr>
          <w:rFonts w:asciiTheme="majorBidi" w:hAnsiTheme="majorBidi" w:cstheme="majorBidi"/>
          <w:b w:val="0"/>
          <w:bCs w:val="0"/>
          <w:sz w:val="22"/>
          <w:szCs w:val="22"/>
          <w:rtl/>
        </w:rPr>
      </w:pPr>
      <w:r w:rsidRPr="00E1790C">
        <w:rPr>
          <w:rFonts w:asciiTheme="majorBidi" w:hAnsiTheme="majorBidi" w:cstheme="majorBidi"/>
          <w:b w:val="0"/>
          <w:bCs w:val="0"/>
          <w:sz w:val="22"/>
          <w:szCs w:val="22"/>
        </w:rPr>
        <w:t xml:space="preserve">Abdullah Al-Hourani Center for Studies and Documentation, Annual Report, 2015. </w:t>
      </w:r>
    </w:p>
    <w:p w:rsidR="003244A3" w:rsidRPr="00E1790C" w:rsidRDefault="007C7FC3" w:rsidP="001B3144">
      <w:pPr>
        <w:pStyle w:val="BodyText"/>
        <w:numPr>
          <w:ilvl w:val="0"/>
          <w:numId w:val="12"/>
        </w:numPr>
        <w:overflowPunct/>
        <w:autoSpaceDE/>
        <w:autoSpaceDN/>
        <w:bidi w:val="0"/>
        <w:adjustRightInd/>
        <w:jc w:val="both"/>
        <w:textAlignment w:val="auto"/>
        <w:rPr>
          <w:rFonts w:asciiTheme="majorBidi" w:hAnsiTheme="majorBidi" w:cstheme="majorBidi"/>
          <w:b w:val="0"/>
          <w:bCs w:val="0"/>
          <w:color w:val="333333"/>
          <w:sz w:val="22"/>
          <w:szCs w:val="22"/>
        </w:rPr>
      </w:pPr>
      <w:r w:rsidRPr="00E1790C">
        <w:rPr>
          <w:rFonts w:asciiTheme="majorBidi" w:hAnsiTheme="majorBidi" w:cstheme="majorBidi"/>
          <w:b w:val="0"/>
          <w:bCs w:val="0"/>
          <w:sz w:val="22"/>
          <w:szCs w:val="22"/>
        </w:rPr>
        <w:t>Land Research Center of the Arab Studies Society</w:t>
      </w:r>
      <w:r w:rsidR="001B3144" w:rsidRPr="00E1790C">
        <w:rPr>
          <w:rFonts w:asciiTheme="majorBidi" w:hAnsiTheme="majorBidi" w:cstheme="majorBidi"/>
          <w:b w:val="0"/>
          <w:bCs w:val="0"/>
          <w:sz w:val="22"/>
          <w:szCs w:val="22"/>
        </w:rPr>
        <w:t>, 2015</w:t>
      </w:r>
    </w:p>
    <w:p w:rsidR="007C7FC3" w:rsidRPr="00E1790C" w:rsidRDefault="007C7FC3" w:rsidP="001B3144">
      <w:pPr>
        <w:pStyle w:val="BodyText"/>
        <w:numPr>
          <w:ilvl w:val="0"/>
          <w:numId w:val="12"/>
        </w:numPr>
        <w:overflowPunct/>
        <w:autoSpaceDE/>
        <w:autoSpaceDN/>
        <w:bidi w:val="0"/>
        <w:adjustRightInd/>
        <w:jc w:val="both"/>
        <w:textAlignment w:val="auto"/>
        <w:rPr>
          <w:rFonts w:asciiTheme="majorBidi" w:hAnsiTheme="majorBidi" w:cstheme="majorBidi"/>
          <w:b w:val="0"/>
          <w:bCs w:val="0"/>
          <w:sz w:val="22"/>
          <w:szCs w:val="22"/>
        </w:rPr>
      </w:pPr>
      <w:r w:rsidRPr="00E1790C">
        <w:rPr>
          <w:rFonts w:asciiTheme="majorBidi" w:hAnsiTheme="majorBidi" w:cstheme="majorBidi"/>
          <w:b w:val="0"/>
          <w:bCs w:val="0"/>
          <w:sz w:val="22"/>
          <w:szCs w:val="22"/>
        </w:rPr>
        <w:t>Ministry of Education and Higher Education</w:t>
      </w:r>
      <w:r w:rsidR="001B3144" w:rsidRPr="00E1790C">
        <w:rPr>
          <w:rFonts w:asciiTheme="majorBidi" w:hAnsiTheme="majorBidi" w:cstheme="majorBidi"/>
          <w:b w:val="0"/>
          <w:bCs w:val="0"/>
          <w:sz w:val="22"/>
          <w:szCs w:val="22"/>
        </w:rPr>
        <w:t>, 2014</w:t>
      </w:r>
    </w:p>
    <w:p w:rsidR="001B3144" w:rsidRPr="00E1790C" w:rsidRDefault="001B3144" w:rsidP="001B3144">
      <w:pPr>
        <w:pStyle w:val="BodyText"/>
        <w:numPr>
          <w:ilvl w:val="0"/>
          <w:numId w:val="12"/>
        </w:numPr>
        <w:overflowPunct/>
        <w:autoSpaceDE/>
        <w:autoSpaceDN/>
        <w:bidi w:val="0"/>
        <w:adjustRightInd/>
        <w:jc w:val="both"/>
        <w:textAlignment w:val="auto"/>
        <w:rPr>
          <w:rFonts w:asciiTheme="majorBidi" w:hAnsiTheme="majorBidi" w:cstheme="majorBidi"/>
          <w:b w:val="0"/>
          <w:bCs w:val="0"/>
          <w:color w:val="333333"/>
          <w:sz w:val="22"/>
          <w:szCs w:val="22"/>
        </w:rPr>
      </w:pPr>
      <w:r w:rsidRPr="00E1790C">
        <w:rPr>
          <w:rFonts w:asciiTheme="majorBidi" w:hAnsiTheme="majorBidi" w:cstheme="majorBidi"/>
          <w:b w:val="0"/>
          <w:bCs w:val="0"/>
          <w:sz w:val="22"/>
          <w:szCs w:val="22"/>
        </w:rPr>
        <w:t>Ministry of Social Affairs, 2015</w:t>
      </w:r>
      <w:r w:rsidRPr="00E1790C">
        <w:rPr>
          <w:rFonts w:asciiTheme="majorBidi" w:hAnsiTheme="majorBidi" w:cstheme="majorBidi"/>
          <w:b w:val="0"/>
          <w:bCs w:val="0"/>
          <w:color w:val="333333"/>
          <w:sz w:val="22"/>
          <w:szCs w:val="22"/>
        </w:rPr>
        <w:t xml:space="preserve"> </w:t>
      </w:r>
    </w:p>
    <w:p w:rsidR="001B3144" w:rsidRPr="00E1790C" w:rsidRDefault="001B3144" w:rsidP="001B3144">
      <w:pPr>
        <w:pStyle w:val="BodyText"/>
        <w:numPr>
          <w:ilvl w:val="0"/>
          <w:numId w:val="12"/>
        </w:numPr>
        <w:overflowPunct/>
        <w:autoSpaceDE/>
        <w:autoSpaceDN/>
        <w:bidi w:val="0"/>
        <w:adjustRightInd/>
        <w:jc w:val="both"/>
        <w:textAlignment w:val="auto"/>
        <w:rPr>
          <w:rFonts w:asciiTheme="majorBidi" w:hAnsiTheme="majorBidi" w:cstheme="majorBidi"/>
          <w:b w:val="0"/>
          <w:bCs w:val="0"/>
          <w:color w:val="333333"/>
          <w:sz w:val="22"/>
          <w:szCs w:val="22"/>
        </w:rPr>
      </w:pPr>
      <w:r w:rsidRPr="00E1790C">
        <w:rPr>
          <w:rFonts w:asciiTheme="majorBidi" w:hAnsiTheme="majorBidi" w:cstheme="majorBidi"/>
          <w:b w:val="0"/>
          <w:bCs w:val="0"/>
          <w:color w:val="333333"/>
          <w:sz w:val="22"/>
          <w:szCs w:val="22"/>
        </w:rPr>
        <w:t xml:space="preserve">Palestinian Central Bureau of Statistics, 2016 </w:t>
      </w:r>
    </w:p>
    <w:p w:rsidR="001B3144" w:rsidRPr="00E1790C" w:rsidRDefault="001B3144" w:rsidP="001B3144">
      <w:pPr>
        <w:pStyle w:val="BodyText"/>
        <w:numPr>
          <w:ilvl w:val="0"/>
          <w:numId w:val="12"/>
        </w:numPr>
        <w:overflowPunct/>
        <w:autoSpaceDE/>
        <w:autoSpaceDN/>
        <w:bidi w:val="0"/>
        <w:adjustRightInd/>
        <w:jc w:val="both"/>
        <w:textAlignment w:val="auto"/>
        <w:rPr>
          <w:rFonts w:asciiTheme="majorBidi" w:hAnsiTheme="majorBidi" w:cstheme="majorBidi"/>
          <w:b w:val="0"/>
          <w:bCs w:val="0"/>
          <w:color w:val="333333"/>
          <w:sz w:val="22"/>
          <w:szCs w:val="22"/>
        </w:rPr>
      </w:pPr>
      <w:r w:rsidRPr="00E1790C">
        <w:rPr>
          <w:rFonts w:asciiTheme="majorBidi" w:hAnsiTheme="majorBidi" w:cstheme="majorBidi"/>
          <w:b w:val="0"/>
          <w:bCs w:val="0"/>
          <w:color w:val="333333"/>
          <w:sz w:val="22"/>
          <w:szCs w:val="22"/>
        </w:rPr>
        <w:t>Prisoners’ Affairs Commission, 2015</w:t>
      </w:r>
    </w:p>
    <w:p w:rsidR="001B3144" w:rsidRDefault="001B3144" w:rsidP="001B3144">
      <w:pPr>
        <w:pStyle w:val="BodyText"/>
        <w:overflowPunct/>
        <w:autoSpaceDE/>
        <w:autoSpaceDN/>
        <w:bidi w:val="0"/>
        <w:adjustRightInd/>
        <w:jc w:val="both"/>
        <w:textAlignment w:val="auto"/>
        <w:rPr>
          <w:color w:val="333333"/>
          <w:sz w:val="24"/>
          <w:szCs w:val="24"/>
        </w:rPr>
      </w:pPr>
    </w:p>
    <w:p w:rsidR="00C70470" w:rsidRPr="00EE2205" w:rsidRDefault="00C70470" w:rsidP="00C70470">
      <w:pPr>
        <w:pStyle w:val="BodyText"/>
        <w:overflowPunct/>
        <w:autoSpaceDE/>
        <w:autoSpaceDN/>
        <w:bidi w:val="0"/>
        <w:adjustRightInd/>
        <w:jc w:val="both"/>
        <w:textAlignment w:val="auto"/>
        <w:rPr>
          <w:b w:val="0"/>
          <w:bCs w:val="0"/>
          <w:sz w:val="22"/>
          <w:szCs w:val="22"/>
          <w:rtl/>
          <w:lang w:eastAsia="ar-SA"/>
        </w:rPr>
      </w:pPr>
      <w:r w:rsidRPr="00EE2205">
        <w:rPr>
          <w:b w:val="0"/>
          <w:bCs w:val="0"/>
          <w:sz w:val="22"/>
          <w:szCs w:val="22"/>
          <w:lang w:eastAsia="ar-SA"/>
        </w:rPr>
        <w:t xml:space="preserve"> </w:t>
      </w:r>
    </w:p>
    <w:sectPr w:rsidR="00C70470" w:rsidRPr="00EE2205" w:rsidSect="00E1790C">
      <w:headerReference w:type="default" r:id="rId8"/>
      <w:footerReference w:type="even" r:id="rId9"/>
      <w:footerReference w:type="default" r:id="rId10"/>
      <w:endnotePr>
        <w:numFmt w:val="lowerLetter"/>
      </w:endnotePr>
      <w:pgSz w:w="11909" w:h="16834" w:code="9"/>
      <w:pgMar w:top="720" w:right="720" w:bottom="720" w:left="720" w:header="851" w:footer="851"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5A0" w:rsidRDefault="004E05A0">
      <w:r>
        <w:separator/>
      </w:r>
    </w:p>
  </w:endnote>
  <w:endnote w:type="continuationSeparator" w:id="0">
    <w:p w:rsidR="004E05A0" w:rsidRDefault="004E05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BF" w:rsidRDefault="00805A25">
    <w:pPr>
      <w:pStyle w:val="Footer"/>
      <w:framePr w:wrap="around" w:vAnchor="text" w:hAnchor="margin" w:xAlign="center" w:y="1"/>
      <w:rPr>
        <w:rStyle w:val="PageNumber"/>
      </w:rPr>
    </w:pPr>
    <w:r>
      <w:rPr>
        <w:rStyle w:val="PageNumber"/>
      </w:rPr>
      <w:fldChar w:fldCharType="begin"/>
    </w:r>
    <w:r w:rsidR="00E73C85">
      <w:rPr>
        <w:rStyle w:val="PageNumber"/>
      </w:rPr>
      <w:instrText xml:space="preserve">PAGE  </w:instrText>
    </w:r>
    <w:r>
      <w:rPr>
        <w:rStyle w:val="PageNumber"/>
      </w:rPr>
      <w:fldChar w:fldCharType="end"/>
    </w:r>
  </w:p>
  <w:p w:rsidR="001C5ABF" w:rsidRDefault="001C5A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BF" w:rsidRDefault="00805A25">
    <w:pPr>
      <w:pStyle w:val="Footer"/>
      <w:framePr w:wrap="around" w:vAnchor="text" w:hAnchor="margin" w:xAlign="center" w:y="1"/>
      <w:rPr>
        <w:rStyle w:val="PageNumber"/>
      </w:rPr>
    </w:pPr>
    <w:r>
      <w:rPr>
        <w:rStyle w:val="PageNumber"/>
      </w:rPr>
      <w:fldChar w:fldCharType="begin"/>
    </w:r>
    <w:r w:rsidR="00E73C85">
      <w:rPr>
        <w:rStyle w:val="PageNumber"/>
      </w:rPr>
      <w:instrText xml:space="preserve">PAGE  </w:instrText>
    </w:r>
    <w:r>
      <w:rPr>
        <w:rStyle w:val="PageNumber"/>
      </w:rPr>
      <w:fldChar w:fldCharType="separate"/>
    </w:r>
    <w:r w:rsidR="0044598F">
      <w:rPr>
        <w:rStyle w:val="PageNumber"/>
        <w:noProof/>
      </w:rPr>
      <w:t>1</w:t>
    </w:r>
    <w:r>
      <w:rPr>
        <w:rStyle w:val="PageNumber"/>
      </w:rPr>
      <w:fldChar w:fldCharType="end"/>
    </w:r>
  </w:p>
  <w:p w:rsidR="001C5ABF" w:rsidRDefault="001C5ABF">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5A0" w:rsidRDefault="004E05A0">
      <w:r>
        <w:separator/>
      </w:r>
    </w:p>
  </w:footnote>
  <w:footnote w:type="continuationSeparator" w:id="0">
    <w:p w:rsidR="004E05A0" w:rsidRDefault="004E0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478" w:rsidRPr="00FF7478" w:rsidRDefault="00FF7478" w:rsidP="00FF7478">
    <w:pPr>
      <w:pStyle w:val="Header"/>
      <w:tabs>
        <w:tab w:val="left" w:pos="397"/>
        <w:tab w:val="center" w:pos="5103"/>
        <w:tab w:val="left" w:pos="8306"/>
      </w:tabs>
      <w:bidi/>
      <w:rPr>
        <w:rFonts w:cs="Simplified Arabic"/>
        <w:b/>
        <w:bCs/>
        <w:sz w:val="6"/>
        <w:szCs w:val="6"/>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7FC"/>
    <w:multiLevelType w:val="hybridMultilevel"/>
    <w:tmpl w:val="59E64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283B9B"/>
    <w:multiLevelType w:val="hybridMultilevel"/>
    <w:tmpl w:val="ADB0EEF6"/>
    <w:lvl w:ilvl="0" w:tplc="04090001">
      <w:start w:val="1"/>
      <w:numFmt w:val="bullet"/>
      <w:lvlText w:val=""/>
      <w:lvlJc w:val="left"/>
      <w:pPr>
        <w:tabs>
          <w:tab w:val="num" w:pos="720"/>
        </w:tabs>
        <w:ind w:left="720" w:right="720" w:hanging="360"/>
      </w:pPr>
      <w:rPr>
        <w:rFonts w:ascii="Symbol" w:hAnsi="Symbol" w:hint="default"/>
      </w:rPr>
    </w:lvl>
    <w:lvl w:ilvl="1" w:tplc="04010001">
      <w:start w:val="1"/>
      <w:numFmt w:val="bullet"/>
      <w:lvlText w:val=""/>
      <w:lvlJc w:val="left"/>
      <w:pPr>
        <w:tabs>
          <w:tab w:val="num" w:pos="1440"/>
        </w:tabs>
        <w:ind w:left="1440" w:right="1440" w:hanging="360"/>
      </w:pPr>
      <w:rPr>
        <w:rFonts w:ascii="Symbol" w:hAnsi="Symbo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22AA08F9"/>
    <w:multiLevelType w:val="hybridMultilevel"/>
    <w:tmpl w:val="BADE858A"/>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22AA0F0E"/>
    <w:multiLevelType w:val="hybridMultilevel"/>
    <w:tmpl w:val="990001FE"/>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abstractNum w:abstractNumId="4">
    <w:nsid w:val="299F62CC"/>
    <w:multiLevelType w:val="hybridMultilevel"/>
    <w:tmpl w:val="FD3EC5A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58F87AD8"/>
    <w:multiLevelType w:val="hybridMultilevel"/>
    <w:tmpl w:val="E63C509A"/>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5E7B5914"/>
    <w:multiLevelType w:val="hybridMultilevel"/>
    <w:tmpl w:val="27007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0C079FC"/>
    <w:multiLevelType w:val="hybridMultilevel"/>
    <w:tmpl w:val="099AB984"/>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66EE01E4"/>
    <w:multiLevelType w:val="hybridMultilevel"/>
    <w:tmpl w:val="22CA2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A9A4A08"/>
    <w:multiLevelType w:val="hybridMultilevel"/>
    <w:tmpl w:val="72E09EC4"/>
    <w:lvl w:ilvl="0" w:tplc="EF227290">
      <w:start w:val="12"/>
      <w:numFmt w:val="bullet"/>
      <w:lvlText w:val="-"/>
      <w:lvlJc w:val="left"/>
      <w:pPr>
        <w:ind w:left="444" w:hanging="360"/>
      </w:pPr>
      <w:rPr>
        <w:rFonts w:ascii="Simplified Arabic" w:eastAsia="Times New Roman" w:hAnsi="Simplified Arabic" w:cs="Simplified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0">
    <w:nsid w:val="7C5C39D8"/>
    <w:multiLevelType w:val="hybridMultilevel"/>
    <w:tmpl w:val="AAC86362"/>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abstractNum w:abstractNumId="11">
    <w:nsid w:val="7ED20902"/>
    <w:multiLevelType w:val="hybridMultilevel"/>
    <w:tmpl w:val="7B503B02"/>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num w:numId="1">
    <w:abstractNumId w:val="1"/>
  </w:num>
  <w:num w:numId="2">
    <w:abstractNumId w:val="10"/>
  </w:num>
  <w:num w:numId="3">
    <w:abstractNumId w:val="11"/>
  </w:num>
  <w:num w:numId="4">
    <w:abstractNumId w:val="3"/>
  </w:num>
  <w:num w:numId="5">
    <w:abstractNumId w:val="7"/>
  </w:num>
  <w:num w:numId="6">
    <w:abstractNumId w:val="4"/>
  </w:num>
  <w:num w:numId="7">
    <w:abstractNumId w:val="5"/>
  </w:num>
  <w:num w:numId="8">
    <w:abstractNumId w:val="2"/>
  </w:num>
  <w:num w:numId="9">
    <w:abstractNumId w:val="9"/>
  </w:num>
  <w:num w:numId="10">
    <w:abstractNumId w:val="0"/>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14338"/>
  </w:hdrShapeDefaults>
  <w:footnotePr>
    <w:footnote w:id="-1"/>
    <w:footnote w:id="0"/>
  </w:footnotePr>
  <w:endnotePr>
    <w:numFmt w:val="lowerLetter"/>
    <w:endnote w:id="-1"/>
    <w:endnote w:id="0"/>
  </w:endnotePr>
  <w:compat>
    <w:balanceSingleByteDoubleByteWidth/>
    <w:doNotLeaveBackslashAlone/>
    <w:ulTrailSpace/>
    <w:doNotExpandShiftReturn/>
  </w:compat>
  <w:rsids>
    <w:rsidRoot w:val="00E73C85"/>
    <w:rsid w:val="000006CC"/>
    <w:rsid w:val="000014BF"/>
    <w:rsid w:val="00004B12"/>
    <w:rsid w:val="00015C83"/>
    <w:rsid w:val="00016BCB"/>
    <w:rsid w:val="000173A0"/>
    <w:rsid w:val="00023AD2"/>
    <w:rsid w:val="00024B89"/>
    <w:rsid w:val="00024D86"/>
    <w:rsid w:val="0002756D"/>
    <w:rsid w:val="00030C28"/>
    <w:rsid w:val="000357ED"/>
    <w:rsid w:val="000371AF"/>
    <w:rsid w:val="00051C98"/>
    <w:rsid w:val="000537E8"/>
    <w:rsid w:val="000544F0"/>
    <w:rsid w:val="00054F93"/>
    <w:rsid w:val="00056991"/>
    <w:rsid w:val="00061E46"/>
    <w:rsid w:val="00061E57"/>
    <w:rsid w:val="00072429"/>
    <w:rsid w:val="00075FFD"/>
    <w:rsid w:val="00076AB4"/>
    <w:rsid w:val="00080D3C"/>
    <w:rsid w:val="000831D4"/>
    <w:rsid w:val="00084EA2"/>
    <w:rsid w:val="00085F1D"/>
    <w:rsid w:val="0009115D"/>
    <w:rsid w:val="00094E52"/>
    <w:rsid w:val="00096540"/>
    <w:rsid w:val="00096977"/>
    <w:rsid w:val="00096BE9"/>
    <w:rsid w:val="000A01FA"/>
    <w:rsid w:val="000A03F4"/>
    <w:rsid w:val="000A1BB2"/>
    <w:rsid w:val="000A1E93"/>
    <w:rsid w:val="000A5435"/>
    <w:rsid w:val="000B115E"/>
    <w:rsid w:val="000B4409"/>
    <w:rsid w:val="000C0C36"/>
    <w:rsid w:val="000C46AC"/>
    <w:rsid w:val="000C4FEF"/>
    <w:rsid w:val="000C6E25"/>
    <w:rsid w:val="000D00C8"/>
    <w:rsid w:val="000D78DD"/>
    <w:rsid w:val="000E12FB"/>
    <w:rsid w:val="000F020D"/>
    <w:rsid w:val="000F3405"/>
    <w:rsid w:val="00102424"/>
    <w:rsid w:val="001054EF"/>
    <w:rsid w:val="001061B7"/>
    <w:rsid w:val="00107643"/>
    <w:rsid w:val="001079A8"/>
    <w:rsid w:val="00113A43"/>
    <w:rsid w:val="00115416"/>
    <w:rsid w:val="00124BA8"/>
    <w:rsid w:val="001305A6"/>
    <w:rsid w:val="001321FA"/>
    <w:rsid w:val="00144D81"/>
    <w:rsid w:val="00147EB4"/>
    <w:rsid w:val="00153BA5"/>
    <w:rsid w:val="0016310D"/>
    <w:rsid w:val="001643B2"/>
    <w:rsid w:val="001648B5"/>
    <w:rsid w:val="00164A0A"/>
    <w:rsid w:val="00172F2A"/>
    <w:rsid w:val="00175805"/>
    <w:rsid w:val="00183511"/>
    <w:rsid w:val="00183905"/>
    <w:rsid w:val="00186269"/>
    <w:rsid w:val="00194373"/>
    <w:rsid w:val="001956A8"/>
    <w:rsid w:val="001A0DDD"/>
    <w:rsid w:val="001A1AAE"/>
    <w:rsid w:val="001A5404"/>
    <w:rsid w:val="001A7853"/>
    <w:rsid w:val="001B0381"/>
    <w:rsid w:val="001B1C41"/>
    <w:rsid w:val="001B3144"/>
    <w:rsid w:val="001B44ED"/>
    <w:rsid w:val="001B4E88"/>
    <w:rsid w:val="001B546D"/>
    <w:rsid w:val="001B6995"/>
    <w:rsid w:val="001C13ED"/>
    <w:rsid w:val="001C2641"/>
    <w:rsid w:val="001C2B3D"/>
    <w:rsid w:val="001C4B9A"/>
    <w:rsid w:val="001C5ABF"/>
    <w:rsid w:val="001E0F6A"/>
    <w:rsid w:val="001E1A9E"/>
    <w:rsid w:val="001E2EEF"/>
    <w:rsid w:val="001E322D"/>
    <w:rsid w:val="001E3CB3"/>
    <w:rsid w:val="001F0EF9"/>
    <w:rsid w:val="001F42AD"/>
    <w:rsid w:val="001F6E77"/>
    <w:rsid w:val="001F7566"/>
    <w:rsid w:val="00202EC5"/>
    <w:rsid w:val="002049C7"/>
    <w:rsid w:val="00205F97"/>
    <w:rsid w:val="002124FF"/>
    <w:rsid w:val="00213A71"/>
    <w:rsid w:val="00220A9E"/>
    <w:rsid w:val="00227EA9"/>
    <w:rsid w:val="00234504"/>
    <w:rsid w:val="00241FD6"/>
    <w:rsid w:val="00242530"/>
    <w:rsid w:val="00243644"/>
    <w:rsid w:val="002451D5"/>
    <w:rsid w:val="002459E7"/>
    <w:rsid w:val="0025381D"/>
    <w:rsid w:val="00254CB6"/>
    <w:rsid w:val="00257BE5"/>
    <w:rsid w:val="00263E46"/>
    <w:rsid w:val="00266EEA"/>
    <w:rsid w:val="002708EB"/>
    <w:rsid w:val="002852CB"/>
    <w:rsid w:val="00287E70"/>
    <w:rsid w:val="002A5A10"/>
    <w:rsid w:val="002A626D"/>
    <w:rsid w:val="002A6981"/>
    <w:rsid w:val="002B21F3"/>
    <w:rsid w:val="002B3077"/>
    <w:rsid w:val="002C0358"/>
    <w:rsid w:val="002C6089"/>
    <w:rsid w:val="002D2CD0"/>
    <w:rsid w:val="002E0DC7"/>
    <w:rsid w:val="002E1D46"/>
    <w:rsid w:val="002E5347"/>
    <w:rsid w:val="002F15CB"/>
    <w:rsid w:val="002F2AF5"/>
    <w:rsid w:val="002F4BD2"/>
    <w:rsid w:val="002F51F2"/>
    <w:rsid w:val="002F72CB"/>
    <w:rsid w:val="002F7590"/>
    <w:rsid w:val="00307C79"/>
    <w:rsid w:val="00307F94"/>
    <w:rsid w:val="003121DB"/>
    <w:rsid w:val="00313F38"/>
    <w:rsid w:val="003141C8"/>
    <w:rsid w:val="0031659E"/>
    <w:rsid w:val="003236B6"/>
    <w:rsid w:val="003244A3"/>
    <w:rsid w:val="00332358"/>
    <w:rsid w:val="00336BAF"/>
    <w:rsid w:val="003374E2"/>
    <w:rsid w:val="00340D1F"/>
    <w:rsid w:val="00341C86"/>
    <w:rsid w:val="00342246"/>
    <w:rsid w:val="003430F3"/>
    <w:rsid w:val="00345182"/>
    <w:rsid w:val="003470AA"/>
    <w:rsid w:val="0035340B"/>
    <w:rsid w:val="00361C52"/>
    <w:rsid w:val="003658B7"/>
    <w:rsid w:val="00367178"/>
    <w:rsid w:val="003735BE"/>
    <w:rsid w:val="003769FD"/>
    <w:rsid w:val="0038021E"/>
    <w:rsid w:val="00387AE4"/>
    <w:rsid w:val="003925B6"/>
    <w:rsid w:val="003947AE"/>
    <w:rsid w:val="00395601"/>
    <w:rsid w:val="00397141"/>
    <w:rsid w:val="003A3214"/>
    <w:rsid w:val="003B4DE2"/>
    <w:rsid w:val="003B52AB"/>
    <w:rsid w:val="003C5296"/>
    <w:rsid w:val="003D447C"/>
    <w:rsid w:val="003E3009"/>
    <w:rsid w:val="003F1AA6"/>
    <w:rsid w:val="003F6144"/>
    <w:rsid w:val="00405D3E"/>
    <w:rsid w:val="00405FEB"/>
    <w:rsid w:val="0040715A"/>
    <w:rsid w:val="00412082"/>
    <w:rsid w:val="00431817"/>
    <w:rsid w:val="0043273C"/>
    <w:rsid w:val="004335D7"/>
    <w:rsid w:val="00434466"/>
    <w:rsid w:val="00437A54"/>
    <w:rsid w:val="0044182E"/>
    <w:rsid w:val="00442B7A"/>
    <w:rsid w:val="0044598F"/>
    <w:rsid w:val="00457CA7"/>
    <w:rsid w:val="00463FAD"/>
    <w:rsid w:val="0047123B"/>
    <w:rsid w:val="00472E51"/>
    <w:rsid w:val="004801F0"/>
    <w:rsid w:val="00480A34"/>
    <w:rsid w:val="00485B1B"/>
    <w:rsid w:val="00491610"/>
    <w:rsid w:val="0049540C"/>
    <w:rsid w:val="004A3A58"/>
    <w:rsid w:val="004B057F"/>
    <w:rsid w:val="004C0396"/>
    <w:rsid w:val="004C1576"/>
    <w:rsid w:val="004C21CD"/>
    <w:rsid w:val="004C50C3"/>
    <w:rsid w:val="004C5C47"/>
    <w:rsid w:val="004C6EF9"/>
    <w:rsid w:val="004E05A0"/>
    <w:rsid w:val="004E0FFE"/>
    <w:rsid w:val="004E3CC2"/>
    <w:rsid w:val="004E58B7"/>
    <w:rsid w:val="004E79E3"/>
    <w:rsid w:val="004F01D3"/>
    <w:rsid w:val="004F2885"/>
    <w:rsid w:val="004F7E60"/>
    <w:rsid w:val="00504D3F"/>
    <w:rsid w:val="005063A7"/>
    <w:rsid w:val="005104AB"/>
    <w:rsid w:val="0051557E"/>
    <w:rsid w:val="00526B23"/>
    <w:rsid w:val="00526C9C"/>
    <w:rsid w:val="005302C9"/>
    <w:rsid w:val="005418E5"/>
    <w:rsid w:val="00546CEF"/>
    <w:rsid w:val="00547E5A"/>
    <w:rsid w:val="00563ED9"/>
    <w:rsid w:val="00563EEA"/>
    <w:rsid w:val="005660B9"/>
    <w:rsid w:val="00571BD1"/>
    <w:rsid w:val="00573C5C"/>
    <w:rsid w:val="00576424"/>
    <w:rsid w:val="00577FD4"/>
    <w:rsid w:val="00580616"/>
    <w:rsid w:val="005846D6"/>
    <w:rsid w:val="00585D0A"/>
    <w:rsid w:val="00586332"/>
    <w:rsid w:val="00586CCB"/>
    <w:rsid w:val="00590923"/>
    <w:rsid w:val="005910F5"/>
    <w:rsid w:val="00593A03"/>
    <w:rsid w:val="005A0009"/>
    <w:rsid w:val="005A47D9"/>
    <w:rsid w:val="005A50E6"/>
    <w:rsid w:val="005B3CCF"/>
    <w:rsid w:val="005C221D"/>
    <w:rsid w:val="005C506F"/>
    <w:rsid w:val="005C76EE"/>
    <w:rsid w:val="005D2C2C"/>
    <w:rsid w:val="005D2CFD"/>
    <w:rsid w:val="005D3B90"/>
    <w:rsid w:val="005D6BF0"/>
    <w:rsid w:val="005E5AEF"/>
    <w:rsid w:val="005F04FF"/>
    <w:rsid w:val="005F12D2"/>
    <w:rsid w:val="005F1592"/>
    <w:rsid w:val="005F1C5D"/>
    <w:rsid w:val="00601C0B"/>
    <w:rsid w:val="006104DC"/>
    <w:rsid w:val="00615FE7"/>
    <w:rsid w:val="006206FC"/>
    <w:rsid w:val="00620E60"/>
    <w:rsid w:val="00622911"/>
    <w:rsid w:val="006243E6"/>
    <w:rsid w:val="00631979"/>
    <w:rsid w:val="00631CF4"/>
    <w:rsid w:val="00636515"/>
    <w:rsid w:val="00640556"/>
    <w:rsid w:val="00641D19"/>
    <w:rsid w:val="00642100"/>
    <w:rsid w:val="006426C7"/>
    <w:rsid w:val="00642CF2"/>
    <w:rsid w:val="00643C42"/>
    <w:rsid w:val="00644537"/>
    <w:rsid w:val="00651792"/>
    <w:rsid w:val="00652484"/>
    <w:rsid w:val="00654065"/>
    <w:rsid w:val="0065499C"/>
    <w:rsid w:val="00656918"/>
    <w:rsid w:val="00660A8E"/>
    <w:rsid w:val="006615A8"/>
    <w:rsid w:val="00664DDD"/>
    <w:rsid w:val="00667900"/>
    <w:rsid w:val="0067053A"/>
    <w:rsid w:val="00674A64"/>
    <w:rsid w:val="00677BD9"/>
    <w:rsid w:val="0068348C"/>
    <w:rsid w:val="006A27C1"/>
    <w:rsid w:val="006A74EA"/>
    <w:rsid w:val="006B2490"/>
    <w:rsid w:val="006B3189"/>
    <w:rsid w:val="006B3F11"/>
    <w:rsid w:val="006B5EAC"/>
    <w:rsid w:val="006C1D2D"/>
    <w:rsid w:val="006D0195"/>
    <w:rsid w:val="006D4CCC"/>
    <w:rsid w:val="006D594C"/>
    <w:rsid w:val="006D7FD8"/>
    <w:rsid w:val="006E21D8"/>
    <w:rsid w:val="006E6E56"/>
    <w:rsid w:val="006F28BF"/>
    <w:rsid w:val="006F310E"/>
    <w:rsid w:val="006F6B92"/>
    <w:rsid w:val="00706251"/>
    <w:rsid w:val="00711357"/>
    <w:rsid w:val="00711A1E"/>
    <w:rsid w:val="00714E3B"/>
    <w:rsid w:val="00715307"/>
    <w:rsid w:val="0071706C"/>
    <w:rsid w:val="00720808"/>
    <w:rsid w:val="00721873"/>
    <w:rsid w:val="007327C9"/>
    <w:rsid w:val="00732C43"/>
    <w:rsid w:val="00736542"/>
    <w:rsid w:val="00742828"/>
    <w:rsid w:val="0074290C"/>
    <w:rsid w:val="00743935"/>
    <w:rsid w:val="00743FF5"/>
    <w:rsid w:val="0074422C"/>
    <w:rsid w:val="00754003"/>
    <w:rsid w:val="0076714A"/>
    <w:rsid w:val="007673A1"/>
    <w:rsid w:val="007725FD"/>
    <w:rsid w:val="00773AE7"/>
    <w:rsid w:val="007747C0"/>
    <w:rsid w:val="007758FE"/>
    <w:rsid w:val="0078526A"/>
    <w:rsid w:val="00792926"/>
    <w:rsid w:val="007954F7"/>
    <w:rsid w:val="00795739"/>
    <w:rsid w:val="0079773C"/>
    <w:rsid w:val="007A1077"/>
    <w:rsid w:val="007A42B0"/>
    <w:rsid w:val="007A5023"/>
    <w:rsid w:val="007A6C56"/>
    <w:rsid w:val="007B540C"/>
    <w:rsid w:val="007C39CA"/>
    <w:rsid w:val="007C6A15"/>
    <w:rsid w:val="007C7FC3"/>
    <w:rsid w:val="007D03F2"/>
    <w:rsid w:val="007D5315"/>
    <w:rsid w:val="007E0896"/>
    <w:rsid w:val="007E172D"/>
    <w:rsid w:val="007E2D62"/>
    <w:rsid w:val="007E473B"/>
    <w:rsid w:val="007E779C"/>
    <w:rsid w:val="007F0F56"/>
    <w:rsid w:val="007F11B5"/>
    <w:rsid w:val="007F1363"/>
    <w:rsid w:val="007F1710"/>
    <w:rsid w:val="007F7BB1"/>
    <w:rsid w:val="00802140"/>
    <w:rsid w:val="00804F0F"/>
    <w:rsid w:val="00805A25"/>
    <w:rsid w:val="00810EC0"/>
    <w:rsid w:val="00814F40"/>
    <w:rsid w:val="00816C1A"/>
    <w:rsid w:val="00820663"/>
    <w:rsid w:val="008240B7"/>
    <w:rsid w:val="00832788"/>
    <w:rsid w:val="00833CC3"/>
    <w:rsid w:val="0083701E"/>
    <w:rsid w:val="0083752A"/>
    <w:rsid w:val="00846160"/>
    <w:rsid w:val="00846934"/>
    <w:rsid w:val="0084752D"/>
    <w:rsid w:val="00850F1C"/>
    <w:rsid w:val="00852485"/>
    <w:rsid w:val="00854C6B"/>
    <w:rsid w:val="00864CE0"/>
    <w:rsid w:val="0086640A"/>
    <w:rsid w:val="00867BAD"/>
    <w:rsid w:val="00867DE8"/>
    <w:rsid w:val="0087202C"/>
    <w:rsid w:val="00874ACB"/>
    <w:rsid w:val="00875371"/>
    <w:rsid w:val="00876FBD"/>
    <w:rsid w:val="00883CE9"/>
    <w:rsid w:val="00887370"/>
    <w:rsid w:val="008875E2"/>
    <w:rsid w:val="00890F40"/>
    <w:rsid w:val="00892A3F"/>
    <w:rsid w:val="00893B05"/>
    <w:rsid w:val="008A112D"/>
    <w:rsid w:val="008A1ABF"/>
    <w:rsid w:val="008A517A"/>
    <w:rsid w:val="008B4B00"/>
    <w:rsid w:val="008B6DD1"/>
    <w:rsid w:val="008C3C43"/>
    <w:rsid w:val="008C4C05"/>
    <w:rsid w:val="008C7DEC"/>
    <w:rsid w:val="008D2C5B"/>
    <w:rsid w:val="008D3D83"/>
    <w:rsid w:val="008D5D25"/>
    <w:rsid w:val="008D5EC8"/>
    <w:rsid w:val="008E26A7"/>
    <w:rsid w:val="008E27C5"/>
    <w:rsid w:val="008E3047"/>
    <w:rsid w:val="008F2707"/>
    <w:rsid w:val="0090199B"/>
    <w:rsid w:val="00907B35"/>
    <w:rsid w:val="009125B6"/>
    <w:rsid w:val="009138D7"/>
    <w:rsid w:val="00917277"/>
    <w:rsid w:val="009179FD"/>
    <w:rsid w:val="00935049"/>
    <w:rsid w:val="00936124"/>
    <w:rsid w:val="00937113"/>
    <w:rsid w:val="00942671"/>
    <w:rsid w:val="0094267F"/>
    <w:rsid w:val="00946D5F"/>
    <w:rsid w:val="009536FE"/>
    <w:rsid w:val="009559BD"/>
    <w:rsid w:val="0095743A"/>
    <w:rsid w:val="009578EC"/>
    <w:rsid w:val="0096018F"/>
    <w:rsid w:val="00963FC2"/>
    <w:rsid w:val="009640C6"/>
    <w:rsid w:val="009654A0"/>
    <w:rsid w:val="009669F1"/>
    <w:rsid w:val="009709D1"/>
    <w:rsid w:val="0097722A"/>
    <w:rsid w:val="009861EA"/>
    <w:rsid w:val="009907EE"/>
    <w:rsid w:val="009930DA"/>
    <w:rsid w:val="00993317"/>
    <w:rsid w:val="00995D89"/>
    <w:rsid w:val="009A5868"/>
    <w:rsid w:val="009B41B0"/>
    <w:rsid w:val="009B4DB0"/>
    <w:rsid w:val="009B5D92"/>
    <w:rsid w:val="009C040E"/>
    <w:rsid w:val="009C074E"/>
    <w:rsid w:val="009C0E2A"/>
    <w:rsid w:val="009C0FE6"/>
    <w:rsid w:val="009C4A72"/>
    <w:rsid w:val="009C4C77"/>
    <w:rsid w:val="009C5DE7"/>
    <w:rsid w:val="009C66B2"/>
    <w:rsid w:val="009E330C"/>
    <w:rsid w:val="009E5C3A"/>
    <w:rsid w:val="00A01868"/>
    <w:rsid w:val="00A01D63"/>
    <w:rsid w:val="00A035E2"/>
    <w:rsid w:val="00A05312"/>
    <w:rsid w:val="00A147F3"/>
    <w:rsid w:val="00A14E77"/>
    <w:rsid w:val="00A1617A"/>
    <w:rsid w:val="00A2428A"/>
    <w:rsid w:val="00A31651"/>
    <w:rsid w:val="00A32F37"/>
    <w:rsid w:val="00A44BC4"/>
    <w:rsid w:val="00A465A4"/>
    <w:rsid w:val="00A56798"/>
    <w:rsid w:val="00A665F8"/>
    <w:rsid w:val="00A67976"/>
    <w:rsid w:val="00A72D47"/>
    <w:rsid w:val="00A8426D"/>
    <w:rsid w:val="00A84ADF"/>
    <w:rsid w:val="00A851AD"/>
    <w:rsid w:val="00A867E3"/>
    <w:rsid w:val="00A87857"/>
    <w:rsid w:val="00A90084"/>
    <w:rsid w:val="00AA3725"/>
    <w:rsid w:val="00AB0CAD"/>
    <w:rsid w:val="00AB6FC3"/>
    <w:rsid w:val="00AB7A27"/>
    <w:rsid w:val="00AC3E33"/>
    <w:rsid w:val="00AD04D0"/>
    <w:rsid w:val="00AD2B0B"/>
    <w:rsid w:val="00AD3AC5"/>
    <w:rsid w:val="00AD58D9"/>
    <w:rsid w:val="00AD71AE"/>
    <w:rsid w:val="00AE3DC1"/>
    <w:rsid w:val="00AE4993"/>
    <w:rsid w:val="00AE74FE"/>
    <w:rsid w:val="00B03936"/>
    <w:rsid w:val="00B05DFA"/>
    <w:rsid w:val="00B067C5"/>
    <w:rsid w:val="00B06F41"/>
    <w:rsid w:val="00B12B8F"/>
    <w:rsid w:val="00B15C59"/>
    <w:rsid w:val="00B20E1B"/>
    <w:rsid w:val="00B217E4"/>
    <w:rsid w:val="00B30F44"/>
    <w:rsid w:val="00B31079"/>
    <w:rsid w:val="00B32B44"/>
    <w:rsid w:val="00B4194B"/>
    <w:rsid w:val="00B448B6"/>
    <w:rsid w:val="00B52430"/>
    <w:rsid w:val="00B54FCD"/>
    <w:rsid w:val="00B6142A"/>
    <w:rsid w:val="00B66657"/>
    <w:rsid w:val="00B6763D"/>
    <w:rsid w:val="00B6770C"/>
    <w:rsid w:val="00B713D0"/>
    <w:rsid w:val="00B73A9A"/>
    <w:rsid w:val="00B77090"/>
    <w:rsid w:val="00B77ADA"/>
    <w:rsid w:val="00B840C1"/>
    <w:rsid w:val="00B8777A"/>
    <w:rsid w:val="00B94D1F"/>
    <w:rsid w:val="00B95A2B"/>
    <w:rsid w:val="00BD2D86"/>
    <w:rsid w:val="00BD70F7"/>
    <w:rsid w:val="00BE09B4"/>
    <w:rsid w:val="00BE1D84"/>
    <w:rsid w:val="00BF38D6"/>
    <w:rsid w:val="00BF3C6A"/>
    <w:rsid w:val="00BF7CC2"/>
    <w:rsid w:val="00C0013C"/>
    <w:rsid w:val="00C13E19"/>
    <w:rsid w:val="00C1582B"/>
    <w:rsid w:val="00C22BF9"/>
    <w:rsid w:val="00C22E04"/>
    <w:rsid w:val="00C27B68"/>
    <w:rsid w:val="00C459D0"/>
    <w:rsid w:val="00C517BA"/>
    <w:rsid w:val="00C5217A"/>
    <w:rsid w:val="00C55DBF"/>
    <w:rsid w:val="00C604E1"/>
    <w:rsid w:val="00C65924"/>
    <w:rsid w:val="00C70470"/>
    <w:rsid w:val="00C75955"/>
    <w:rsid w:val="00C83E80"/>
    <w:rsid w:val="00CA39ED"/>
    <w:rsid w:val="00CB2F37"/>
    <w:rsid w:val="00CB4780"/>
    <w:rsid w:val="00CB5060"/>
    <w:rsid w:val="00CB57DD"/>
    <w:rsid w:val="00CC0446"/>
    <w:rsid w:val="00CD17A6"/>
    <w:rsid w:val="00CD47A8"/>
    <w:rsid w:val="00CD54EE"/>
    <w:rsid w:val="00CD5E62"/>
    <w:rsid w:val="00CE4DED"/>
    <w:rsid w:val="00CF203D"/>
    <w:rsid w:val="00CF68D8"/>
    <w:rsid w:val="00D010B0"/>
    <w:rsid w:val="00D026C6"/>
    <w:rsid w:val="00D07917"/>
    <w:rsid w:val="00D115D0"/>
    <w:rsid w:val="00D144B6"/>
    <w:rsid w:val="00D14EF1"/>
    <w:rsid w:val="00D153F5"/>
    <w:rsid w:val="00D2127E"/>
    <w:rsid w:val="00D444F8"/>
    <w:rsid w:val="00D4647B"/>
    <w:rsid w:val="00D50A66"/>
    <w:rsid w:val="00D50BA3"/>
    <w:rsid w:val="00D55401"/>
    <w:rsid w:val="00D62B11"/>
    <w:rsid w:val="00D729A2"/>
    <w:rsid w:val="00D74CEC"/>
    <w:rsid w:val="00D74DDD"/>
    <w:rsid w:val="00D81FE2"/>
    <w:rsid w:val="00D8706A"/>
    <w:rsid w:val="00D97A95"/>
    <w:rsid w:val="00DB30B8"/>
    <w:rsid w:val="00DB58AA"/>
    <w:rsid w:val="00DB5DC1"/>
    <w:rsid w:val="00DC1AF0"/>
    <w:rsid w:val="00DD6421"/>
    <w:rsid w:val="00DD7907"/>
    <w:rsid w:val="00DE426D"/>
    <w:rsid w:val="00DE4A9A"/>
    <w:rsid w:val="00DE4CD6"/>
    <w:rsid w:val="00DF04FB"/>
    <w:rsid w:val="00DF510B"/>
    <w:rsid w:val="00DF56FB"/>
    <w:rsid w:val="00E03A6B"/>
    <w:rsid w:val="00E0494F"/>
    <w:rsid w:val="00E057E6"/>
    <w:rsid w:val="00E05DD7"/>
    <w:rsid w:val="00E06D92"/>
    <w:rsid w:val="00E108FA"/>
    <w:rsid w:val="00E11718"/>
    <w:rsid w:val="00E16051"/>
    <w:rsid w:val="00E16AC2"/>
    <w:rsid w:val="00E1790C"/>
    <w:rsid w:val="00E312AB"/>
    <w:rsid w:val="00E32733"/>
    <w:rsid w:val="00E46476"/>
    <w:rsid w:val="00E51F81"/>
    <w:rsid w:val="00E54BE6"/>
    <w:rsid w:val="00E574A4"/>
    <w:rsid w:val="00E60C98"/>
    <w:rsid w:val="00E6116A"/>
    <w:rsid w:val="00E61DBC"/>
    <w:rsid w:val="00E706B8"/>
    <w:rsid w:val="00E73751"/>
    <w:rsid w:val="00E73C85"/>
    <w:rsid w:val="00E768E4"/>
    <w:rsid w:val="00E84B29"/>
    <w:rsid w:val="00E9387D"/>
    <w:rsid w:val="00E94E6F"/>
    <w:rsid w:val="00E955FC"/>
    <w:rsid w:val="00E95C1A"/>
    <w:rsid w:val="00EA0880"/>
    <w:rsid w:val="00EA670C"/>
    <w:rsid w:val="00EA696A"/>
    <w:rsid w:val="00EC0E55"/>
    <w:rsid w:val="00EC5A0F"/>
    <w:rsid w:val="00EC671A"/>
    <w:rsid w:val="00ED02F6"/>
    <w:rsid w:val="00ED2FF6"/>
    <w:rsid w:val="00ED3675"/>
    <w:rsid w:val="00EE2205"/>
    <w:rsid w:val="00EE3400"/>
    <w:rsid w:val="00EE4BC9"/>
    <w:rsid w:val="00EE5E4A"/>
    <w:rsid w:val="00EE6500"/>
    <w:rsid w:val="00EF606D"/>
    <w:rsid w:val="00F0076F"/>
    <w:rsid w:val="00F055A2"/>
    <w:rsid w:val="00F161F7"/>
    <w:rsid w:val="00F306E3"/>
    <w:rsid w:val="00F37D7D"/>
    <w:rsid w:val="00F40607"/>
    <w:rsid w:val="00F40CC0"/>
    <w:rsid w:val="00F46121"/>
    <w:rsid w:val="00F529A1"/>
    <w:rsid w:val="00F53BBE"/>
    <w:rsid w:val="00F61B2B"/>
    <w:rsid w:val="00F64E97"/>
    <w:rsid w:val="00F654FC"/>
    <w:rsid w:val="00F762BE"/>
    <w:rsid w:val="00F83F97"/>
    <w:rsid w:val="00F851C3"/>
    <w:rsid w:val="00F92878"/>
    <w:rsid w:val="00F96B23"/>
    <w:rsid w:val="00F97302"/>
    <w:rsid w:val="00FA1398"/>
    <w:rsid w:val="00FA37E5"/>
    <w:rsid w:val="00FA525F"/>
    <w:rsid w:val="00FA7503"/>
    <w:rsid w:val="00FA788B"/>
    <w:rsid w:val="00FB1256"/>
    <w:rsid w:val="00FC0021"/>
    <w:rsid w:val="00FC10AE"/>
    <w:rsid w:val="00FC10EC"/>
    <w:rsid w:val="00FC2CBF"/>
    <w:rsid w:val="00FC60B1"/>
    <w:rsid w:val="00FD154B"/>
    <w:rsid w:val="00FD21EF"/>
    <w:rsid w:val="00FE340C"/>
    <w:rsid w:val="00FE438C"/>
    <w:rsid w:val="00FE66C7"/>
    <w:rsid w:val="00FF2544"/>
    <w:rsid w:val="00FF4838"/>
    <w:rsid w:val="00FF74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BF"/>
    <w:pPr>
      <w:overflowPunct w:val="0"/>
      <w:autoSpaceDE w:val="0"/>
      <w:autoSpaceDN w:val="0"/>
      <w:adjustRightInd w:val="0"/>
      <w:textAlignment w:val="baseline"/>
    </w:pPr>
  </w:style>
  <w:style w:type="paragraph" w:styleId="Heading1">
    <w:name w:val="heading 1"/>
    <w:basedOn w:val="Normal"/>
    <w:next w:val="Normal"/>
    <w:qFormat/>
    <w:rsid w:val="001C5ABF"/>
    <w:pPr>
      <w:keepNext/>
      <w:bidi/>
      <w:outlineLvl w:val="0"/>
    </w:pPr>
    <w:rPr>
      <w:rFonts w:cs="Simplified Arabic"/>
      <w:sz w:val="24"/>
      <w:szCs w:val="24"/>
    </w:rPr>
  </w:style>
  <w:style w:type="paragraph" w:styleId="Heading2">
    <w:name w:val="heading 2"/>
    <w:basedOn w:val="Normal"/>
    <w:next w:val="Normal"/>
    <w:qFormat/>
    <w:rsid w:val="001C5ABF"/>
    <w:pPr>
      <w:keepNext/>
      <w:bidi/>
      <w:jc w:val="both"/>
      <w:outlineLvl w:val="1"/>
    </w:pPr>
    <w:rPr>
      <w:rFonts w:cs="Simplified Arabic"/>
      <w:b/>
      <w:bCs/>
      <w:i/>
      <w:iCs/>
      <w:sz w:val="32"/>
      <w:szCs w:val="32"/>
    </w:rPr>
  </w:style>
  <w:style w:type="paragraph" w:styleId="Heading3">
    <w:name w:val="heading 3"/>
    <w:basedOn w:val="Normal"/>
    <w:next w:val="Normal"/>
    <w:qFormat/>
    <w:rsid w:val="001C5ABF"/>
    <w:pPr>
      <w:keepNext/>
      <w:bidi/>
      <w:jc w:val="both"/>
      <w:outlineLvl w:val="2"/>
    </w:pPr>
    <w:rPr>
      <w:rFonts w:cs="Simplified Arabic"/>
      <w:b/>
      <w:bCs/>
      <w:sz w:val="32"/>
      <w:szCs w:val="32"/>
    </w:rPr>
  </w:style>
  <w:style w:type="paragraph" w:styleId="Heading4">
    <w:name w:val="heading 4"/>
    <w:basedOn w:val="Normal"/>
    <w:next w:val="Normal"/>
    <w:qFormat/>
    <w:rsid w:val="001C5ABF"/>
    <w:pPr>
      <w:keepNext/>
      <w:bidi/>
      <w:jc w:val="both"/>
      <w:outlineLvl w:val="3"/>
    </w:pPr>
    <w:rPr>
      <w:rFonts w:cs="Simplified Arabic"/>
      <w:b/>
      <w:bCs/>
      <w:sz w:val="36"/>
      <w:szCs w:val="36"/>
    </w:rPr>
  </w:style>
  <w:style w:type="paragraph" w:styleId="Heading5">
    <w:name w:val="heading 5"/>
    <w:basedOn w:val="Normal"/>
    <w:next w:val="Normal"/>
    <w:qFormat/>
    <w:rsid w:val="001C5ABF"/>
    <w:pPr>
      <w:keepNext/>
      <w:bidi/>
      <w:jc w:val="both"/>
      <w:outlineLvl w:val="4"/>
    </w:pPr>
    <w:rPr>
      <w:rFonts w:cs="Simplified Arabic"/>
      <w:b/>
      <w:bCs/>
      <w:i/>
      <w:iCs/>
      <w:sz w:val="36"/>
      <w:szCs w:val="36"/>
    </w:rPr>
  </w:style>
  <w:style w:type="paragraph" w:styleId="Heading6">
    <w:name w:val="heading 6"/>
    <w:basedOn w:val="Normal"/>
    <w:next w:val="Normal"/>
    <w:qFormat/>
    <w:rsid w:val="001C5ABF"/>
    <w:pPr>
      <w:keepNext/>
      <w:jc w:val="center"/>
      <w:outlineLvl w:val="5"/>
    </w:pPr>
    <w:rPr>
      <w:rFonts w:cs="Simplified Arabic"/>
      <w:b/>
      <w:bCs/>
      <w:i/>
      <w:iCs/>
      <w:sz w:val="28"/>
      <w:szCs w:val="28"/>
    </w:rPr>
  </w:style>
  <w:style w:type="paragraph" w:styleId="Heading7">
    <w:name w:val="heading 7"/>
    <w:basedOn w:val="Normal"/>
    <w:next w:val="Normal"/>
    <w:link w:val="Heading7Char"/>
    <w:qFormat/>
    <w:rsid w:val="001C5ABF"/>
    <w:pPr>
      <w:keepNext/>
      <w:overflowPunct/>
      <w:autoSpaceDE/>
      <w:autoSpaceDN/>
      <w:bidi/>
      <w:adjustRightInd/>
      <w:jc w:val="center"/>
      <w:textAlignment w:val="auto"/>
      <w:outlineLvl w:val="6"/>
    </w:pPr>
    <w:rPr>
      <w:rFonts w:cs="Simplified Arabic"/>
      <w:b/>
      <w:bCs/>
      <w:noProof/>
      <w:szCs w:val="32"/>
    </w:rPr>
  </w:style>
  <w:style w:type="paragraph" w:styleId="Heading8">
    <w:name w:val="heading 8"/>
    <w:basedOn w:val="Normal"/>
    <w:next w:val="Normal"/>
    <w:qFormat/>
    <w:rsid w:val="001C5ABF"/>
    <w:pPr>
      <w:keepNext/>
      <w:overflowPunct/>
      <w:autoSpaceDE/>
      <w:autoSpaceDN/>
      <w:adjustRightInd/>
      <w:jc w:val="center"/>
      <w:textAlignment w:val="auto"/>
      <w:outlineLvl w:val="7"/>
    </w:pPr>
    <w:rPr>
      <w:rFonts w:cs="Traditional Arabic"/>
      <w:b/>
      <w:bCs/>
      <w:noProof/>
      <w:sz w:val="28"/>
      <w:szCs w:val="22"/>
    </w:rPr>
  </w:style>
  <w:style w:type="paragraph" w:styleId="Heading9">
    <w:name w:val="heading 9"/>
    <w:basedOn w:val="Normal"/>
    <w:next w:val="Normal"/>
    <w:qFormat/>
    <w:rsid w:val="001C5ABF"/>
    <w:pPr>
      <w:keepNext/>
      <w:overflowPunct/>
      <w:autoSpaceDE/>
      <w:autoSpaceDN/>
      <w:bidi/>
      <w:adjustRightInd/>
      <w:spacing w:line="480" w:lineRule="exact"/>
      <w:ind w:left="318"/>
      <w:jc w:val="center"/>
      <w:textAlignment w:val="auto"/>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5ABF"/>
    <w:pPr>
      <w:tabs>
        <w:tab w:val="center" w:pos="4153"/>
        <w:tab w:val="right" w:pos="8306"/>
      </w:tabs>
    </w:pPr>
  </w:style>
  <w:style w:type="paragraph" w:styleId="Footer">
    <w:name w:val="footer"/>
    <w:basedOn w:val="Normal"/>
    <w:semiHidden/>
    <w:rsid w:val="001C5ABF"/>
    <w:pPr>
      <w:tabs>
        <w:tab w:val="center" w:pos="4153"/>
        <w:tab w:val="right" w:pos="8306"/>
      </w:tabs>
    </w:pPr>
  </w:style>
  <w:style w:type="paragraph" w:styleId="BodyText">
    <w:name w:val="Body Text"/>
    <w:basedOn w:val="Normal"/>
    <w:semiHidden/>
    <w:rsid w:val="001C5ABF"/>
    <w:pPr>
      <w:bidi/>
      <w:jc w:val="center"/>
    </w:pPr>
    <w:rPr>
      <w:rFonts w:cs="Simplified Arabic"/>
      <w:b/>
      <w:bCs/>
      <w:sz w:val="36"/>
      <w:szCs w:val="36"/>
    </w:rPr>
  </w:style>
  <w:style w:type="paragraph" w:styleId="FootnoteText">
    <w:name w:val="footnote text"/>
    <w:aliases w:val="single space,Sharp - Footnote Text,Footnote Text - Sharp Char Char,Footnote Text - Sharp Char,FOOTNOTES,fn"/>
    <w:basedOn w:val="Normal"/>
    <w:link w:val="FootnoteTextChar"/>
    <w:uiPriority w:val="99"/>
    <w:rsid w:val="001C5ABF"/>
  </w:style>
  <w:style w:type="character" w:styleId="FootnoteReference">
    <w:name w:val="footnote reference"/>
    <w:aliases w:val="ftref"/>
    <w:basedOn w:val="DefaultParagraphFont"/>
    <w:uiPriority w:val="99"/>
    <w:rsid w:val="001C5ABF"/>
    <w:rPr>
      <w:vertAlign w:val="superscript"/>
    </w:rPr>
  </w:style>
  <w:style w:type="paragraph" w:styleId="Title">
    <w:name w:val="Title"/>
    <w:basedOn w:val="Normal"/>
    <w:link w:val="TitleChar"/>
    <w:qFormat/>
    <w:rsid w:val="001C5ABF"/>
    <w:pPr>
      <w:overflowPunct/>
      <w:autoSpaceDE/>
      <w:autoSpaceDN/>
      <w:bidi/>
      <w:adjustRightInd/>
      <w:jc w:val="center"/>
      <w:textAlignment w:val="auto"/>
    </w:pPr>
    <w:rPr>
      <w:rFonts w:cs="Simplified Arabic"/>
      <w:b/>
      <w:bCs/>
      <w:noProof/>
      <w:sz w:val="32"/>
      <w:szCs w:val="28"/>
    </w:rPr>
  </w:style>
  <w:style w:type="character" w:styleId="PageNumber">
    <w:name w:val="page number"/>
    <w:basedOn w:val="DefaultParagraphFont"/>
    <w:semiHidden/>
    <w:rsid w:val="001C5ABF"/>
  </w:style>
  <w:style w:type="paragraph" w:styleId="BodyText2">
    <w:name w:val="Body Text 2"/>
    <w:basedOn w:val="Normal"/>
    <w:semiHidden/>
    <w:rsid w:val="001C5ABF"/>
    <w:pPr>
      <w:bidi/>
    </w:pPr>
    <w:rPr>
      <w:rFonts w:cs="Simplified Arabic"/>
      <w:b/>
      <w:bCs/>
      <w:i/>
      <w:iCs/>
      <w:sz w:val="28"/>
      <w:szCs w:val="28"/>
    </w:rPr>
  </w:style>
  <w:style w:type="paragraph" w:styleId="BodyText3">
    <w:name w:val="Body Text 3"/>
    <w:basedOn w:val="Normal"/>
    <w:semiHidden/>
    <w:rsid w:val="001C5ABF"/>
    <w:pPr>
      <w:bidi/>
      <w:jc w:val="lowKashida"/>
    </w:pPr>
    <w:rPr>
      <w:rFonts w:cs="Simplified Arabic"/>
      <w:sz w:val="26"/>
      <w:szCs w:val="26"/>
    </w:rPr>
  </w:style>
  <w:style w:type="paragraph" w:styleId="BodyTextIndent">
    <w:name w:val="Body Text Indent"/>
    <w:basedOn w:val="Normal"/>
    <w:semiHidden/>
    <w:rsid w:val="001C5ABF"/>
    <w:pPr>
      <w:overflowPunct/>
      <w:autoSpaceDE/>
      <w:autoSpaceDN/>
      <w:bidi/>
      <w:adjustRightInd/>
      <w:jc w:val="lowKashida"/>
      <w:textAlignment w:val="auto"/>
    </w:pPr>
    <w:rPr>
      <w:rFonts w:cs="Simplified Arabic"/>
      <w:snapToGrid w:val="0"/>
      <w:sz w:val="24"/>
    </w:rPr>
  </w:style>
  <w:style w:type="paragraph" w:styleId="Subtitle">
    <w:name w:val="Subtitle"/>
    <w:basedOn w:val="Normal"/>
    <w:qFormat/>
    <w:rsid w:val="001C5ABF"/>
    <w:pPr>
      <w:bidi/>
      <w:jc w:val="center"/>
    </w:pPr>
    <w:rPr>
      <w:rFonts w:cs="Simplified Arabic"/>
      <w:i/>
      <w:iCs/>
      <w:sz w:val="24"/>
      <w:szCs w:val="24"/>
    </w:rPr>
  </w:style>
  <w:style w:type="paragraph" w:styleId="NormalWeb">
    <w:name w:val="Normal (Web)"/>
    <w:basedOn w:val="Normal"/>
    <w:semiHidden/>
    <w:rsid w:val="001C5ABF"/>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ar-SA"/>
    </w:rPr>
  </w:style>
  <w:style w:type="paragraph" w:styleId="BalloonText">
    <w:name w:val="Balloon Text"/>
    <w:basedOn w:val="Normal"/>
    <w:link w:val="BalloonTextChar"/>
    <w:uiPriority w:val="99"/>
    <w:semiHidden/>
    <w:unhideWhenUsed/>
    <w:rsid w:val="00BE1D84"/>
    <w:rPr>
      <w:rFonts w:ascii="Tahoma" w:hAnsi="Tahoma" w:cs="Tahoma"/>
      <w:sz w:val="16"/>
      <w:szCs w:val="16"/>
    </w:rPr>
  </w:style>
  <w:style w:type="character" w:customStyle="1" w:styleId="BalloonTextChar">
    <w:name w:val="Balloon Text Char"/>
    <w:basedOn w:val="DefaultParagraphFont"/>
    <w:link w:val="BalloonText"/>
    <w:uiPriority w:val="99"/>
    <w:semiHidden/>
    <w:rsid w:val="00BE1D84"/>
    <w:rPr>
      <w:rFonts w:ascii="Tahoma" w:hAnsi="Tahoma" w:cs="Tahoma"/>
      <w:sz w:val="16"/>
      <w:szCs w:val="16"/>
    </w:rPr>
  </w:style>
  <w:style w:type="character" w:customStyle="1" w:styleId="HeaderChar">
    <w:name w:val="Header Char"/>
    <w:basedOn w:val="DefaultParagraphFont"/>
    <w:link w:val="Header"/>
    <w:rsid w:val="003430F3"/>
  </w:style>
  <w:style w:type="paragraph" w:styleId="ListParagraph">
    <w:name w:val="List Paragraph"/>
    <w:basedOn w:val="Normal"/>
    <w:uiPriority w:val="34"/>
    <w:qFormat/>
    <w:rsid w:val="00397141"/>
    <w:pPr>
      <w:overflowPunct/>
      <w:autoSpaceDE/>
      <w:autoSpaceDN/>
      <w:bidi/>
      <w:adjustRightInd/>
      <w:ind w:left="720"/>
      <w:contextualSpacing/>
      <w:textAlignment w:val="auto"/>
    </w:pPr>
    <w:rPr>
      <w:sz w:val="24"/>
      <w:szCs w:val="24"/>
      <w:lang w:eastAsia="ar-SA"/>
    </w:rPr>
  </w:style>
  <w:style w:type="character" w:customStyle="1" w:styleId="TitleChar">
    <w:name w:val="Title Char"/>
    <w:basedOn w:val="DefaultParagraphFont"/>
    <w:link w:val="Title"/>
    <w:rsid w:val="00096BE9"/>
    <w:rPr>
      <w:rFonts w:cs="Simplified Arabic"/>
      <w:b/>
      <w:bCs/>
      <w:noProof/>
      <w:sz w:val="32"/>
      <w:szCs w:val="28"/>
    </w:rPr>
  </w:style>
  <w:style w:type="character" w:styleId="Strong">
    <w:name w:val="Strong"/>
    <w:basedOn w:val="DefaultParagraphFont"/>
    <w:uiPriority w:val="22"/>
    <w:qFormat/>
    <w:rsid w:val="002D2CD0"/>
    <w:rPr>
      <w:b/>
      <w:bCs/>
    </w:rPr>
  </w:style>
  <w:style w:type="character" w:customStyle="1" w:styleId="FootnoteTextChar">
    <w:name w:val="Footnote Text Char"/>
    <w:aliases w:val="single space Char,Sharp - Footnote Text Char,Footnote Text - Sharp Char Char Char,Footnote Text - Sharp Char Char1,FOOTNOTES Char,fn Char"/>
    <w:basedOn w:val="DefaultParagraphFont"/>
    <w:link w:val="FootnoteText"/>
    <w:uiPriority w:val="99"/>
    <w:rsid w:val="00096977"/>
  </w:style>
  <w:style w:type="character" w:customStyle="1" w:styleId="Heading7Char">
    <w:name w:val="Heading 7 Char"/>
    <w:basedOn w:val="DefaultParagraphFont"/>
    <w:link w:val="Heading7"/>
    <w:uiPriority w:val="9"/>
    <w:rsid w:val="000357ED"/>
    <w:rPr>
      <w:rFonts w:cs="Simplified Arabic"/>
      <w:b/>
      <w:bCs/>
      <w:noProof/>
      <w:szCs w:val="32"/>
    </w:rPr>
  </w:style>
  <w:style w:type="character" w:styleId="Hyperlink">
    <w:name w:val="Hyperlink"/>
    <w:basedOn w:val="DefaultParagraphFont"/>
    <w:uiPriority w:val="99"/>
    <w:unhideWhenUsed/>
    <w:rsid w:val="000357ED"/>
    <w:rPr>
      <w:color w:val="0000FF"/>
      <w:u w:val="single"/>
    </w:rPr>
  </w:style>
  <w:style w:type="table" w:styleId="TableGrid">
    <w:name w:val="Table Grid"/>
    <w:basedOn w:val="TableNormal"/>
    <w:uiPriority w:val="59"/>
    <w:rsid w:val="004C5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D153F5"/>
  </w:style>
  <w:style w:type="character" w:customStyle="1" w:styleId="apple-converted-space">
    <w:name w:val="apple-converted-space"/>
    <w:basedOn w:val="DefaultParagraphFont"/>
    <w:rsid w:val="007C7FC3"/>
  </w:style>
</w:styles>
</file>

<file path=word/webSettings.xml><?xml version="1.0" encoding="utf-8"?>
<w:webSettings xmlns:r="http://schemas.openxmlformats.org/officeDocument/2006/relationships" xmlns:w="http://schemas.openxmlformats.org/wordprocessingml/2006/main">
  <w:divs>
    <w:div w:id="7741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49DF-3813-4FBF-91EB-6F68C5EC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الجهاز المركزي للاحصاء الفلسطيني</vt:lpstr>
    </vt:vector>
  </TitlesOfParts>
  <Company>company</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الجهاز المركزي للاحصاء الفلسطيني</dc:title>
  <dc:creator>safad</dc:creator>
  <cp:lastModifiedBy>loays</cp:lastModifiedBy>
  <cp:revision>30</cp:revision>
  <cp:lastPrinted>2016-04-04T10:32:00Z</cp:lastPrinted>
  <dcterms:created xsi:type="dcterms:W3CDTF">2016-04-03T06:52:00Z</dcterms:created>
  <dcterms:modified xsi:type="dcterms:W3CDTF">2016-04-04T11:01:00Z</dcterms:modified>
</cp:coreProperties>
</file>