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B47B8" w14:textId="77777777" w:rsidR="00A43386" w:rsidRPr="003F5AF1" w:rsidRDefault="00A43386" w:rsidP="00A43386">
      <w:pPr>
        <w:jc w:val="center"/>
        <w:outlineLvl w:val="0"/>
        <w:rPr>
          <w:b/>
          <w:bCs/>
          <w:sz w:val="32"/>
          <w:szCs w:val="32"/>
          <w:rtl/>
        </w:rPr>
      </w:pPr>
      <w:r w:rsidRPr="003F5AF1">
        <w:rPr>
          <w:b/>
          <w:bCs/>
          <w:sz w:val="32"/>
          <w:szCs w:val="32"/>
        </w:rPr>
        <w:t>Palestinian Central Bureau of Statistics (PCBS)</w:t>
      </w:r>
    </w:p>
    <w:p w14:paraId="78DCCEED" w14:textId="77777777" w:rsidR="00A43386" w:rsidRDefault="00A43386" w:rsidP="005748F4">
      <w:pPr>
        <w:tabs>
          <w:tab w:val="right" w:pos="9356"/>
        </w:tabs>
        <w:bidi w:val="0"/>
        <w:spacing w:after="120"/>
        <w:jc w:val="center"/>
        <w:rPr>
          <w:b/>
          <w:bCs/>
          <w:sz w:val="26"/>
          <w:szCs w:val="26"/>
          <w:rtl/>
        </w:rPr>
      </w:pPr>
    </w:p>
    <w:p w14:paraId="0A189752" w14:textId="77777777" w:rsidR="00A43386" w:rsidRDefault="009C3800" w:rsidP="00A43386">
      <w:pPr>
        <w:tabs>
          <w:tab w:val="right" w:pos="9356"/>
        </w:tabs>
        <w:bidi w:val="0"/>
        <w:spacing w:after="120"/>
        <w:jc w:val="center"/>
        <w:rPr>
          <w:b/>
          <w:bCs/>
          <w:sz w:val="28"/>
          <w:szCs w:val="28"/>
          <w:rtl/>
        </w:rPr>
      </w:pPr>
      <w:r w:rsidRPr="00A43386">
        <w:rPr>
          <w:b/>
          <w:bCs/>
          <w:sz w:val="28"/>
          <w:szCs w:val="28"/>
        </w:rPr>
        <w:t>A press release on e</w:t>
      </w:r>
      <w:r w:rsidR="007010F5" w:rsidRPr="00A43386">
        <w:rPr>
          <w:b/>
          <w:bCs/>
          <w:sz w:val="28"/>
          <w:szCs w:val="28"/>
        </w:rPr>
        <w:t xml:space="preserve">ducational fields and labor market </w:t>
      </w:r>
      <w:r w:rsidR="00571FAE" w:rsidRPr="00A43386">
        <w:rPr>
          <w:b/>
          <w:bCs/>
          <w:sz w:val="28"/>
          <w:szCs w:val="28"/>
        </w:rPr>
        <w:t>among</w:t>
      </w:r>
      <w:r w:rsidR="007010F5" w:rsidRPr="00A43386">
        <w:rPr>
          <w:b/>
          <w:bCs/>
          <w:sz w:val="28"/>
          <w:szCs w:val="28"/>
        </w:rPr>
        <w:t xml:space="preserve"> </w:t>
      </w:r>
      <w:r w:rsidR="00F64EBF" w:rsidRPr="00A43386">
        <w:rPr>
          <w:b/>
          <w:bCs/>
          <w:sz w:val="28"/>
          <w:szCs w:val="28"/>
        </w:rPr>
        <w:t>individuals</w:t>
      </w:r>
      <w:r w:rsidR="007010F5" w:rsidRPr="00A43386">
        <w:rPr>
          <w:b/>
          <w:bCs/>
          <w:sz w:val="28"/>
          <w:szCs w:val="28"/>
        </w:rPr>
        <w:t xml:space="preserve"> </w:t>
      </w:r>
    </w:p>
    <w:p w14:paraId="1C3F1957" w14:textId="73975422" w:rsidR="00FA7154" w:rsidRPr="00A43386" w:rsidRDefault="007010F5" w:rsidP="00050F98">
      <w:pPr>
        <w:tabs>
          <w:tab w:val="right" w:pos="9356"/>
        </w:tabs>
        <w:bidi w:val="0"/>
        <w:spacing w:after="120"/>
        <w:jc w:val="center"/>
        <w:rPr>
          <w:sz w:val="28"/>
          <w:szCs w:val="28"/>
        </w:rPr>
      </w:pPr>
      <w:r w:rsidRPr="00A43386">
        <w:rPr>
          <w:b/>
          <w:bCs/>
          <w:sz w:val="28"/>
          <w:szCs w:val="28"/>
        </w:rPr>
        <w:t xml:space="preserve">aged </w:t>
      </w:r>
      <w:r w:rsidR="000C5A1F" w:rsidRPr="00A43386">
        <w:rPr>
          <w:b/>
          <w:bCs/>
          <w:sz w:val="28"/>
          <w:szCs w:val="28"/>
        </w:rPr>
        <w:t>(</w:t>
      </w:r>
      <w:r w:rsidRPr="00A43386">
        <w:rPr>
          <w:b/>
          <w:bCs/>
          <w:sz w:val="28"/>
          <w:szCs w:val="28"/>
        </w:rPr>
        <w:t>20-29 years</w:t>
      </w:r>
      <w:r w:rsidR="000C5A1F" w:rsidRPr="00A43386">
        <w:rPr>
          <w:b/>
          <w:bCs/>
          <w:sz w:val="28"/>
          <w:szCs w:val="28"/>
        </w:rPr>
        <w:t>)</w:t>
      </w:r>
      <w:r w:rsidR="00DB75B6" w:rsidRPr="00A43386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A43386">
        <w:rPr>
          <w:b/>
          <w:bCs/>
          <w:sz w:val="28"/>
          <w:szCs w:val="28"/>
        </w:rPr>
        <w:t xml:space="preserve">in </w:t>
      </w:r>
      <w:r w:rsidR="00DB75B6" w:rsidRPr="00A43386">
        <w:rPr>
          <w:b/>
          <w:bCs/>
          <w:sz w:val="28"/>
          <w:szCs w:val="28"/>
        </w:rPr>
        <w:t>2023</w:t>
      </w:r>
      <w:r w:rsidRPr="00A43386">
        <w:rPr>
          <w:sz w:val="28"/>
          <w:szCs w:val="28"/>
        </w:rPr>
        <w:t>.</w:t>
      </w:r>
    </w:p>
    <w:p w14:paraId="3BBBD082" w14:textId="77777777" w:rsidR="002F6FDF" w:rsidRPr="00FB1473" w:rsidRDefault="002F6FDF" w:rsidP="002F6FDF">
      <w:pPr>
        <w:tabs>
          <w:tab w:val="right" w:pos="9356"/>
        </w:tabs>
        <w:bidi w:val="0"/>
        <w:spacing w:after="120"/>
        <w:jc w:val="both"/>
        <w:rPr>
          <w:sz w:val="12"/>
          <w:szCs w:val="12"/>
        </w:rPr>
      </w:pPr>
    </w:p>
    <w:p w14:paraId="2F3AE405" w14:textId="06B627D1" w:rsidR="00E95F61" w:rsidRPr="00FB1473" w:rsidRDefault="00E95F61" w:rsidP="00366A62">
      <w:pPr>
        <w:bidi w:val="0"/>
        <w:spacing w:before="120" w:after="120"/>
        <w:jc w:val="both"/>
        <w:rPr>
          <w:b/>
          <w:bCs/>
          <w:sz w:val="23"/>
          <w:szCs w:val="23"/>
        </w:rPr>
      </w:pPr>
      <w:r w:rsidRPr="00FB1473">
        <w:rPr>
          <w:b/>
          <w:bCs/>
          <w:sz w:val="23"/>
          <w:szCs w:val="23"/>
        </w:rPr>
        <w:t xml:space="preserve">About 39 thousand students were </w:t>
      </w:r>
      <w:r w:rsidR="00385951">
        <w:rPr>
          <w:b/>
          <w:bCs/>
          <w:sz w:val="23"/>
          <w:szCs w:val="23"/>
        </w:rPr>
        <w:t>deprived</w:t>
      </w:r>
      <w:r w:rsidR="00385951" w:rsidRPr="00FB1473">
        <w:rPr>
          <w:b/>
          <w:bCs/>
          <w:sz w:val="23"/>
          <w:szCs w:val="23"/>
        </w:rPr>
        <w:t xml:space="preserve"> </w:t>
      </w:r>
      <w:r w:rsidR="00FF6353">
        <w:rPr>
          <w:b/>
          <w:bCs/>
          <w:sz w:val="23"/>
          <w:szCs w:val="23"/>
        </w:rPr>
        <w:t xml:space="preserve">of </w:t>
      </w:r>
      <w:r w:rsidR="00827EDF">
        <w:rPr>
          <w:b/>
          <w:bCs/>
          <w:sz w:val="23"/>
          <w:szCs w:val="23"/>
        </w:rPr>
        <w:t xml:space="preserve">taking </w:t>
      </w:r>
      <w:r w:rsidR="00945D8C">
        <w:rPr>
          <w:b/>
          <w:bCs/>
          <w:sz w:val="23"/>
          <w:szCs w:val="23"/>
        </w:rPr>
        <w:t xml:space="preserve">the </w:t>
      </w:r>
      <w:r w:rsidRPr="00FB1473">
        <w:rPr>
          <w:b/>
          <w:bCs/>
          <w:sz w:val="23"/>
          <w:szCs w:val="23"/>
        </w:rPr>
        <w:t>General Secondary Certificate Examination</w:t>
      </w:r>
      <w:r w:rsidR="00366A62">
        <w:rPr>
          <w:b/>
          <w:bCs/>
          <w:sz w:val="23"/>
          <w:szCs w:val="23"/>
        </w:rPr>
        <w:t xml:space="preserve"> (Tawjihi)</w:t>
      </w:r>
      <w:r w:rsidRPr="00FB1473">
        <w:rPr>
          <w:b/>
          <w:bCs/>
          <w:sz w:val="23"/>
          <w:szCs w:val="23"/>
        </w:rPr>
        <w:t xml:space="preserve"> in Gaza Strip</w:t>
      </w:r>
    </w:p>
    <w:p w14:paraId="014A50AA" w14:textId="0CF30225" w:rsidR="00CE2BA0" w:rsidRPr="00FB1473" w:rsidRDefault="003A6025" w:rsidP="000E24D0">
      <w:pPr>
        <w:bidi w:val="0"/>
        <w:spacing w:before="120"/>
        <w:jc w:val="both"/>
        <w:rPr>
          <w:sz w:val="6"/>
          <w:szCs w:val="6"/>
        </w:rPr>
      </w:pPr>
      <w:r>
        <w:rPr>
          <w:sz w:val="23"/>
          <w:szCs w:val="23"/>
        </w:rPr>
        <w:t xml:space="preserve">The number of applicants for the General Secondary Certificate Examination </w:t>
      </w:r>
      <w:r w:rsidR="00341656">
        <w:rPr>
          <w:sz w:val="23"/>
          <w:szCs w:val="23"/>
        </w:rPr>
        <w:t>(Tawj</w:t>
      </w:r>
      <w:r w:rsidR="00366A62">
        <w:rPr>
          <w:sz w:val="23"/>
          <w:szCs w:val="23"/>
        </w:rPr>
        <w:t>i</w:t>
      </w:r>
      <w:r w:rsidR="00341656">
        <w:rPr>
          <w:sz w:val="23"/>
          <w:szCs w:val="23"/>
        </w:rPr>
        <w:t xml:space="preserve">hi) </w:t>
      </w:r>
      <w:r>
        <w:rPr>
          <w:sz w:val="23"/>
          <w:szCs w:val="23"/>
        </w:rPr>
        <w:t>in the West Bank reached 48,777 students in the scholastic year 2023/2024, and 1,320 students from Gaza Strip will take the General Secondary Certificate Examination outside Palestine.</w:t>
      </w:r>
      <w:r w:rsidRPr="00FB1473">
        <w:rPr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 w:rsidRPr="00FB1473">
        <w:rPr>
          <w:sz w:val="23"/>
          <w:szCs w:val="23"/>
        </w:rPr>
        <w:t xml:space="preserve">hile about 39 thousand male and female students in Gaza Strip were </w:t>
      </w:r>
      <w:r w:rsidR="00385951">
        <w:rPr>
          <w:sz w:val="23"/>
          <w:szCs w:val="23"/>
        </w:rPr>
        <w:t>deprived</w:t>
      </w:r>
      <w:r w:rsidR="00385951" w:rsidRPr="00FB1473">
        <w:rPr>
          <w:sz w:val="23"/>
          <w:szCs w:val="23"/>
        </w:rPr>
        <w:t xml:space="preserve"> </w:t>
      </w:r>
      <w:r w:rsidR="003E2C55">
        <w:rPr>
          <w:sz w:val="23"/>
          <w:szCs w:val="23"/>
        </w:rPr>
        <w:t>of</w:t>
      </w:r>
      <w:r w:rsidR="00341656">
        <w:rPr>
          <w:sz w:val="23"/>
          <w:szCs w:val="23"/>
        </w:rPr>
        <w:t xml:space="preserve"> taking Tawj</w:t>
      </w:r>
      <w:r w:rsidR="003E2C55">
        <w:rPr>
          <w:sz w:val="23"/>
          <w:szCs w:val="23"/>
        </w:rPr>
        <w:t>i</w:t>
      </w:r>
      <w:r w:rsidR="00341656">
        <w:rPr>
          <w:sz w:val="23"/>
          <w:szCs w:val="23"/>
        </w:rPr>
        <w:t>hi</w:t>
      </w:r>
      <w:r w:rsidR="00341656" w:rsidRPr="00FB1473">
        <w:rPr>
          <w:sz w:val="23"/>
          <w:szCs w:val="23"/>
        </w:rPr>
        <w:t xml:space="preserve"> </w:t>
      </w:r>
      <w:r w:rsidRPr="00FB1473">
        <w:rPr>
          <w:sz w:val="23"/>
          <w:szCs w:val="23"/>
        </w:rPr>
        <w:t>exams due to the ongoing Israeli occupation aggression since October 7</w:t>
      </w:r>
      <w:r w:rsidR="00341656" w:rsidRPr="006371A9">
        <w:rPr>
          <w:sz w:val="23"/>
          <w:szCs w:val="23"/>
          <w:vertAlign w:val="superscript"/>
        </w:rPr>
        <w:t>th</w:t>
      </w:r>
      <w:r w:rsidRPr="00FB1473">
        <w:rPr>
          <w:sz w:val="23"/>
          <w:szCs w:val="23"/>
        </w:rPr>
        <w:t xml:space="preserve"> of last year. The number of graduates of Palestinian higher education institutions reached </w:t>
      </w:r>
      <w:r w:rsidR="000E24D0">
        <w:rPr>
          <w:sz w:val="23"/>
          <w:szCs w:val="23"/>
        </w:rPr>
        <w:t>45,150</w:t>
      </w:r>
      <w:r w:rsidRPr="00FB1473">
        <w:rPr>
          <w:sz w:val="23"/>
          <w:szCs w:val="23"/>
        </w:rPr>
        <w:t xml:space="preserve"> male and female g</w:t>
      </w:r>
      <w:r w:rsidR="000E24D0">
        <w:rPr>
          <w:sz w:val="23"/>
          <w:szCs w:val="23"/>
        </w:rPr>
        <w:t>raduates in the scholastic year 2022/2023</w:t>
      </w:r>
      <w:r w:rsidRPr="00FB1473">
        <w:rPr>
          <w:sz w:val="23"/>
          <w:szCs w:val="23"/>
        </w:rPr>
        <w:t xml:space="preserve">, with </w:t>
      </w:r>
      <w:r w:rsidR="000E24D0">
        <w:rPr>
          <w:sz w:val="23"/>
          <w:szCs w:val="23"/>
        </w:rPr>
        <w:t>32,263</w:t>
      </w:r>
      <w:r w:rsidRPr="00FB1473">
        <w:rPr>
          <w:sz w:val="23"/>
          <w:szCs w:val="23"/>
        </w:rPr>
        <w:t xml:space="preserve"> male and female graduates in the West Bank and 12,</w:t>
      </w:r>
      <w:r w:rsidR="000E24D0">
        <w:rPr>
          <w:sz w:val="23"/>
          <w:szCs w:val="23"/>
        </w:rPr>
        <w:t>887</w:t>
      </w:r>
      <w:r w:rsidRPr="00FB1473">
        <w:rPr>
          <w:sz w:val="23"/>
          <w:szCs w:val="23"/>
        </w:rPr>
        <w:t xml:space="preserve"> male and female graduates in Gaza Strip.</w:t>
      </w:r>
      <w:r w:rsidR="00385951">
        <w:rPr>
          <w:sz w:val="23"/>
          <w:szCs w:val="23"/>
        </w:rPr>
        <w:t xml:space="preserve"> The number of martyrs</w:t>
      </w:r>
      <w:r w:rsidR="00E12DB5">
        <w:rPr>
          <w:sz w:val="23"/>
          <w:szCs w:val="23"/>
        </w:rPr>
        <w:t xml:space="preserve"> among students enrolled in schools in Palestine reached 7,62 3; 7,556 martyrs in Gaza Strip and 67 martyrs in the West Bank up </w:t>
      </w:r>
      <w:r w:rsidR="00DD2C13">
        <w:rPr>
          <w:sz w:val="23"/>
          <w:szCs w:val="23"/>
        </w:rPr>
        <w:t>to</w:t>
      </w:r>
      <w:r w:rsidR="00E12DB5">
        <w:rPr>
          <w:sz w:val="23"/>
          <w:szCs w:val="23"/>
        </w:rPr>
        <w:t xml:space="preserve"> 25/06/2024.</w:t>
      </w:r>
    </w:p>
    <w:p w14:paraId="1B0529C1" w14:textId="3FF9035E" w:rsidR="007010F5" w:rsidRPr="00FB1473" w:rsidRDefault="007010F5" w:rsidP="006371A9">
      <w:pPr>
        <w:bidi w:val="0"/>
        <w:jc w:val="both"/>
        <w:rPr>
          <w:b/>
          <w:bCs/>
          <w:sz w:val="23"/>
          <w:szCs w:val="23"/>
        </w:rPr>
      </w:pPr>
      <w:r w:rsidRPr="00FB1473">
        <w:rPr>
          <w:b/>
          <w:bCs/>
          <w:sz w:val="23"/>
          <w:szCs w:val="23"/>
        </w:rPr>
        <w:t xml:space="preserve">Business and Administration is the field where most students aged </w:t>
      </w:r>
      <w:r w:rsidR="00B256D1" w:rsidRPr="00FB1473">
        <w:rPr>
          <w:b/>
          <w:bCs/>
          <w:sz w:val="23"/>
          <w:szCs w:val="23"/>
        </w:rPr>
        <w:t>(</w:t>
      </w:r>
      <w:r w:rsidRPr="00FB1473">
        <w:rPr>
          <w:b/>
          <w:bCs/>
          <w:sz w:val="23"/>
          <w:szCs w:val="23"/>
        </w:rPr>
        <w:t>20-29 years</w:t>
      </w:r>
      <w:r w:rsidR="00B256D1" w:rsidRPr="00FB1473">
        <w:rPr>
          <w:b/>
          <w:bCs/>
          <w:sz w:val="23"/>
          <w:szCs w:val="23"/>
        </w:rPr>
        <w:t>)</w:t>
      </w:r>
      <w:r w:rsidRPr="00FB1473">
        <w:rPr>
          <w:b/>
          <w:bCs/>
          <w:sz w:val="23"/>
          <w:szCs w:val="23"/>
        </w:rPr>
        <w:t xml:space="preserve"> </w:t>
      </w:r>
      <w:r w:rsidR="00341656">
        <w:rPr>
          <w:b/>
          <w:bCs/>
          <w:sz w:val="23"/>
          <w:szCs w:val="23"/>
        </w:rPr>
        <w:t>are</w:t>
      </w:r>
      <w:r w:rsidR="00341656" w:rsidRPr="00FB1473">
        <w:rPr>
          <w:b/>
          <w:bCs/>
          <w:sz w:val="23"/>
          <w:szCs w:val="23"/>
        </w:rPr>
        <w:t xml:space="preserve"> </w:t>
      </w:r>
      <w:r w:rsidRPr="00FB1473">
        <w:rPr>
          <w:b/>
          <w:bCs/>
          <w:sz w:val="23"/>
          <w:szCs w:val="23"/>
        </w:rPr>
        <w:t>enroll</w:t>
      </w:r>
      <w:r w:rsidR="007130C8" w:rsidRPr="00FB1473">
        <w:rPr>
          <w:b/>
          <w:bCs/>
          <w:sz w:val="23"/>
          <w:szCs w:val="23"/>
        </w:rPr>
        <w:t>ed</w:t>
      </w:r>
      <w:r w:rsidR="006C2459" w:rsidRPr="00FB1473">
        <w:rPr>
          <w:b/>
          <w:bCs/>
          <w:sz w:val="23"/>
          <w:szCs w:val="23"/>
        </w:rPr>
        <w:t xml:space="preserve"> in the West Bank</w:t>
      </w:r>
      <w:r w:rsidR="007130C8" w:rsidRPr="00FB1473">
        <w:rPr>
          <w:b/>
          <w:bCs/>
          <w:sz w:val="23"/>
          <w:szCs w:val="23"/>
        </w:rPr>
        <w:t>,</w:t>
      </w:r>
      <w:r w:rsidRPr="00FB1473">
        <w:rPr>
          <w:b/>
          <w:bCs/>
          <w:sz w:val="23"/>
          <w:szCs w:val="23"/>
        </w:rPr>
        <w:t xml:space="preserve"> whether for intermediate diploma or a bachelor’s degree (BA)</w:t>
      </w:r>
      <w:r w:rsidR="00632918" w:rsidRPr="00FB1473">
        <w:rPr>
          <w:b/>
          <w:bCs/>
          <w:sz w:val="23"/>
          <w:szCs w:val="23"/>
        </w:rPr>
        <w:t>.</w:t>
      </w:r>
    </w:p>
    <w:p w14:paraId="301F9A19" w14:textId="6D4D175F" w:rsidR="00925185" w:rsidRPr="00FB1473" w:rsidRDefault="009C195F" w:rsidP="006371A9">
      <w:pPr>
        <w:bidi w:val="0"/>
        <w:jc w:val="both"/>
        <w:rPr>
          <w:sz w:val="23"/>
          <w:szCs w:val="23"/>
        </w:rPr>
      </w:pPr>
      <w:r w:rsidRPr="00FB1473">
        <w:rPr>
          <w:sz w:val="23"/>
          <w:szCs w:val="23"/>
        </w:rPr>
        <w:t>For selected education fields i</w:t>
      </w:r>
      <w:r w:rsidR="007010F5" w:rsidRPr="00FB1473">
        <w:rPr>
          <w:sz w:val="23"/>
          <w:szCs w:val="23"/>
        </w:rPr>
        <w:t xml:space="preserve">n </w:t>
      </w:r>
      <w:r w:rsidR="006C2459" w:rsidRPr="00FB1473">
        <w:rPr>
          <w:sz w:val="23"/>
          <w:szCs w:val="23"/>
        </w:rPr>
        <w:t>2023</w:t>
      </w:r>
      <w:r w:rsidR="007010F5" w:rsidRPr="00FB1473">
        <w:rPr>
          <w:sz w:val="23"/>
          <w:szCs w:val="23"/>
        </w:rPr>
        <w:t xml:space="preserve">, </w:t>
      </w:r>
      <w:r w:rsidR="001547B4" w:rsidRPr="00FB1473">
        <w:rPr>
          <w:sz w:val="23"/>
          <w:szCs w:val="23"/>
        </w:rPr>
        <w:t>b</w:t>
      </w:r>
      <w:r w:rsidR="00FC3081" w:rsidRPr="00FB1473">
        <w:rPr>
          <w:sz w:val="23"/>
          <w:szCs w:val="23"/>
        </w:rPr>
        <w:t xml:space="preserve">usiness </w:t>
      </w:r>
      <w:r w:rsidR="006371A9" w:rsidRPr="00FB1473">
        <w:rPr>
          <w:sz w:val="23"/>
          <w:szCs w:val="23"/>
        </w:rPr>
        <w:t xml:space="preserve">and </w:t>
      </w:r>
      <w:r w:rsidR="006371A9">
        <w:rPr>
          <w:sz w:val="23"/>
          <w:szCs w:val="23"/>
        </w:rPr>
        <w:t>administration</w:t>
      </w:r>
      <w:r w:rsidR="00341656">
        <w:rPr>
          <w:sz w:val="23"/>
          <w:szCs w:val="23"/>
        </w:rPr>
        <w:t xml:space="preserve"> specialization</w:t>
      </w:r>
      <w:r w:rsidR="00341656" w:rsidRPr="00FB1473">
        <w:rPr>
          <w:b/>
          <w:bCs/>
          <w:sz w:val="23"/>
          <w:szCs w:val="23"/>
        </w:rPr>
        <w:t xml:space="preserve"> </w:t>
      </w:r>
      <w:r w:rsidR="00FC3081" w:rsidRPr="00FB1473">
        <w:rPr>
          <w:sz w:val="23"/>
          <w:szCs w:val="23"/>
        </w:rPr>
        <w:t>is the field where most students aged (20-29 years) were enrolled</w:t>
      </w:r>
      <w:r w:rsidR="006C2459" w:rsidRPr="00FB1473">
        <w:rPr>
          <w:sz w:val="23"/>
          <w:szCs w:val="23"/>
        </w:rPr>
        <w:t xml:space="preserve"> in the West Bank</w:t>
      </w:r>
      <w:r w:rsidR="00FC3081" w:rsidRPr="00FB1473">
        <w:rPr>
          <w:sz w:val="23"/>
          <w:szCs w:val="23"/>
        </w:rPr>
        <w:t xml:space="preserve">, whether for intermediate diploma or a bachelor’s degree (BA). </w:t>
      </w:r>
      <w:r w:rsidR="007010F5" w:rsidRPr="00FB1473">
        <w:rPr>
          <w:sz w:val="23"/>
          <w:szCs w:val="23"/>
        </w:rPr>
        <w:t xml:space="preserve">In the past </w:t>
      </w:r>
      <w:r w:rsidR="00CA462C" w:rsidRPr="00FB1473">
        <w:rPr>
          <w:sz w:val="23"/>
          <w:szCs w:val="23"/>
        </w:rPr>
        <w:t>decade</w:t>
      </w:r>
      <w:r w:rsidR="00381551" w:rsidRPr="00FB1473">
        <w:rPr>
          <w:sz w:val="23"/>
          <w:szCs w:val="23"/>
        </w:rPr>
        <w:t>,</w:t>
      </w:r>
      <w:r w:rsidR="007010F5" w:rsidRPr="00FB1473">
        <w:rPr>
          <w:sz w:val="23"/>
          <w:szCs w:val="23"/>
        </w:rPr>
        <w:t xml:space="preserve"> the majority of them </w:t>
      </w:r>
      <w:r w:rsidR="00381551" w:rsidRPr="00FB1473">
        <w:rPr>
          <w:sz w:val="23"/>
          <w:szCs w:val="23"/>
        </w:rPr>
        <w:t xml:space="preserve">also </w:t>
      </w:r>
      <w:r w:rsidR="007010F5" w:rsidRPr="00FB1473">
        <w:rPr>
          <w:sz w:val="23"/>
          <w:szCs w:val="23"/>
        </w:rPr>
        <w:t>majored in business and administration.</w:t>
      </w:r>
      <w:r w:rsidR="00237DA8" w:rsidRPr="00FB1473">
        <w:rPr>
          <w:sz w:val="23"/>
          <w:szCs w:val="23"/>
        </w:rPr>
        <w:t xml:space="preserve"> </w:t>
      </w:r>
      <w:r w:rsidR="00B66EE2" w:rsidRPr="00FB1473">
        <w:rPr>
          <w:sz w:val="23"/>
          <w:szCs w:val="23"/>
        </w:rPr>
        <w:t>While,</w:t>
      </w:r>
      <w:r w:rsidR="00237DA8" w:rsidRPr="00FB1473">
        <w:rPr>
          <w:sz w:val="23"/>
          <w:szCs w:val="23"/>
        </w:rPr>
        <w:t xml:space="preserve"> the highest unemployment rates among graduates aged (20-29 years) with an intermediate diploma or bachelor’s degree in </w:t>
      </w:r>
      <w:r w:rsidR="006C2459" w:rsidRPr="00FB1473">
        <w:rPr>
          <w:sz w:val="23"/>
          <w:szCs w:val="23"/>
        </w:rPr>
        <w:t>the West Bank</w:t>
      </w:r>
      <w:r w:rsidR="00237DA8" w:rsidRPr="00FB1473">
        <w:rPr>
          <w:sz w:val="23"/>
          <w:szCs w:val="23"/>
        </w:rPr>
        <w:t xml:space="preserve"> </w:t>
      </w:r>
      <w:r w:rsidR="001547B4" w:rsidRPr="00FB1473">
        <w:rPr>
          <w:sz w:val="23"/>
          <w:szCs w:val="23"/>
        </w:rPr>
        <w:t>is</w:t>
      </w:r>
      <w:r w:rsidR="00237DA8" w:rsidRPr="00FB1473">
        <w:rPr>
          <w:sz w:val="23"/>
          <w:szCs w:val="23"/>
        </w:rPr>
        <w:t xml:space="preserve"> in </w:t>
      </w:r>
      <w:r w:rsidR="006C2459" w:rsidRPr="00FB1473">
        <w:rPr>
          <w:sz w:val="23"/>
          <w:szCs w:val="23"/>
        </w:rPr>
        <w:t>physical sciences</w:t>
      </w:r>
      <w:r w:rsidR="00237DA8" w:rsidRPr="00FB1473">
        <w:rPr>
          <w:sz w:val="23"/>
          <w:szCs w:val="23"/>
        </w:rPr>
        <w:t xml:space="preserve">. </w:t>
      </w:r>
    </w:p>
    <w:p w14:paraId="5E6463B5" w14:textId="77777777" w:rsidR="00125F03" w:rsidRPr="00125F03" w:rsidRDefault="00125F03" w:rsidP="00F658EF">
      <w:pPr>
        <w:bidi w:val="0"/>
        <w:jc w:val="both"/>
        <w:rPr>
          <w:b/>
          <w:bCs/>
          <w:sz w:val="23"/>
          <w:szCs w:val="23"/>
          <w:rtl/>
        </w:rPr>
      </w:pPr>
      <w:r w:rsidRPr="00125F03">
        <w:rPr>
          <w:b/>
          <w:bCs/>
          <w:sz w:val="23"/>
          <w:szCs w:val="23"/>
        </w:rPr>
        <w:t>The highest unemployment rate is among male graduates of architecture and building engineering; while female graduates of arts specialization recorded the highest unemployment rate</w:t>
      </w:r>
    </w:p>
    <w:p w14:paraId="149C32ED" w14:textId="5A5DDFED" w:rsidR="007010F5" w:rsidRPr="00FB1473" w:rsidRDefault="009C195F" w:rsidP="00125F03">
      <w:pPr>
        <w:bidi w:val="0"/>
        <w:jc w:val="both"/>
        <w:rPr>
          <w:sz w:val="23"/>
          <w:szCs w:val="23"/>
        </w:rPr>
      </w:pPr>
      <w:r w:rsidRPr="00FB1473">
        <w:rPr>
          <w:sz w:val="23"/>
          <w:szCs w:val="23"/>
        </w:rPr>
        <w:t>For selected education fields in</w:t>
      </w:r>
      <w:r w:rsidR="001547B4" w:rsidRPr="00FB1473">
        <w:rPr>
          <w:sz w:val="23"/>
          <w:szCs w:val="23"/>
        </w:rPr>
        <w:t xml:space="preserve"> </w:t>
      </w:r>
      <w:r w:rsidR="0098212D" w:rsidRPr="00FB1473">
        <w:rPr>
          <w:sz w:val="23"/>
          <w:szCs w:val="23"/>
        </w:rPr>
        <w:t>2023</w:t>
      </w:r>
      <w:r w:rsidR="001547B4" w:rsidRPr="00FB1473">
        <w:rPr>
          <w:sz w:val="23"/>
          <w:szCs w:val="23"/>
        </w:rPr>
        <w:t xml:space="preserve">, the highest unemployment rates among male graduates aged (20-29 years) with an intermediate diploma or bachelor’s degree in </w:t>
      </w:r>
      <w:r w:rsidR="0098212D" w:rsidRPr="00FB1473">
        <w:rPr>
          <w:sz w:val="23"/>
          <w:szCs w:val="23"/>
        </w:rPr>
        <w:t>the West Bank</w:t>
      </w:r>
      <w:r w:rsidR="001547B4" w:rsidRPr="00FB1473">
        <w:rPr>
          <w:sz w:val="23"/>
          <w:szCs w:val="23"/>
        </w:rPr>
        <w:t xml:space="preserve"> is in </w:t>
      </w:r>
      <w:r w:rsidR="0098212D" w:rsidRPr="00FB1473">
        <w:rPr>
          <w:sz w:val="23"/>
          <w:szCs w:val="23"/>
        </w:rPr>
        <w:t>architecture and construction</w:t>
      </w:r>
      <w:r w:rsidR="00F75600" w:rsidRPr="00FB1473">
        <w:rPr>
          <w:sz w:val="23"/>
          <w:szCs w:val="23"/>
        </w:rPr>
        <w:t xml:space="preserve"> </w:t>
      </w:r>
      <w:r w:rsidR="001547B4" w:rsidRPr="00FB1473">
        <w:rPr>
          <w:sz w:val="23"/>
          <w:szCs w:val="23"/>
        </w:rPr>
        <w:t xml:space="preserve">by </w:t>
      </w:r>
      <w:r w:rsidR="0098212D" w:rsidRPr="00FB1473">
        <w:rPr>
          <w:sz w:val="23"/>
          <w:szCs w:val="23"/>
        </w:rPr>
        <w:t>32</w:t>
      </w:r>
      <w:r w:rsidR="001547B4" w:rsidRPr="00FB1473">
        <w:rPr>
          <w:sz w:val="23"/>
          <w:szCs w:val="23"/>
        </w:rPr>
        <w:t xml:space="preserve">%, while the highest unemployment rates among female graduates aged (20-29 years) with an intermediate diploma or bachelor’s degree in </w:t>
      </w:r>
      <w:r w:rsidR="0098212D" w:rsidRPr="00FB1473">
        <w:rPr>
          <w:sz w:val="23"/>
          <w:szCs w:val="23"/>
        </w:rPr>
        <w:t>the West Bank</w:t>
      </w:r>
      <w:r w:rsidR="001547B4" w:rsidRPr="00FB1473">
        <w:rPr>
          <w:sz w:val="23"/>
          <w:szCs w:val="23"/>
        </w:rPr>
        <w:t xml:space="preserve"> is in </w:t>
      </w:r>
      <w:r w:rsidR="0098212D" w:rsidRPr="00FB1473">
        <w:rPr>
          <w:sz w:val="23"/>
          <w:szCs w:val="23"/>
        </w:rPr>
        <w:t>arts</w:t>
      </w:r>
      <w:r w:rsidR="002468C5" w:rsidRPr="00FB1473">
        <w:rPr>
          <w:sz w:val="23"/>
          <w:szCs w:val="23"/>
        </w:rPr>
        <w:t xml:space="preserve"> </w:t>
      </w:r>
      <w:r w:rsidR="001547B4" w:rsidRPr="00FB1473">
        <w:rPr>
          <w:sz w:val="23"/>
          <w:szCs w:val="23"/>
        </w:rPr>
        <w:t xml:space="preserve">by </w:t>
      </w:r>
      <w:r w:rsidR="0098212D" w:rsidRPr="00FB1473">
        <w:rPr>
          <w:sz w:val="23"/>
          <w:szCs w:val="23"/>
        </w:rPr>
        <w:t>59</w:t>
      </w:r>
      <w:r w:rsidR="001547B4" w:rsidRPr="00FB1473">
        <w:rPr>
          <w:sz w:val="23"/>
          <w:szCs w:val="23"/>
        </w:rPr>
        <w:t>%</w:t>
      </w:r>
      <w:r w:rsidR="0098212D" w:rsidRPr="00FB1473">
        <w:rPr>
          <w:sz w:val="23"/>
          <w:szCs w:val="23"/>
        </w:rPr>
        <w:t>.</w:t>
      </w:r>
      <w:r w:rsidR="00DF73FE" w:rsidRPr="00FB1473">
        <w:rPr>
          <w:sz w:val="23"/>
          <w:szCs w:val="23"/>
        </w:rPr>
        <w:t xml:space="preserve"> </w:t>
      </w:r>
    </w:p>
    <w:p w14:paraId="475A6911" w14:textId="77777777" w:rsidR="00562C9F" w:rsidRPr="00FB1473" w:rsidRDefault="00562C9F" w:rsidP="00562C9F">
      <w:pPr>
        <w:bidi w:val="0"/>
        <w:spacing w:before="120" w:after="120"/>
        <w:jc w:val="both"/>
        <w:rPr>
          <w:sz w:val="6"/>
          <w:szCs w:val="6"/>
        </w:rPr>
      </w:pPr>
    </w:p>
    <w:p w14:paraId="727D8924" w14:textId="77777777" w:rsidR="00C910B2" w:rsidRPr="00FB1473" w:rsidRDefault="00C910B2" w:rsidP="00483C12">
      <w:pPr>
        <w:bidi w:val="0"/>
        <w:spacing w:line="240" w:lineRule="exact"/>
        <w:jc w:val="center"/>
        <w:rPr>
          <w:b/>
          <w:bCs/>
          <w:sz w:val="22"/>
          <w:szCs w:val="22"/>
        </w:rPr>
      </w:pPr>
      <w:r w:rsidRPr="00FB1473">
        <w:rPr>
          <w:b/>
          <w:bCs/>
          <w:sz w:val="22"/>
          <w:szCs w:val="22"/>
        </w:rPr>
        <w:t xml:space="preserve">Percentage </w:t>
      </w:r>
      <w:r w:rsidR="009C195F" w:rsidRPr="00FB1473">
        <w:rPr>
          <w:b/>
          <w:bCs/>
          <w:sz w:val="22"/>
          <w:szCs w:val="22"/>
        </w:rPr>
        <w:t>of</w:t>
      </w:r>
      <w:r w:rsidRPr="00FB1473">
        <w:rPr>
          <w:b/>
          <w:bCs/>
          <w:sz w:val="22"/>
          <w:szCs w:val="22"/>
        </w:rPr>
        <w:t xml:space="preserve"> Individuals (20-29 years) in </w:t>
      </w:r>
      <w:r w:rsidR="00A00910" w:rsidRPr="00FB1473">
        <w:rPr>
          <w:b/>
          <w:bCs/>
          <w:sz w:val="22"/>
          <w:szCs w:val="22"/>
        </w:rPr>
        <w:t>the West Bank</w:t>
      </w:r>
      <w:r w:rsidRPr="00FB1473">
        <w:rPr>
          <w:b/>
          <w:bCs/>
          <w:sz w:val="22"/>
          <w:szCs w:val="22"/>
        </w:rPr>
        <w:t xml:space="preserve"> with an Intermediate Diploma</w:t>
      </w:r>
    </w:p>
    <w:p w14:paraId="71244FD2" w14:textId="0640BD99" w:rsidR="00483C12" w:rsidRPr="00FB1473" w:rsidRDefault="00C910B2" w:rsidP="006371A9">
      <w:pPr>
        <w:bidi w:val="0"/>
        <w:spacing w:line="240" w:lineRule="exact"/>
        <w:jc w:val="center"/>
        <w:rPr>
          <w:b/>
          <w:bCs/>
          <w:sz w:val="6"/>
          <w:szCs w:val="6"/>
        </w:rPr>
      </w:pPr>
      <w:r w:rsidRPr="00FB1473">
        <w:rPr>
          <w:b/>
          <w:bCs/>
          <w:sz w:val="22"/>
          <w:szCs w:val="22"/>
        </w:rPr>
        <w:t>or Bachelor’s Degree and Unemployment Rate</w:t>
      </w:r>
      <w:r w:rsidR="009C195F" w:rsidRPr="00FB1473">
        <w:rPr>
          <w:b/>
          <w:bCs/>
          <w:sz w:val="22"/>
          <w:szCs w:val="22"/>
        </w:rPr>
        <w:t xml:space="preserve"> for </w:t>
      </w:r>
      <w:r w:rsidR="00417D18">
        <w:rPr>
          <w:b/>
          <w:bCs/>
          <w:sz w:val="22"/>
          <w:szCs w:val="22"/>
        </w:rPr>
        <w:t>S</w:t>
      </w:r>
      <w:r w:rsidR="00417D18" w:rsidRPr="00FB1473">
        <w:rPr>
          <w:b/>
          <w:bCs/>
          <w:sz w:val="22"/>
          <w:szCs w:val="22"/>
        </w:rPr>
        <w:t xml:space="preserve">elected </w:t>
      </w:r>
      <w:r w:rsidR="00417D18">
        <w:rPr>
          <w:b/>
          <w:bCs/>
          <w:sz w:val="22"/>
          <w:szCs w:val="22"/>
        </w:rPr>
        <w:t>E</w:t>
      </w:r>
      <w:r w:rsidR="00417D18" w:rsidRPr="00FB1473">
        <w:rPr>
          <w:b/>
          <w:bCs/>
          <w:sz w:val="22"/>
          <w:szCs w:val="22"/>
        </w:rPr>
        <w:t xml:space="preserve">ducation </w:t>
      </w:r>
      <w:r w:rsidR="00417D18">
        <w:rPr>
          <w:b/>
          <w:bCs/>
          <w:sz w:val="22"/>
          <w:szCs w:val="22"/>
        </w:rPr>
        <w:t>F</w:t>
      </w:r>
      <w:r w:rsidR="00417D18" w:rsidRPr="00FB1473">
        <w:rPr>
          <w:b/>
          <w:bCs/>
          <w:sz w:val="22"/>
          <w:szCs w:val="22"/>
        </w:rPr>
        <w:t xml:space="preserve">ields </w:t>
      </w:r>
      <w:r w:rsidRPr="00FB1473">
        <w:rPr>
          <w:b/>
          <w:bCs/>
          <w:sz w:val="22"/>
          <w:szCs w:val="22"/>
        </w:rPr>
        <w:t xml:space="preserve">and Sex in </w:t>
      </w:r>
      <w:r w:rsidR="00A00910" w:rsidRPr="00FB1473">
        <w:rPr>
          <w:b/>
          <w:bCs/>
          <w:sz w:val="22"/>
          <w:szCs w:val="22"/>
        </w:rPr>
        <w:t>2023</w:t>
      </w:r>
    </w:p>
    <w:tbl>
      <w:tblPr>
        <w:tblW w:w="11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281"/>
        <w:gridCol w:w="1023"/>
        <w:gridCol w:w="956"/>
        <w:gridCol w:w="1564"/>
        <w:gridCol w:w="993"/>
        <w:gridCol w:w="1051"/>
      </w:tblGrid>
      <w:tr w:rsidR="00A5319B" w:rsidRPr="00FB1473" w14:paraId="45B6EF25" w14:textId="77777777" w:rsidTr="00125F03">
        <w:trPr>
          <w:trHeight w:hRule="exact" w:val="794"/>
          <w:jc w:val="center"/>
        </w:trPr>
        <w:tc>
          <w:tcPr>
            <w:tcW w:w="4248" w:type="dxa"/>
            <w:vMerge w:val="restart"/>
            <w:vAlign w:val="center"/>
          </w:tcPr>
          <w:p w14:paraId="19171D7C" w14:textId="77777777" w:rsidR="00C910B2" w:rsidRPr="00FB1473" w:rsidRDefault="00A5319B" w:rsidP="002F7945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Field of Education</w:t>
            </w:r>
          </w:p>
        </w:tc>
        <w:tc>
          <w:tcPr>
            <w:tcW w:w="3260" w:type="dxa"/>
            <w:gridSpan w:val="3"/>
            <w:vAlign w:val="center"/>
          </w:tcPr>
          <w:p w14:paraId="26D2CAA2" w14:textId="77777777" w:rsidR="00C910B2" w:rsidRPr="00FB1473" w:rsidRDefault="00A5319B" w:rsidP="00A5319B">
            <w:pPr>
              <w:bidi w:val="0"/>
              <w:spacing w:before="120" w:after="120" w:line="240" w:lineRule="exact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B1473">
              <w:rPr>
                <w:b/>
                <w:bCs/>
                <w:sz w:val="18"/>
                <w:szCs w:val="18"/>
              </w:rPr>
              <w:t xml:space="preserve">Percentage of Individuals (20-29 years) </w:t>
            </w:r>
            <w:r w:rsidR="0080152B" w:rsidRPr="00FB1473">
              <w:rPr>
                <w:b/>
                <w:bCs/>
                <w:sz w:val="18"/>
                <w:szCs w:val="18"/>
              </w:rPr>
              <w:t xml:space="preserve">in the West Bank </w:t>
            </w:r>
            <w:r w:rsidRPr="00FB1473">
              <w:rPr>
                <w:b/>
                <w:bCs/>
                <w:sz w:val="18"/>
                <w:szCs w:val="18"/>
              </w:rPr>
              <w:t>with an Intermediate Diploma or Bachelor’s Degree</w:t>
            </w:r>
          </w:p>
        </w:tc>
        <w:tc>
          <w:tcPr>
            <w:tcW w:w="3608" w:type="dxa"/>
            <w:gridSpan w:val="3"/>
            <w:tcBorders>
              <w:bottom w:val="single" w:sz="4" w:space="0" w:color="auto"/>
            </w:tcBorders>
            <w:vAlign w:val="center"/>
          </w:tcPr>
          <w:p w14:paraId="7FB45F3F" w14:textId="77777777" w:rsidR="00C910B2" w:rsidRPr="00FB1473" w:rsidRDefault="00A5319B" w:rsidP="00A5319B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18"/>
                <w:szCs w:val="18"/>
              </w:rPr>
            </w:pPr>
            <w:r w:rsidRPr="00FB1473">
              <w:rPr>
                <w:b/>
                <w:bCs/>
                <w:sz w:val="18"/>
                <w:szCs w:val="18"/>
              </w:rPr>
              <w:t>Unemployment Rate</w:t>
            </w:r>
            <w:r w:rsidRPr="00FB1473">
              <w:rPr>
                <w:rFonts w:ascii="Simplified Arabic" w:hAnsi="Simplified Arabic" w:cs="Simplified Arabic"/>
                <w:b/>
                <w:bCs/>
                <w:noProof/>
                <w:sz w:val="18"/>
                <w:szCs w:val="18"/>
              </w:rPr>
              <w:t xml:space="preserve"> </w:t>
            </w:r>
            <w:r w:rsidRPr="00FB1473">
              <w:rPr>
                <w:b/>
                <w:bCs/>
                <w:sz w:val="18"/>
                <w:szCs w:val="18"/>
              </w:rPr>
              <w:t xml:space="preserve">of Individuals (20-29 years) </w:t>
            </w:r>
            <w:r w:rsidR="0080152B" w:rsidRPr="00FB1473">
              <w:rPr>
                <w:b/>
                <w:bCs/>
                <w:sz w:val="18"/>
                <w:szCs w:val="18"/>
              </w:rPr>
              <w:t xml:space="preserve">in the West Bank </w:t>
            </w:r>
            <w:r w:rsidRPr="00FB1473">
              <w:rPr>
                <w:b/>
                <w:bCs/>
                <w:sz w:val="18"/>
                <w:szCs w:val="18"/>
              </w:rPr>
              <w:t>with an Intermediate Diploma or Bachelor’s Degree</w:t>
            </w:r>
          </w:p>
        </w:tc>
      </w:tr>
      <w:tr w:rsidR="007D257A" w:rsidRPr="00FB1473" w14:paraId="52C1BD8F" w14:textId="77777777" w:rsidTr="006371A9">
        <w:trPr>
          <w:trHeight w:hRule="exact" w:val="284"/>
          <w:jc w:val="center"/>
        </w:trPr>
        <w:tc>
          <w:tcPr>
            <w:tcW w:w="4248" w:type="dxa"/>
            <w:vMerge/>
            <w:tcBorders>
              <w:bottom w:val="single" w:sz="4" w:space="0" w:color="auto"/>
            </w:tcBorders>
          </w:tcPr>
          <w:p w14:paraId="160130A4" w14:textId="77777777" w:rsidR="007D257A" w:rsidRPr="00FB1473" w:rsidRDefault="007D257A" w:rsidP="002F7945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46B3C105" w14:textId="77777777" w:rsidR="007D257A" w:rsidRPr="00FB1473" w:rsidRDefault="007D257A" w:rsidP="00B8171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7900B48E" w14:textId="77777777" w:rsidR="007D257A" w:rsidRPr="00FB1473" w:rsidRDefault="007D257A" w:rsidP="00B8171B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B1473">
              <w:rPr>
                <w:rFonts w:asciiTheme="majorBidi" w:hAnsiTheme="majorBidi" w:cstheme="majorBidi"/>
                <w:sz w:val="18"/>
                <w:szCs w:val="18"/>
              </w:rPr>
              <w:t>Male</w:t>
            </w:r>
            <w:r w:rsidR="00A5319B" w:rsidRPr="00FB1473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2B1BA053" w14:textId="77777777" w:rsidR="007D257A" w:rsidRPr="00FB1473" w:rsidRDefault="007D257A" w:rsidP="00B8171B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B1473">
              <w:rPr>
                <w:rFonts w:asciiTheme="majorBidi" w:hAnsiTheme="majorBidi" w:cstheme="majorBidi"/>
                <w:sz w:val="18"/>
                <w:szCs w:val="18"/>
              </w:rPr>
              <w:t>Female</w:t>
            </w:r>
            <w:r w:rsidR="00A5319B" w:rsidRPr="00FB1473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5DE269FD" w14:textId="77777777" w:rsidR="007D257A" w:rsidRPr="00FB1473" w:rsidRDefault="007D257A" w:rsidP="002F794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20906F2" w14:textId="77777777" w:rsidR="007D257A" w:rsidRPr="00FB1473" w:rsidRDefault="007D257A" w:rsidP="002F7945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B1473">
              <w:rPr>
                <w:rFonts w:asciiTheme="majorBidi" w:hAnsiTheme="majorBidi" w:cstheme="majorBidi"/>
                <w:sz w:val="18"/>
                <w:szCs w:val="18"/>
              </w:rPr>
              <w:t>Male</w:t>
            </w:r>
            <w:r w:rsidR="00A5319B" w:rsidRPr="00FB1473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3F5C4B4E" w14:textId="77777777" w:rsidR="007D257A" w:rsidRPr="00FB1473" w:rsidRDefault="007D257A" w:rsidP="002F7945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B1473">
              <w:rPr>
                <w:rFonts w:asciiTheme="majorBidi" w:hAnsiTheme="majorBidi" w:cstheme="majorBidi"/>
                <w:sz w:val="18"/>
                <w:szCs w:val="18"/>
              </w:rPr>
              <w:t>Female</w:t>
            </w:r>
            <w:r w:rsidR="00A5319B" w:rsidRPr="00FB1473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</w:tr>
      <w:tr w:rsidR="00DB4622" w:rsidRPr="00FB1473" w14:paraId="2FDAA4E0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920910" w14:textId="77777777" w:rsidR="00DB4622" w:rsidRPr="00A43386" w:rsidRDefault="00DB4622" w:rsidP="0040190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Business and administration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29D28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29.3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603C233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28.6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0FC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29.8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90F2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27.7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861C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15.0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CC1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40.9</w:t>
            </w:r>
          </w:p>
        </w:tc>
      </w:tr>
      <w:tr w:rsidR="00DB4622" w:rsidRPr="00FB1473" w14:paraId="7740CA43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FA44" w14:textId="77777777" w:rsidR="00DB4622" w:rsidRPr="00A43386" w:rsidRDefault="00DB4622" w:rsidP="0040190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Health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FB30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12.8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00B53D47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12.0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824B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13.3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453F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31.8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6A90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18.7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6A3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40.0</w:t>
            </w:r>
          </w:p>
        </w:tc>
      </w:tr>
      <w:tr w:rsidR="00DB4622" w:rsidRPr="00FB1473" w14:paraId="275ACFA7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5E62" w14:textId="77777777" w:rsidR="00DB4622" w:rsidRPr="00A43386" w:rsidRDefault="00DB4622" w:rsidP="0040190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9AC4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8.6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886F76B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3.5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8FC6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11.5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78D9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35.5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CF1C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7.1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3A71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43.8</w:t>
            </w:r>
          </w:p>
        </w:tc>
      </w:tr>
      <w:tr w:rsidR="00DB4622" w:rsidRPr="00FB1473" w14:paraId="52F5D6E1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1E6" w14:textId="77777777" w:rsidR="00DB4622" w:rsidRPr="00A43386" w:rsidRDefault="00DB4622" w:rsidP="00483C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Engineering and engineering trades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B249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12AA3A3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12.7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8DA4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3.9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95DC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31.1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51F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22.0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CC0D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51.2</w:t>
            </w:r>
          </w:p>
        </w:tc>
      </w:tr>
      <w:tr w:rsidR="00DB4622" w:rsidRPr="00FB1473" w14:paraId="6EA3FEE6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C81" w14:textId="77777777" w:rsidR="00DB4622" w:rsidRPr="00A43386" w:rsidRDefault="00DB4622" w:rsidP="0040190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>Law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D7BE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5.7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701568F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7.9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12E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4.4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5479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79BA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10.3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B142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52.7</w:t>
            </w:r>
          </w:p>
        </w:tc>
      </w:tr>
      <w:tr w:rsidR="00DB4622" w:rsidRPr="00FB1473" w14:paraId="64A29EE7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BA2A" w14:textId="77777777" w:rsidR="00DB4622" w:rsidRPr="00A43386" w:rsidRDefault="00DB4622" w:rsidP="0040190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Languages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936E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51B4C950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2.0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E0B3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6.8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F650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41.5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93F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0C17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46.4</w:t>
            </w:r>
          </w:p>
        </w:tc>
      </w:tr>
      <w:tr w:rsidR="00DB4622" w:rsidRPr="00FB1473" w14:paraId="30A64CD0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E7DF" w14:textId="77777777" w:rsidR="00DB4622" w:rsidRPr="00A43386" w:rsidRDefault="00DB4622" w:rsidP="00483C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>Architecture and construction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3BB0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100BB6F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7.8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BC3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3.4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AE4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33.3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01FA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31.8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A51F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36.3</w:t>
            </w:r>
          </w:p>
        </w:tc>
      </w:tr>
      <w:tr w:rsidR="00DB4622" w:rsidRPr="00FB1473" w14:paraId="5238EFD0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8407" w14:textId="77777777" w:rsidR="00DB4622" w:rsidRPr="00A43386" w:rsidRDefault="00DB4622" w:rsidP="006371A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>Information and Communication Technologies (ICTs)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0CA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5D082CC1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5.1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CADF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3.6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FED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32.7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3271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15.0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D7E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53.4</w:t>
            </w:r>
          </w:p>
        </w:tc>
      </w:tr>
      <w:tr w:rsidR="00DB4622" w:rsidRPr="00FB1473" w14:paraId="107BCBDA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CDC2" w14:textId="77777777" w:rsidR="00DB4622" w:rsidRPr="00A43386" w:rsidRDefault="00DB4622" w:rsidP="00483C12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 xml:space="preserve">Welfare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8B74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3.9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E00C446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2.1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70D2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5.0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F564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33.7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D3A4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4460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52.9</w:t>
            </w:r>
          </w:p>
        </w:tc>
      </w:tr>
      <w:tr w:rsidR="00DB4622" w:rsidRPr="00FB1473" w14:paraId="2D9344E5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2DC7" w14:textId="77777777" w:rsidR="00DB4622" w:rsidRPr="00A43386" w:rsidRDefault="00DB4622" w:rsidP="0040190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>Arts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55B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3.8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20D2C37E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3.7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6B6D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3.9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0659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38.5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E53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18.5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E69F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59.4</w:t>
            </w:r>
          </w:p>
        </w:tc>
      </w:tr>
      <w:tr w:rsidR="00DB4622" w:rsidRPr="00FB1473" w14:paraId="5A0352FD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C496" w14:textId="77777777" w:rsidR="00DB4622" w:rsidRPr="00A43386" w:rsidRDefault="00DB4622" w:rsidP="0040190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Social and behavioral sciences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553B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3.8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1828EC1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2.8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3F2D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4.4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2F9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42.4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0D97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10.5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193E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57.8</w:t>
            </w:r>
          </w:p>
        </w:tc>
      </w:tr>
      <w:tr w:rsidR="00DB4622" w:rsidRPr="00FB1473" w14:paraId="02E84EED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A3A" w14:textId="77777777" w:rsidR="00DB4622" w:rsidRPr="00A43386" w:rsidRDefault="00DB4622" w:rsidP="0040190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 xml:space="preserve">Physical sciences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B680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28A827C4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1.9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6D2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2.2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BE1A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55.5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E726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98BD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-</w:t>
            </w:r>
          </w:p>
        </w:tc>
      </w:tr>
      <w:tr w:rsidR="00DB4622" w:rsidRPr="00FB1473" w14:paraId="319DAF81" w14:textId="77777777" w:rsidTr="006371A9">
        <w:trPr>
          <w:trHeight w:hRule="exact"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796B" w14:textId="77777777" w:rsidR="00DB4622" w:rsidRPr="00A43386" w:rsidRDefault="00DB4622" w:rsidP="0040190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Journalism and information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4DE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1.9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2E10EB6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2.9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0939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/>
                <w:sz w:val="18"/>
                <w:szCs w:val="18"/>
              </w:rPr>
              <w:t>1.3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B6E2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A82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A856" w14:textId="77777777" w:rsidR="00DB4622" w:rsidRPr="00FB1473" w:rsidRDefault="00DB4622" w:rsidP="00F22E8F">
            <w:pPr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FB1473">
              <w:rPr>
                <w:rFonts w:asciiTheme="minorBidi" w:hAnsiTheme="minorBidi" w:cstheme="minorBidi" w:hint="cs"/>
                <w:sz w:val="18"/>
                <w:szCs w:val="18"/>
                <w:rtl/>
              </w:rPr>
              <w:t>-</w:t>
            </w:r>
          </w:p>
        </w:tc>
      </w:tr>
      <w:tr w:rsidR="00AC1EF4" w:rsidRPr="00FB1473" w14:paraId="29A8AADA" w14:textId="77777777" w:rsidTr="00F53167">
        <w:trPr>
          <w:trHeight w:hRule="exact" w:val="284"/>
          <w:jc w:val="center"/>
        </w:trPr>
        <w:tc>
          <w:tcPr>
            <w:tcW w:w="111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62AD8D" w14:textId="77777777" w:rsidR="00AC1EF4" w:rsidRPr="00FB1473" w:rsidRDefault="00C249C9" w:rsidP="00401901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Pr="00FB1473">
              <w:rPr>
                <w:rFonts w:asciiTheme="majorBidi" w:hAnsiTheme="majorBidi" w:cstheme="majorBidi"/>
                <w:sz w:val="18"/>
                <w:szCs w:val="18"/>
              </w:rPr>
              <w:t>(-): means there are no enough cases</w:t>
            </w:r>
          </w:p>
        </w:tc>
      </w:tr>
      <w:tr w:rsidR="00AC1EF4" w:rsidRPr="00FB1473" w14:paraId="4C9B5D92" w14:textId="77777777" w:rsidTr="00F53167">
        <w:trPr>
          <w:trHeight w:hRule="exact" w:val="284"/>
          <w:jc w:val="center"/>
        </w:trPr>
        <w:tc>
          <w:tcPr>
            <w:tcW w:w="111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F429D" w14:textId="77777777" w:rsidR="00AC1EF4" w:rsidRPr="00FB1473" w:rsidRDefault="00AC1EF4" w:rsidP="00D92BF1">
            <w:pPr>
              <w:jc w:val="right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Source: Palestinian Central </w:t>
            </w:r>
            <w:r w:rsidR="003A6025"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Bureau of</w:t>
            </w:r>
            <w:r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Statistics, </w:t>
            </w:r>
            <w:r w:rsidR="00D92BF1"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2024</w:t>
            </w:r>
            <w:r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</w:t>
            </w:r>
            <w:r w:rsidRPr="00FB1473">
              <w:rPr>
                <w:rFonts w:asciiTheme="majorBidi" w:hAnsiTheme="majorBidi" w:cstheme="majorBidi"/>
                <w:sz w:val="18"/>
                <w:szCs w:val="18"/>
              </w:rPr>
              <w:t xml:space="preserve">Database of Labor Force Survey, </w:t>
            </w:r>
            <w:r w:rsidR="00D92BF1" w:rsidRPr="00FB1473">
              <w:rPr>
                <w:rFonts w:asciiTheme="majorBidi" w:hAnsiTheme="majorBidi" w:cstheme="majorBidi"/>
                <w:sz w:val="18"/>
                <w:szCs w:val="18"/>
              </w:rPr>
              <w:t>2023</w:t>
            </w:r>
            <w:r w:rsidRPr="00FB1473">
              <w:rPr>
                <w:rFonts w:asciiTheme="majorBidi" w:hAnsiTheme="majorBidi" w:cstheme="majorBidi"/>
                <w:sz w:val="18"/>
                <w:szCs w:val="18"/>
              </w:rPr>
              <w:t>. Ramallah-Palestine</w:t>
            </w:r>
          </w:p>
        </w:tc>
      </w:tr>
    </w:tbl>
    <w:p w14:paraId="7F619063" w14:textId="77777777" w:rsidR="00AE5B6F" w:rsidRPr="00FB1473" w:rsidRDefault="00AE5B6F" w:rsidP="00AE5B6F">
      <w:pPr>
        <w:bidi w:val="0"/>
        <w:outlineLvl w:val="0"/>
        <w:rPr>
          <w:b/>
          <w:bCs/>
          <w:sz w:val="6"/>
          <w:szCs w:val="6"/>
          <w:rtl/>
        </w:rPr>
      </w:pPr>
    </w:p>
    <w:p w14:paraId="5CED2AD0" w14:textId="69DCB72F" w:rsidR="00B3762D" w:rsidRPr="00FB1473" w:rsidRDefault="00125F03" w:rsidP="00385951">
      <w:pPr>
        <w:bidi w:val="0"/>
        <w:spacing w:before="120" w:after="120"/>
        <w:jc w:val="both"/>
        <w:rPr>
          <w:b/>
          <w:bCs/>
          <w:sz w:val="23"/>
          <w:szCs w:val="23"/>
        </w:rPr>
      </w:pPr>
      <w:r w:rsidRPr="00125F03">
        <w:rPr>
          <w:b/>
          <w:bCs/>
          <w:sz w:val="23"/>
          <w:szCs w:val="23"/>
        </w:rPr>
        <w:lastRenderedPageBreak/>
        <w:t>A sharp increase in the unemployment rate among individuals (20-29 years old) who hold an intermediate diploma or bachelor’s degree in the West Bank</w:t>
      </w:r>
      <w:r w:rsidR="00EA3BAB" w:rsidRPr="00FB1473">
        <w:rPr>
          <w:sz w:val="23"/>
          <w:szCs w:val="23"/>
        </w:rPr>
        <w:t>. T</w:t>
      </w:r>
      <w:r w:rsidR="00742D56" w:rsidRPr="00FB1473">
        <w:rPr>
          <w:rFonts w:asciiTheme="majorBidi" w:hAnsiTheme="majorBidi" w:cstheme="majorBidi"/>
          <w:sz w:val="23"/>
          <w:szCs w:val="23"/>
        </w:rPr>
        <w:t xml:space="preserve">his </w:t>
      </w:r>
      <w:r w:rsidR="00621952" w:rsidRPr="00FB1473">
        <w:rPr>
          <w:rFonts w:asciiTheme="majorBidi" w:hAnsiTheme="majorBidi" w:cstheme="majorBidi"/>
          <w:sz w:val="23"/>
          <w:szCs w:val="23"/>
        </w:rPr>
        <w:t xml:space="preserve">rate reached </w:t>
      </w:r>
      <w:r w:rsidR="005F2E91" w:rsidRPr="00FB1473">
        <w:rPr>
          <w:rFonts w:asciiTheme="majorBidi" w:hAnsiTheme="majorBidi" w:cstheme="majorBidi"/>
          <w:sz w:val="23"/>
          <w:szCs w:val="23"/>
        </w:rPr>
        <w:t>32</w:t>
      </w:r>
      <w:r w:rsidR="00621952" w:rsidRPr="00FB1473">
        <w:rPr>
          <w:rFonts w:asciiTheme="majorBidi" w:hAnsiTheme="majorBidi" w:cstheme="majorBidi"/>
          <w:sz w:val="23"/>
          <w:szCs w:val="23"/>
        </w:rPr>
        <w:t xml:space="preserve">% in </w:t>
      </w:r>
      <w:r w:rsidR="005F2E91" w:rsidRPr="00FB1473">
        <w:rPr>
          <w:rFonts w:asciiTheme="majorBidi" w:hAnsiTheme="majorBidi" w:cstheme="majorBidi"/>
          <w:sz w:val="23"/>
          <w:szCs w:val="23"/>
        </w:rPr>
        <w:t>2023</w:t>
      </w:r>
      <w:r w:rsidR="00742D56" w:rsidRPr="00FB1473">
        <w:rPr>
          <w:rFonts w:asciiTheme="majorBidi" w:hAnsiTheme="majorBidi" w:cstheme="majorBidi"/>
          <w:sz w:val="23"/>
          <w:szCs w:val="23"/>
        </w:rPr>
        <w:t xml:space="preserve">, while it </w:t>
      </w:r>
      <w:r w:rsidR="00621952" w:rsidRPr="00FB1473">
        <w:rPr>
          <w:rFonts w:asciiTheme="majorBidi" w:hAnsiTheme="majorBidi" w:cstheme="majorBidi"/>
          <w:sz w:val="23"/>
          <w:szCs w:val="23"/>
        </w:rPr>
        <w:t xml:space="preserve">was about </w:t>
      </w:r>
      <w:r w:rsidR="005F2E91" w:rsidRPr="00FB1473">
        <w:rPr>
          <w:rFonts w:asciiTheme="majorBidi" w:hAnsiTheme="majorBidi" w:cstheme="majorBidi" w:hint="cs"/>
          <w:sz w:val="23"/>
          <w:szCs w:val="23"/>
          <w:rtl/>
        </w:rPr>
        <w:t>28</w:t>
      </w:r>
      <w:r w:rsidR="00621952" w:rsidRPr="00FB1473">
        <w:rPr>
          <w:rFonts w:asciiTheme="majorBidi" w:hAnsiTheme="majorBidi" w:cstheme="majorBidi"/>
          <w:sz w:val="23"/>
          <w:szCs w:val="23"/>
        </w:rPr>
        <w:t xml:space="preserve">% </w:t>
      </w:r>
      <w:r w:rsidR="00742D56" w:rsidRPr="00FB1473">
        <w:rPr>
          <w:rFonts w:asciiTheme="majorBidi" w:hAnsiTheme="majorBidi" w:cstheme="majorBidi"/>
          <w:sz w:val="23"/>
          <w:szCs w:val="23"/>
        </w:rPr>
        <w:t>in</w:t>
      </w:r>
      <w:r w:rsidR="00621952" w:rsidRPr="00FB1473">
        <w:rPr>
          <w:rFonts w:asciiTheme="majorBidi" w:hAnsiTheme="majorBidi" w:cstheme="majorBidi"/>
          <w:sz w:val="23"/>
          <w:szCs w:val="23"/>
        </w:rPr>
        <w:t xml:space="preserve"> </w:t>
      </w:r>
      <w:r w:rsidR="005F2E91" w:rsidRPr="00FB1473">
        <w:rPr>
          <w:rFonts w:asciiTheme="majorBidi" w:hAnsiTheme="majorBidi" w:cstheme="majorBidi"/>
          <w:sz w:val="23"/>
          <w:szCs w:val="23"/>
        </w:rPr>
        <w:t>2022.</w:t>
      </w:r>
    </w:p>
    <w:p w14:paraId="1190495A" w14:textId="77777777" w:rsidR="00FB1473" w:rsidRPr="00FB1473" w:rsidRDefault="00FB1473" w:rsidP="00FB1473">
      <w:pPr>
        <w:bidi w:val="0"/>
        <w:spacing w:before="120" w:after="120"/>
        <w:jc w:val="both"/>
        <w:rPr>
          <w:b/>
          <w:bCs/>
          <w:sz w:val="12"/>
          <w:szCs w:val="12"/>
        </w:rPr>
      </w:pPr>
    </w:p>
    <w:p w14:paraId="675AC8BA" w14:textId="67634454" w:rsidR="001B522E" w:rsidRPr="00FB1473" w:rsidRDefault="0052630C" w:rsidP="0045564B">
      <w:pPr>
        <w:bidi w:val="0"/>
        <w:spacing w:before="120" w:after="120" w:line="240" w:lineRule="exact"/>
        <w:jc w:val="lowKashida"/>
        <w:rPr>
          <w:b/>
          <w:bCs/>
          <w:sz w:val="23"/>
          <w:szCs w:val="23"/>
        </w:rPr>
      </w:pPr>
      <w:r w:rsidRPr="00FB1473">
        <w:rPr>
          <w:b/>
          <w:bCs/>
          <w:sz w:val="23"/>
          <w:szCs w:val="23"/>
        </w:rPr>
        <w:t>It take</w:t>
      </w:r>
      <w:r w:rsidR="007D6DD2" w:rsidRPr="00FB1473">
        <w:rPr>
          <w:b/>
          <w:bCs/>
          <w:sz w:val="23"/>
          <w:szCs w:val="23"/>
        </w:rPr>
        <w:t>s</w:t>
      </w:r>
      <w:r w:rsidRPr="00FB1473">
        <w:rPr>
          <w:b/>
          <w:bCs/>
          <w:sz w:val="23"/>
          <w:szCs w:val="23"/>
        </w:rPr>
        <w:t xml:space="preserve"> </w:t>
      </w:r>
      <w:r w:rsidR="007D6DD2" w:rsidRPr="00FB1473">
        <w:rPr>
          <w:b/>
          <w:bCs/>
          <w:sz w:val="23"/>
          <w:szCs w:val="23"/>
        </w:rPr>
        <w:t>graduates</w:t>
      </w:r>
      <w:r w:rsidR="0045564B" w:rsidRPr="00FB1473">
        <w:rPr>
          <w:b/>
          <w:bCs/>
          <w:sz w:val="23"/>
          <w:szCs w:val="23"/>
        </w:rPr>
        <w:t xml:space="preserve"> in the West Bank</w:t>
      </w:r>
      <w:r w:rsidR="007D6DD2" w:rsidRPr="00FB1473">
        <w:rPr>
          <w:b/>
          <w:bCs/>
          <w:sz w:val="23"/>
          <w:szCs w:val="23"/>
        </w:rPr>
        <w:t xml:space="preserve"> </w:t>
      </w:r>
      <w:r w:rsidR="00B66EE2" w:rsidRPr="00FB1473">
        <w:rPr>
          <w:b/>
          <w:bCs/>
          <w:sz w:val="23"/>
          <w:szCs w:val="23"/>
        </w:rPr>
        <w:t>about 4</w:t>
      </w:r>
      <w:r w:rsidR="0045564B" w:rsidRPr="00FB1473">
        <w:rPr>
          <w:b/>
          <w:bCs/>
          <w:sz w:val="23"/>
          <w:szCs w:val="23"/>
        </w:rPr>
        <w:t>-13</w:t>
      </w:r>
      <w:r w:rsidR="001B522E" w:rsidRPr="00FB1473">
        <w:rPr>
          <w:b/>
          <w:bCs/>
          <w:sz w:val="23"/>
          <w:szCs w:val="23"/>
        </w:rPr>
        <w:t xml:space="preserve"> months </w:t>
      </w:r>
      <w:r w:rsidRPr="00FB1473">
        <w:rPr>
          <w:b/>
          <w:bCs/>
          <w:sz w:val="23"/>
          <w:szCs w:val="23"/>
        </w:rPr>
        <w:t xml:space="preserve">before </w:t>
      </w:r>
      <w:r w:rsidR="00E12DB5">
        <w:rPr>
          <w:b/>
          <w:bCs/>
          <w:sz w:val="23"/>
          <w:szCs w:val="23"/>
        </w:rPr>
        <w:t>receiving</w:t>
      </w:r>
      <w:r w:rsidR="00E12DB5" w:rsidRPr="00FB1473">
        <w:rPr>
          <w:b/>
          <w:bCs/>
          <w:sz w:val="23"/>
          <w:szCs w:val="23"/>
        </w:rPr>
        <w:t xml:space="preserve"> </w:t>
      </w:r>
      <w:r w:rsidRPr="00FB1473">
        <w:rPr>
          <w:b/>
          <w:bCs/>
          <w:sz w:val="23"/>
          <w:szCs w:val="23"/>
        </w:rPr>
        <w:t xml:space="preserve">their first </w:t>
      </w:r>
      <w:r w:rsidR="00E12DB5">
        <w:rPr>
          <w:b/>
          <w:bCs/>
          <w:sz w:val="23"/>
          <w:szCs w:val="23"/>
        </w:rPr>
        <w:t>job</w:t>
      </w:r>
      <w:r w:rsidR="00E12DB5" w:rsidRPr="00FB1473">
        <w:rPr>
          <w:b/>
          <w:bCs/>
          <w:sz w:val="23"/>
          <w:szCs w:val="23"/>
        </w:rPr>
        <w:t xml:space="preserve"> </w:t>
      </w:r>
      <w:r w:rsidR="00E12DB5">
        <w:rPr>
          <w:b/>
          <w:bCs/>
          <w:sz w:val="23"/>
          <w:szCs w:val="23"/>
        </w:rPr>
        <w:t>opportunity</w:t>
      </w:r>
    </w:p>
    <w:p w14:paraId="20D368E8" w14:textId="77777777" w:rsidR="001B522E" w:rsidRPr="00FB1473" w:rsidRDefault="009C195F" w:rsidP="00F35509">
      <w:pPr>
        <w:bidi w:val="0"/>
        <w:jc w:val="lowKashida"/>
        <w:rPr>
          <w:sz w:val="23"/>
          <w:szCs w:val="23"/>
        </w:rPr>
      </w:pPr>
      <w:r w:rsidRPr="00FB1473">
        <w:rPr>
          <w:sz w:val="23"/>
          <w:szCs w:val="23"/>
        </w:rPr>
        <w:t xml:space="preserve">For selected education fields in </w:t>
      </w:r>
      <w:r w:rsidR="00BA691B" w:rsidRPr="00FB1473">
        <w:rPr>
          <w:sz w:val="23"/>
          <w:szCs w:val="23"/>
        </w:rPr>
        <w:t>2023</w:t>
      </w:r>
      <w:r w:rsidR="001B522E" w:rsidRPr="00FB1473">
        <w:rPr>
          <w:rFonts w:asciiTheme="majorBidi" w:hAnsiTheme="majorBidi" w:cstheme="majorBidi"/>
          <w:sz w:val="23"/>
          <w:szCs w:val="23"/>
        </w:rPr>
        <w:t xml:space="preserve">, the highest </w:t>
      </w:r>
      <w:r w:rsidR="001B522E" w:rsidRPr="00FB1473">
        <w:rPr>
          <w:sz w:val="23"/>
          <w:szCs w:val="23"/>
        </w:rPr>
        <w:t>period of unemployment for graduates aged (20-29 years</w:t>
      </w:r>
      <w:r w:rsidR="00F321B6" w:rsidRPr="00FB1473">
        <w:rPr>
          <w:sz w:val="23"/>
          <w:szCs w:val="23"/>
        </w:rPr>
        <w:t>)</w:t>
      </w:r>
      <w:r w:rsidR="001B522E" w:rsidRPr="00FB1473">
        <w:rPr>
          <w:sz w:val="23"/>
          <w:szCs w:val="23"/>
        </w:rPr>
        <w:t xml:space="preserve"> in </w:t>
      </w:r>
      <w:r w:rsidR="00F35509" w:rsidRPr="00FB1473">
        <w:rPr>
          <w:sz w:val="23"/>
          <w:szCs w:val="23"/>
        </w:rPr>
        <w:t>the West Bank</w:t>
      </w:r>
      <w:r w:rsidR="001B522E" w:rsidRPr="00FB1473">
        <w:rPr>
          <w:sz w:val="23"/>
          <w:szCs w:val="23"/>
        </w:rPr>
        <w:t xml:space="preserve"> with an intermediate diploma or bachelor’s degree was in </w:t>
      </w:r>
      <w:r w:rsidR="00F35509" w:rsidRPr="00FB1473">
        <w:rPr>
          <w:sz w:val="23"/>
          <w:szCs w:val="23"/>
        </w:rPr>
        <w:t>information and communication technologies (ICTs)</w:t>
      </w:r>
      <w:r w:rsidR="008A4B03" w:rsidRPr="00FB1473">
        <w:rPr>
          <w:sz w:val="23"/>
          <w:szCs w:val="23"/>
        </w:rPr>
        <w:t>,</w:t>
      </w:r>
      <w:r w:rsidR="001B522E" w:rsidRPr="00FB1473">
        <w:rPr>
          <w:sz w:val="23"/>
          <w:szCs w:val="23"/>
        </w:rPr>
        <w:t xml:space="preserve"> </w:t>
      </w:r>
      <w:r w:rsidR="00B66EE2" w:rsidRPr="00FB1473">
        <w:rPr>
          <w:rFonts w:asciiTheme="majorBidi" w:hAnsiTheme="majorBidi" w:cstheme="majorBidi"/>
          <w:sz w:val="23"/>
          <w:szCs w:val="23"/>
        </w:rPr>
        <w:t>being 13</w:t>
      </w:r>
      <w:r w:rsidR="001B522E" w:rsidRPr="00FB1473">
        <w:rPr>
          <w:rFonts w:asciiTheme="majorBidi" w:hAnsiTheme="majorBidi" w:cstheme="majorBidi"/>
          <w:sz w:val="23"/>
          <w:szCs w:val="23"/>
        </w:rPr>
        <w:t xml:space="preserve"> months. The lowest period was in</w:t>
      </w:r>
      <w:r w:rsidR="00562D09" w:rsidRPr="00FB1473">
        <w:rPr>
          <w:rFonts w:asciiTheme="majorBidi" w:hAnsiTheme="majorBidi" w:cstheme="majorBidi"/>
          <w:sz w:val="23"/>
          <w:szCs w:val="23"/>
        </w:rPr>
        <w:t xml:space="preserve"> </w:t>
      </w:r>
      <w:r w:rsidR="00F35509" w:rsidRPr="00FB1473">
        <w:rPr>
          <w:rFonts w:asciiTheme="majorBidi" w:hAnsiTheme="majorBidi" w:cstheme="majorBidi"/>
          <w:sz w:val="23"/>
          <w:szCs w:val="23"/>
        </w:rPr>
        <w:t>journalism and information</w:t>
      </w:r>
      <w:r w:rsidR="005B2321" w:rsidRPr="00FB1473">
        <w:rPr>
          <w:rFonts w:asciiTheme="majorBidi" w:hAnsiTheme="majorBidi" w:cstheme="majorBidi"/>
          <w:sz w:val="23"/>
          <w:szCs w:val="23"/>
        </w:rPr>
        <w:t xml:space="preserve"> </w:t>
      </w:r>
      <w:r w:rsidR="001B522E" w:rsidRPr="00FB1473">
        <w:rPr>
          <w:sz w:val="23"/>
          <w:szCs w:val="23"/>
        </w:rPr>
        <w:t>with</w:t>
      </w:r>
      <w:r w:rsidR="00F35509" w:rsidRPr="00FB1473">
        <w:rPr>
          <w:sz w:val="23"/>
          <w:szCs w:val="23"/>
        </w:rPr>
        <w:t xml:space="preserve"> about</w:t>
      </w:r>
      <w:r w:rsidR="001B522E" w:rsidRPr="00FB1473">
        <w:rPr>
          <w:sz w:val="23"/>
          <w:szCs w:val="23"/>
        </w:rPr>
        <w:t xml:space="preserve"> </w:t>
      </w:r>
      <w:r w:rsidR="00F35509" w:rsidRPr="00FB1473">
        <w:rPr>
          <w:sz w:val="23"/>
          <w:szCs w:val="23"/>
        </w:rPr>
        <w:t>4</w:t>
      </w:r>
      <w:r w:rsidR="001B522E" w:rsidRPr="00FB1473">
        <w:rPr>
          <w:sz w:val="23"/>
          <w:szCs w:val="23"/>
        </w:rPr>
        <w:t xml:space="preserve"> months.</w:t>
      </w:r>
    </w:p>
    <w:p w14:paraId="696C3DE2" w14:textId="77777777" w:rsidR="00EA7F1A" w:rsidRPr="00FB1473" w:rsidRDefault="00EA7F1A" w:rsidP="00EA7F1A">
      <w:pPr>
        <w:bidi w:val="0"/>
        <w:jc w:val="lowKashida"/>
        <w:rPr>
          <w:sz w:val="12"/>
          <w:szCs w:val="12"/>
        </w:rPr>
      </w:pPr>
    </w:p>
    <w:p w14:paraId="788EEA61" w14:textId="77777777" w:rsidR="00502271" w:rsidRPr="00FB1473" w:rsidRDefault="00502271" w:rsidP="00502271">
      <w:pPr>
        <w:pStyle w:val="Header"/>
        <w:bidi w:val="0"/>
        <w:jc w:val="both"/>
        <w:rPr>
          <w:b/>
          <w:bCs/>
          <w:sz w:val="12"/>
          <w:szCs w:val="12"/>
        </w:rPr>
      </w:pPr>
    </w:p>
    <w:p w14:paraId="1DC27EEE" w14:textId="77777777" w:rsidR="00DF4B40" w:rsidRPr="00FB1473" w:rsidRDefault="001B522E" w:rsidP="008C31DA">
      <w:pPr>
        <w:bidi w:val="0"/>
        <w:jc w:val="center"/>
        <w:rPr>
          <w:b/>
          <w:bCs/>
          <w:sz w:val="22"/>
          <w:szCs w:val="22"/>
        </w:rPr>
      </w:pPr>
      <w:r w:rsidRPr="00FB1473">
        <w:rPr>
          <w:b/>
          <w:bCs/>
          <w:sz w:val="22"/>
          <w:szCs w:val="22"/>
        </w:rPr>
        <w:t xml:space="preserve">Period of </w:t>
      </w:r>
      <w:r w:rsidR="00BD54A8" w:rsidRPr="00FB1473">
        <w:rPr>
          <w:b/>
          <w:bCs/>
          <w:sz w:val="22"/>
          <w:szCs w:val="22"/>
        </w:rPr>
        <w:t xml:space="preserve">Unemployment </w:t>
      </w:r>
      <w:r w:rsidRPr="00FB1473">
        <w:rPr>
          <w:b/>
          <w:bCs/>
          <w:sz w:val="22"/>
          <w:szCs w:val="22"/>
        </w:rPr>
        <w:t xml:space="preserve">in </w:t>
      </w:r>
      <w:r w:rsidR="00BD54A8" w:rsidRPr="00FB1473">
        <w:rPr>
          <w:b/>
          <w:bCs/>
          <w:sz w:val="22"/>
          <w:szCs w:val="22"/>
        </w:rPr>
        <w:t xml:space="preserve">Months </w:t>
      </w:r>
      <w:r w:rsidR="00934903" w:rsidRPr="00FB1473">
        <w:rPr>
          <w:b/>
          <w:bCs/>
          <w:sz w:val="22"/>
          <w:szCs w:val="22"/>
        </w:rPr>
        <w:t>among</w:t>
      </w:r>
      <w:r w:rsidRPr="00FB1473">
        <w:rPr>
          <w:b/>
          <w:bCs/>
          <w:sz w:val="22"/>
          <w:szCs w:val="22"/>
        </w:rPr>
        <w:t xml:space="preserve"> </w:t>
      </w:r>
      <w:r w:rsidR="00F64EBF" w:rsidRPr="00FB1473">
        <w:rPr>
          <w:b/>
          <w:bCs/>
          <w:sz w:val="22"/>
          <w:szCs w:val="22"/>
        </w:rPr>
        <w:t>Individuals</w:t>
      </w:r>
      <w:r w:rsidR="00BD54A8" w:rsidRPr="00FB1473">
        <w:rPr>
          <w:b/>
          <w:bCs/>
          <w:sz w:val="22"/>
          <w:szCs w:val="22"/>
        </w:rPr>
        <w:t xml:space="preserve"> </w:t>
      </w:r>
      <w:r w:rsidRPr="00FB1473">
        <w:rPr>
          <w:b/>
          <w:bCs/>
          <w:sz w:val="22"/>
          <w:szCs w:val="22"/>
        </w:rPr>
        <w:t>(20-29 years</w:t>
      </w:r>
      <w:r w:rsidR="00EB2E06" w:rsidRPr="00FB1473">
        <w:rPr>
          <w:b/>
          <w:bCs/>
          <w:sz w:val="22"/>
          <w:szCs w:val="22"/>
        </w:rPr>
        <w:t>)</w:t>
      </w:r>
      <w:r w:rsidRPr="00FB1473">
        <w:rPr>
          <w:b/>
          <w:bCs/>
          <w:sz w:val="22"/>
          <w:szCs w:val="22"/>
        </w:rPr>
        <w:t xml:space="preserve"> in </w:t>
      </w:r>
      <w:r w:rsidR="008C31DA" w:rsidRPr="00FB1473">
        <w:rPr>
          <w:b/>
          <w:bCs/>
          <w:sz w:val="22"/>
          <w:szCs w:val="22"/>
        </w:rPr>
        <w:t>the West Bank</w:t>
      </w:r>
      <w:r w:rsidR="00BD54A8" w:rsidRPr="00FB1473">
        <w:rPr>
          <w:b/>
          <w:bCs/>
          <w:sz w:val="22"/>
          <w:szCs w:val="22"/>
        </w:rPr>
        <w:t xml:space="preserve"> </w:t>
      </w:r>
      <w:r w:rsidRPr="00FB1473">
        <w:rPr>
          <w:b/>
          <w:bCs/>
          <w:sz w:val="22"/>
          <w:szCs w:val="22"/>
        </w:rPr>
        <w:t>with</w:t>
      </w:r>
    </w:p>
    <w:p w14:paraId="498C3552" w14:textId="2CCE4ABB" w:rsidR="001B522E" w:rsidRPr="00FB1473" w:rsidRDefault="001B522E" w:rsidP="00F87BF4">
      <w:pPr>
        <w:bidi w:val="0"/>
        <w:jc w:val="center"/>
        <w:rPr>
          <w:b/>
          <w:bCs/>
          <w:sz w:val="22"/>
          <w:szCs w:val="22"/>
        </w:rPr>
      </w:pPr>
      <w:r w:rsidRPr="00FB1473">
        <w:rPr>
          <w:b/>
          <w:bCs/>
          <w:sz w:val="22"/>
          <w:szCs w:val="22"/>
        </w:rPr>
        <w:t xml:space="preserve"> an </w:t>
      </w:r>
      <w:r w:rsidR="00BD54A8" w:rsidRPr="00FB1473">
        <w:rPr>
          <w:b/>
          <w:bCs/>
          <w:sz w:val="22"/>
          <w:szCs w:val="22"/>
        </w:rPr>
        <w:t xml:space="preserve">Intermediate Diploma </w:t>
      </w:r>
      <w:r w:rsidRPr="00FB1473">
        <w:rPr>
          <w:b/>
          <w:bCs/>
          <w:sz w:val="22"/>
          <w:szCs w:val="22"/>
        </w:rPr>
        <w:t xml:space="preserve">or </w:t>
      </w:r>
      <w:r w:rsidR="00BD54A8" w:rsidRPr="00FB1473">
        <w:rPr>
          <w:b/>
          <w:bCs/>
          <w:sz w:val="22"/>
          <w:szCs w:val="22"/>
        </w:rPr>
        <w:t xml:space="preserve">Bachelor’s Degree </w:t>
      </w:r>
      <w:r w:rsidR="009C195F" w:rsidRPr="00FB1473">
        <w:rPr>
          <w:b/>
          <w:bCs/>
          <w:sz w:val="22"/>
          <w:szCs w:val="22"/>
        </w:rPr>
        <w:t xml:space="preserve">for </w:t>
      </w:r>
      <w:r w:rsidR="00F87BF4">
        <w:rPr>
          <w:b/>
          <w:bCs/>
          <w:sz w:val="22"/>
          <w:szCs w:val="22"/>
        </w:rPr>
        <w:t>S</w:t>
      </w:r>
      <w:r w:rsidR="00F87BF4" w:rsidRPr="00FB1473">
        <w:rPr>
          <w:b/>
          <w:bCs/>
          <w:sz w:val="22"/>
          <w:szCs w:val="22"/>
        </w:rPr>
        <w:t xml:space="preserve">elected </w:t>
      </w:r>
      <w:r w:rsidR="00F87BF4">
        <w:rPr>
          <w:b/>
          <w:bCs/>
          <w:sz w:val="22"/>
          <w:szCs w:val="22"/>
        </w:rPr>
        <w:t>E</w:t>
      </w:r>
      <w:r w:rsidR="00F87BF4" w:rsidRPr="00FB1473">
        <w:rPr>
          <w:b/>
          <w:bCs/>
          <w:sz w:val="22"/>
          <w:szCs w:val="22"/>
        </w:rPr>
        <w:t xml:space="preserve">ducation </w:t>
      </w:r>
      <w:r w:rsidR="00F87BF4">
        <w:rPr>
          <w:b/>
          <w:bCs/>
          <w:sz w:val="22"/>
          <w:szCs w:val="22"/>
        </w:rPr>
        <w:t>F</w:t>
      </w:r>
      <w:r w:rsidR="00F87BF4" w:rsidRPr="00FB1473">
        <w:rPr>
          <w:b/>
          <w:bCs/>
          <w:sz w:val="22"/>
          <w:szCs w:val="22"/>
        </w:rPr>
        <w:t>ields</w:t>
      </w:r>
      <w:r w:rsidRPr="00FB1473">
        <w:rPr>
          <w:b/>
          <w:bCs/>
          <w:sz w:val="22"/>
          <w:szCs w:val="22"/>
        </w:rPr>
        <w:t xml:space="preserve">, </w:t>
      </w:r>
      <w:r w:rsidR="008C31DA" w:rsidRPr="00FB1473">
        <w:rPr>
          <w:b/>
          <w:bCs/>
          <w:sz w:val="22"/>
          <w:szCs w:val="22"/>
        </w:rPr>
        <w:t>2023</w:t>
      </w:r>
    </w:p>
    <w:p w14:paraId="22E661DC" w14:textId="77777777" w:rsidR="00FB1473" w:rsidRPr="00FB1473" w:rsidRDefault="00FB1473" w:rsidP="00FB1473">
      <w:pPr>
        <w:bidi w:val="0"/>
        <w:jc w:val="center"/>
        <w:rPr>
          <w:b/>
          <w:bCs/>
          <w:sz w:val="6"/>
          <w:szCs w:val="6"/>
        </w:rPr>
      </w:pPr>
    </w:p>
    <w:p w14:paraId="7B44EAF1" w14:textId="77777777" w:rsidR="00DF4B40" w:rsidRPr="00FB1473" w:rsidRDefault="00DF4B40" w:rsidP="00DF4B40">
      <w:pPr>
        <w:bidi w:val="0"/>
        <w:jc w:val="center"/>
        <w:rPr>
          <w:b/>
          <w:bCs/>
          <w:sz w:val="6"/>
          <w:szCs w:val="6"/>
        </w:rPr>
      </w:pP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3843"/>
      </w:tblGrid>
      <w:tr w:rsidR="008C31DA" w:rsidRPr="00FB1473" w14:paraId="584A1C7C" w14:textId="77777777" w:rsidTr="006A355A">
        <w:trPr>
          <w:trHeight w:hRule="exact" w:val="340"/>
          <w:jc w:val="center"/>
        </w:trPr>
        <w:tc>
          <w:tcPr>
            <w:tcW w:w="5263" w:type="dxa"/>
            <w:vMerge w:val="restart"/>
            <w:vAlign w:val="center"/>
          </w:tcPr>
          <w:p w14:paraId="1DF61E55" w14:textId="77777777" w:rsidR="008C31DA" w:rsidRPr="00FB1473" w:rsidRDefault="008C31DA" w:rsidP="002F7945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Field of Education</w:t>
            </w:r>
          </w:p>
        </w:tc>
        <w:tc>
          <w:tcPr>
            <w:tcW w:w="3843" w:type="dxa"/>
            <w:vMerge w:val="restart"/>
            <w:vAlign w:val="center"/>
          </w:tcPr>
          <w:p w14:paraId="05F6633F" w14:textId="77777777" w:rsidR="008C31DA" w:rsidRPr="00FB1473" w:rsidRDefault="008C31DA" w:rsidP="002F7945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B1473">
              <w:rPr>
                <w:b/>
                <w:bCs/>
                <w:sz w:val="18"/>
                <w:szCs w:val="18"/>
              </w:rPr>
              <w:t>Period of Unemployment</w:t>
            </w:r>
          </w:p>
        </w:tc>
      </w:tr>
      <w:tr w:rsidR="008C31DA" w:rsidRPr="00FB1473" w14:paraId="10201F76" w14:textId="77777777" w:rsidTr="006A355A">
        <w:trPr>
          <w:trHeight w:hRule="exact" w:val="340"/>
          <w:jc w:val="center"/>
        </w:trPr>
        <w:tc>
          <w:tcPr>
            <w:tcW w:w="5263" w:type="dxa"/>
            <w:vMerge/>
            <w:tcBorders>
              <w:bottom w:val="single" w:sz="4" w:space="0" w:color="auto"/>
            </w:tcBorders>
          </w:tcPr>
          <w:p w14:paraId="2E33AE85" w14:textId="77777777" w:rsidR="008C31DA" w:rsidRPr="00FB1473" w:rsidRDefault="008C31DA" w:rsidP="002F7945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43" w:type="dxa"/>
            <w:vMerge/>
            <w:tcBorders>
              <w:bottom w:val="single" w:sz="4" w:space="0" w:color="auto"/>
            </w:tcBorders>
          </w:tcPr>
          <w:p w14:paraId="0FBAE642" w14:textId="77777777" w:rsidR="008C31DA" w:rsidRPr="00FB1473" w:rsidRDefault="008C31DA" w:rsidP="002F7945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8C31DA" w:rsidRPr="00FB1473" w14:paraId="0AD386A6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3AF29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Business and administration</w:t>
            </w:r>
          </w:p>
        </w:tc>
        <w:tc>
          <w:tcPr>
            <w:tcW w:w="3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4381B2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10.8</w:t>
            </w:r>
          </w:p>
        </w:tc>
      </w:tr>
      <w:tr w:rsidR="008C31DA" w:rsidRPr="00FB1473" w14:paraId="4C2CE45E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40E1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Health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E8E2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8.0</w:t>
            </w:r>
          </w:p>
        </w:tc>
      </w:tr>
      <w:tr w:rsidR="008C31DA" w:rsidRPr="00FB1473" w14:paraId="7CF238C3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C1D0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3656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9.1</w:t>
            </w:r>
          </w:p>
        </w:tc>
      </w:tr>
      <w:tr w:rsidR="008C31DA" w:rsidRPr="00FB1473" w14:paraId="494E4663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188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Engineering and engineering trades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3683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6.0</w:t>
            </w:r>
          </w:p>
        </w:tc>
      </w:tr>
      <w:tr w:rsidR="008C31DA" w:rsidRPr="00FB1473" w14:paraId="0F5E0E4D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151C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>Law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883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6.4</w:t>
            </w:r>
          </w:p>
        </w:tc>
      </w:tr>
      <w:tr w:rsidR="008C31DA" w:rsidRPr="00FB1473" w14:paraId="684B8391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691B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Languages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EF14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9.0</w:t>
            </w:r>
          </w:p>
        </w:tc>
      </w:tr>
      <w:tr w:rsidR="008C31DA" w:rsidRPr="00FB1473" w14:paraId="278AAABB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3F73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>Architecture and construction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ED39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5.6</w:t>
            </w:r>
          </w:p>
        </w:tc>
      </w:tr>
      <w:tr w:rsidR="008C31DA" w:rsidRPr="00FB1473" w14:paraId="79A8CD61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87B3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>Information and Communication Technologies (ICTs)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A79B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13.4</w:t>
            </w:r>
          </w:p>
        </w:tc>
      </w:tr>
      <w:tr w:rsidR="008C31DA" w:rsidRPr="00FB1473" w14:paraId="52C42DDE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0DE7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 xml:space="preserve">Welfare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46F0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7.3</w:t>
            </w:r>
          </w:p>
        </w:tc>
      </w:tr>
      <w:tr w:rsidR="008C31DA" w:rsidRPr="00FB1473" w14:paraId="18C1304E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7ED4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A43386">
              <w:rPr>
                <w:b/>
                <w:bCs/>
                <w:sz w:val="18"/>
                <w:szCs w:val="18"/>
              </w:rPr>
              <w:t>Arts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7B69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12.5</w:t>
            </w:r>
          </w:p>
        </w:tc>
      </w:tr>
      <w:tr w:rsidR="008C31DA" w:rsidRPr="00FB1473" w14:paraId="6D45FC8E" w14:textId="77777777" w:rsidTr="006A355A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ECEA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Social and behavioral sciences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98E8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11.1</w:t>
            </w:r>
          </w:p>
        </w:tc>
      </w:tr>
      <w:tr w:rsidR="008C31DA" w:rsidRPr="00FB1473" w14:paraId="134F3A19" w14:textId="77777777" w:rsidTr="00F53167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297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 xml:space="preserve">Physical sciences 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C034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8.1</w:t>
            </w:r>
          </w:p>
        </w:tc>
      </w:tr>
      <w:tr w:rsidR="008C31DA" w:rsidRPr="00FB1473" w14:paraId="32EF07E1" w14:textId="77777777" w:rsidTr="00F53167">
        <w:trPr>
          <w:trHeight w:hRule="exact" w:val="340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531" w14:textId="77777777" w:rsidR="008C31DA" w:rsidRPr="00A43386" w:rsidRDefault="008C31DA" w:rsidP="00F22E8F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43386">
              <w:rPr>
                <w:b/>
                <w:bCs/>
                <w:sz w:val="18"/>
                <w:szCs w:val="18"/>
              </w:rPr>
              <w:t>Journalism and information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56E9" w14:textId="77777777" w:rsidR="008C31DA" w:rsidRPr="00FB1473" w:rsidRDefault="008C31DA" w:rsidP="00F22E8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47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3.5</w:t>
            </w:r>
          </w:p>
        </w:tc>
      </w:tr>
      <w:tr w:rsidR="00EF7826" w:rsidRPr="00FB1473" w14:paraId="12A4D45D" w14:textId="77777777" w:rsidTr="00F53167">
        <w:trPr>
          <w:trHeight w:hRule="exact" w:val="340"/>
          <w:jc w:val="center"/>
        </w:trPr>
        <w:tc>
          <w:tcPr>
            <w:tcW w:w="91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E1769" w14:textId="77777777" w:rsidR="00EF7826" w:rsidRPr="00FB1473" w:rsidRDefault="00EF7826" w:rsidP="00EF7826">
            <w:pPr>
              <w:bidi w:val="0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Source: Palestinian Central </w:t>
            </w:r>
            <w:r w:rsidR="00B66EE2"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Bureau of</w:t>
            </w:r>
            <w:r w:rsidRPr="00FB14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Statistics, 2024. </w:t>
            </w:r>
            <w:r w:rsidRPr="00FB1473">
              <w:rPr>
                <w:rFonts w:asciiTheme="majorBidi" w:hAnsiTheme="majorBidi" w:cstheme="majorBidi"/>
                <w:sz w:val="18"/>
                <w:szCs w:val="18"/>
              </w:rPr>
              <w:t>Database of Labor Force Survey, 2023. Ramallah-Palestine</w:t>
            </w:r>
          </w:p>
        </w:tc>
      </w:tr>
    </w:tbl>
    <w:p w14:paraId="5873B69F" w14:textId="77777777" w:rsidR="00AC492B" w:rsidRPr="00FB1473" w:rsidRDefault="00AC492B" w:rsidP="001B522E">
      <w:pPr>
        <w:bidi w:val="0"/>
        <w:spacing w:before="120" w:after="120"/>
        <w:jc w:val="both"/>
        <w:rPr>
          <w:sz w:val="12"/>
          <w:szCs w:val="12"/>
        </w:rPr>
      </w:pPr>
    </w:p>
    <w:p w14:paraId="0B5E9BF3" w14:textId="77777777" w:rsidR="00502271" w:rsidRPr="00FB1473" w:rsidRDefault="00502271" w:rsidP="00502271">
      <w:pPr>
        <w:pStyle w:val="Header"/>
        <w:bidi w:val="0"/>
        <w:jc w:val="both"/>
        <w:rPr>
          <w:b/>
          <w:bCs/>
          <w:sz w:val="12"/>
          <w:szCs w:val="12"/>
        </w:rPr>
      </w:pPr>
    </w:p>
    <w:p w14:paraId="479169FB" w14:textId="77777777" w:rsidR="00F32136" w:rsidRPr="00FB1473" w:rsidRDefault="00F32136" w:rsidP="009559E5">
      <w:pPr>
        <w:bidi w:val="0"/>
        <w:jc w:val="both"/>
        <w:rPr>
          <w:b/>
          <w:bCs/>
          <w:sz w:val="20"/>
          <w:szCs w:val="20"/>
        </w:rPr>
      </w:pPr>
    </w:p>
    <w:p w14:paraId="309B9E92" w14:textId="77777777" w:rsidR="00735E2C" w:rsidRPr="00FB1473" w:rsidRDefault="00735E2C" w:rsidP="009559E5">
      <w:pPr>
        <w:bidi w:val="0"/>
        <w:jc w:val="both"/>
      </w:pPr>
    </w:p>
    <w:sectPr w:rsidR="00735E2C" w:rsidRPr="00FB1473" w:rsidSect="000B20E9">
      <w:footerReference w:type="even" r:id="rId8"/>
      <w:pgSz w:w="11907" w:h="16840" w:code="9"/>
      <w:pgMar w:top="851" w:right="851" w:bottom="851" w:left="851" w:header="624" w:footer="624" w:gutter="0"/>
      <w:pgNumType w:start="37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07B72" w14:textId="77777777" w:rsidR="00CD368A" w:rsidRDefault="00CD368A">
      <w:r>
        <w:separator/>
      </w:r>
    </w:p>
  </w:endnote>
  <w:endnote w:type="continuationSeparator" w:id="0">
    <w:p w14:paraId="66B0A793" w14:textId="77777777" w:rsidR="00CD368A" w:rsidRDefault="00CD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847C0" w14:textId="77777777" w:rsidR="00C05B60" w:rsidRDefault="0081272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C05B6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1157F6C" w14:textId="77777777" w:rsidR="00C05B60" w:rsidRDefault="00C05B60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6235" w14:textId="77777777" w:rsidR="00CD368A" w:rsidRDefault="00CD368A">
      <w:r>
        <w:separator/>
      </w:r>
    </w:p>
  </w:footnote>
  <w:footnote w:type="continuationSeparator" w:id="0">
    <w:p w14:paraId="0DE5948E" w14:textId="77777777" w:rsidR="00CD368A" w:rsidRDefault="00CD3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ar-SA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2825"/>
    <w:rsid w:val="00003BE4"/>
    <w:rsid w:val="0002118E"/>
    <w:rsid w:val="000221D3"/>
    <w:rsid w:val="0002434C"/>
    <w:rsid w:val="0002644D"/>
    <w:rsid w:val="00031220"/>
    <w:rsid w:val="00032888"/>
    <w:rsid w:val="00037E3C"/>
    <w:rsid w:val="0004173B"/>
    <w:rsid w:val="000427E2"/>
    <w:rsid w:val="00044119"/>
    <w:rsid w:val="00050B5A"/>
    <w:rsid w:val="00050F98"/>
    <w:rsid w:val="00051C27"/>
    <w:rsid w:val="00052A38"/>
    <w:rsid w:val="00054B17"/>
    <w:rsid w:val="00055820"/>
    <w:rsid w:val="00060ED9"/>
    <w:rsid w:val="000646DB"/>
    <w:rsid w:val="00067CB2"/>
    <w:rsid w:val="00071304"/>
    <w:rsid w:val="0007303F"/>
    <w:rsid w:val="00073642"/>
    <w:rsid w:val="00073C18"/>
    <w:rsid w:val="00077E69"/>
    <w:rsid w:val="00084A5B"/>
    <w:rsid w:val="000856CC"/>
    <w:rsid w:val="00093EF1"/>
    <w:rsid w:val="00093F12"/>
    <w:rsid w:val="000B000A"/>
    <w:rsid w:val="000B11AC"/>
    <w:rsid w:val="000B20E9"/>
    <w:rsid w:val="000B4122"/>
    <w:rsid w:val="000B62D7"/>
    <w:rsid w:val="000B6AC6"/>
    <w:rsid w:val="000C17B3"/>
    <w:rsid w:val="000C3942"/>
    <w:rsid w:val="000C5A1F"/>
    <w:rsid w:val="000D0BF4"/>
    <w:rsid w:val="000D1511"/>
    <w:rsid w:val="000D151E"/>
    <w:rsid w:val="000D6144"/>
    <w:rsid w:val="000E10F6"/>
    <w:rsid w:val="000E24D0"/>
    <w:rsid w:val="000E2C3E"/>
    <w:rsid w:val="000F37D0"/>
    <w:rsid w:val="000F3A90"/>
    <w:rsid w:val="000F6E74"/>
    <w:rsid w:val="00101548"/>
    <w:rsid w:val="0010500C"/>
    <w:rsid w:val="0010568E"/>
    <w:rsid w:val="00105F12"/>
    <w:rsid w:val="00107BAA"/>
    <w:rsid w:val="001236F2"/>
    <w:rsid w:val="00123C56"/>
    <w:rsid w:val="00125F03"/>
    <w:rsid w:val="001277CD"/>
    <w:rsid w:val="00131306"/>
    <w:rsid w:val="00131F94"/>
    <w:rsid w:val="00132DE8"/>
    <w:rsid w:val="00135F3B"/>
    <w:rsid w:val="0013724F"/>
    <w:rsid w:val="00137629"/>
    <w:rsid w:val="00143667"/>
    <w:rsid w:val="001547B4"/>
    <w:rsid w:val="001560E9"/>
    <w:rsid w:val="0015686C"/>
    <w:rsid w:val="00162EE4"/>
    <w:rsid w:val="001678C1"/>
    <w:rsid w:val="001718B1"/>
    <w:rsid w:val="00174655"/>
    <w:rsid w:val="00174F1D"/>
    <w:rsid w:val="00182EB7"/>
    <w:rsid w:val="00183304"/>
    <w:rsid w:val="001864D8"/>
    <w:rsid w:val="00186968"/>
    <w:rsid w:val="00191A7A"/>
    <w:rsid w:val="001957C3"/>
    <w:rsid w:val="00197C47"/>
    <w:rsid w:val="001A1C4F"/>
    <w:rsid w:val="001A4DE8"/>
    <w:rsid w:val="001A7768"/>
    <w:rsid w:val="001B0401"/>
    <w:rsid w:val="001B2525"/>
    <w:rsid w:val="001B3906"/>
    <w:rsid w:val="001B522E"/>
    <w:rsid w:val="001B6BFA"/>
    <w:rsid w:val="001B7F39"/>
    <w:rsid w:val="001C1BC6"/>
    <w:rsid w:val="001C3DB7"/>
    <w:rsid w:val="001C5706"/>
    <w:rsid w:val="001E2E3E"/>
    <w:rsid w:val="001E5A2E"/>
    <w:rsid w:val="001F1F21"/>
    <w:rsid w:val="001F2744"/>
    <w:rsid w:val="001F380E"/>
    <w:rsid w:val="001F75E2"/>
    <w:rsid w:val="002060F4"/>
    <w:rsid w:val="002126C2"/>
    <w:rsid w:val="002133B6"/>
    <w:rsid w:val="002140F2"/>
    <w:rsid w:val="00216A7C"/>
    <w:rsid w:val="00217169"/>
    <w:rsid w:val="00221761"/>
    <w:rsid w:val="00224EE7"/>
    <w:rsid w:val="00224EF6"/>
    <w:rsid w:val="00226B84"/>
    <w:rsid w:val="00227B24"/>
    <w:rsid w:val="00232094"/>
    <w:rsid w:val="002329CA"/>
    <w:rsid w:val="0023401A"/>
    <w:rsid w:val="00235C24"/>
    <w:rsid w:val="00237DA8"/>
    <w:rsid w:val="002466AD"/>
    <w:rsid w:val="002468C5"/>
    <w:rsid w:val="00247498"/>
    <w:rsid w:val="002518F7"/>
    <w:rsid w:val="002529DD"/>
    <w:rsid w:val="00255915"/>
    <w:rsid w:val="00255957"/>
    <w:rsid w:val="0025601B"/>
    <w:rsid w:val="00257A70"/>
    <w:rsid w:val="00261A6D"/>
    <w:rsid w:val="002704E7"/>
    <w:rsid w:val="00272465"/>
    <w:rsid w:val="00273615"/>
    <w:rsid w:val="0028134B"/>
    <w:rsid w:val="00285A6B"/>
    <w:rsid w:val="002870F3"/>
    <w:rsid w:val="00287E77"/>
    <w:rsid w:val="0029455E"/>
    <w:rsid w:val="002A0BD2"/>
    <w:rsid w:val="002B5176"/>
    <w:rsid w:val="002C68A6"/>
    <w:rsid w:val="002C7D1D"/>
    <w:rsid w:val="002D223C"/>
    <w:rsid w:val="002D238F"/>
    <w:rsid w:val="002D4DD9"/>
    <w:rsid w:val="002D63DD"/>
    <w:rsid w:val="002E5D27"/>
    <w:rsid w:val="002F1361"/>
    <w:rsid w:val="002F1812"/>
    <w:rsid w:val="002F1BF1"/>
    <w:rsid w:val="002F241E"/>
    <w:rsid w:val="002F4A1D"/>
    <w:rsid w:val="002F4FAC"/>
    <w:rsid w:val="002F68FA"/>
    <w:rsid w:val="002F6E86"/>
    <w:rsid w:val="002F6F7A"/>
    <w:rsid w:val="002F6FDF"/>
    <w:rsid w:val="002F7653"/>
    <w:rsid w:val="00305B59"/>
    <w:rsid w:val="00306CD0"/>
    <w:rsid w:val="00310D59"/>
    <w:rsid w:val="0031748D"/>
    <w:rsid w:val="00320027"/>
    <w:rsid w:val="003201C4"/>
    <w:rsid w:val="00330209"/>
    <w:rsid w:val="003302EE"/>
    <w:rsid w:val="00330A83"/>
    <w:rsid w:val="003324D6"/>
    <w:rsid w:val="00337618"/>
    <w:rsid w:val="00341656"/>
    <w:rsid w:val="0035159A"/>
    <w:rsid w:val="003564D3"/>
    <w:rsid w:val="00357B5F"/>
    <w:rsid w:val="00360CBA"/>
    <w:rsid w:val="003669A4"/>
    <w:rsid w:val="00366A62"/>
    <w:rsid w:val="00366C6F"/>
    <w:rsid w:val="003677FE"/>
    <w:rsid w:val="0037169B"/>
    <w:rsid w:val="003732C9"/>
    <w:rsid w:val="003732E4"/>
    <w:rsid w:val="00376A22"/>
    <w:rsid w:val="003809EB"/>
    <w:rsid w:val="00380AF6"/>
    <w:rsid w:val="00381551"/>
    <w:rsid w:val="00383B29"/>
    <w:rsid w:val="00385951"/>
    <w:rsid w:val="00390535"/>
    <w:rsid w:val="00390714"/>
    <w:rsid w:val="00394DBE"/>
    <w:rsid w:val="00395779"/>
    <w:rsid w:val="00395EC2"/>
    <w:rsid w:val="003A0009"/>
    <w:rsid w:val="003A4F41"/>
    <w:rsid w:val="003A5BA8"/>
    <w:rsid w:val="003A6025"/>
    <w:rsid w:val="003A7BF1"/>
    <w:rsid w:val="003B11DB"/>
    <w:rsid w:val="003B1557"/>
    <w:rsid w:val="003B2C95"/>
    <w:rsid w:val="003B50B4"/>
    <w:rsid w:val="003B7FB7"/>
    <w:rsid w:val="003C7CF1"/>
    <w:rsid w:val="003D3B0C"/>
    <w:rsid w:val="003D73E5"/>
    <w:rsid w:val="003E2C55"/>
    <w:rsid w:val="003E349C"/>
    <w:rsid w:val="003E568C"/>
    <w:rsid w:val="003E7084"/>
    <w:rsid w:val="003F0A99"/>
    <w:rsid w:val="003F1167"/>
    <w:rsid w:val="003F43AE"/>
    <w:rsid w:val="003F5DF5"/>
    <w:rsid w:val="003F7125"/>
    <w:rsid w:val="0040056A"/>
    <w:rsid w:val="00400C1F"/>
    <w:rsid w:val="00400F83"/>
    <w:rsid w:val="004018E5"/>
    <w:rsid w:val="00401901"/>
    <w:rsid w:val="004079A5"/>
    <w:rsid w:val="00413E96"/>
    <w:rsid w:val="00415025"/>
    <w:rsid w:val="0041507C"/>
    <w:rsid w:val="00417D18"/>
    <w:rsid w:val="00417F81"/>
    <w:rsid w:val="004232C7"/>
    <w:rsid w:val="00423605"/>
    <w:rsid w:val="00424CD2"/>
    <w:rsid w:val="00430B67"/>
    <w:rsid w:val="004350DB"/>
    <w:rsid w:val="00437A0F"/>
    <w:rsid w:val="004401A1"/>
    <w:rsid w:val="00441187"/>
    <w:rsid w:val="004441C2"/>
    <w:rsid w:val="0044603B"/>
    <w:rsid w:val="00447D4A"/>
    <w:rsid w:val="0045193D"/>
    <w:rsid w:val="0045564B"/>
    <w:rsid w:val="00456C86"/>
    <w:rsid w:val="0046161A"/>
    <w:rsid w:val="00462287"/>
    <w:rsid w:val="004653EA"/>
    <w:rsid w:val="00466752"/>
    <w:rsid w:val="004713B2"/>
    <w:rsid w:val="004717E5"/>
    <w:rsid w:val="00474501"/>
    <w:rsid w:val="0047735D"/>
    <w:rsid w:val="00481588"/>
    <w:rsid w:val="00483C12"/>
    <w:rsid w:val="0048472D"/>
    <w:rsid w:val="004851AA"/>
    <w:rsid w:val="00490525"/>
    <w:rsid w:val="00492ABB"/>
    <w:rsid w:val="00495508"/>
    <w:rsid w:val="004A15B5"/>
    <w:rsid w:val="004A4901"/>
    <w:rsid w:val="004A4C67"/>
    <w:rsid w:val="004A5EC5"/>
    <w:rsid w:val="004B1B19"/>
    <w:rsid w:val="004B2215"/>
    <w:rsid w:val="004C0076"/>
    <w:rsid w:val="004C0507"/>
    <w:rsid w:val="004C16AE"/>
    <w:rsid w:val="004C21A6"/>
    <w:rsid w:val="004C2832"/>
    <w:rsid w:val="004C52A0"/>
    <w:rsid w:val="004C5BBC"/>
    <w:rsid w:val="004D342D"/>
    <w:rsid w:val="004D4443"/>
    <w:rsid w:val="004D4B76"/>
    <w:rsid w:val="004D7D5B"/>
    <w:rsid w:val="004E1FA0"/>
    <w:rsid w:val="004E56FB"/>
    <w:rsid w:val="004E69FF"/>
    <w:rsid w:val="004E6A9D"/>
    <w:rsid w:val="004F0EA4"/>
    <w:rsid w:val="004F1C7D"/>
    <w:rsid w:val="004F35A4"/>
    <w:rsid w:val="004F63D2"/>
    <w:rsid w:val="004F6FFC"/>
    <w:rsid w:val="004F7CEA"/>
    <w:rsid w:val="00500B2A"/>
    <w:rsid w:val="0050107E"/>
    <w:rsid w:val="005012F9"/>
    <w:rsid w:val="00502271"/>
    <w:rsid w:val="00502B47"/>
    <w:rsid w:val="005067B0"/>
    <w:rsid w:val="00510303"/>
    <w:rsid w:val="00511F4F"/>
    <w:rsid w:val="00512D47"/>
    <w:rsid w:val="005134BC"/>
    <w:rsid w:val="00513B6C"/>
    <w:rsid w:val="00516857"/>
    <w:rsid w:val="0052127D"/>
    <w:rsid w:val="00523CB6"/>
    <w:rsid w:val="00525EEB"/>
    <w:rsid w:val="0052630C"/>
    <w:rsid w:val="0053383D"/>
    <w:rsid w:val="0053568F"/>
    <w:rsid w:val="00540D5B"/>
    <w:rsid w:val="005434CC"/>
    <w:rsid w:val="00543ECF"/>
    <w:rsid w:val="0054687A"/>
    <w:rsid w:val="0055069D"/>
    <w:rsid w:val="00550CB2"/>
    <w:rsid w:val="00554720"/>
    <w:rsid w:val="00562C9F"/>
    <w:rsid w:val="00562D09"/>
    <w:rsid w:val="0057006B"/>
    <w:rsid w:val="00571FAE"/>
    <w:rsid w:val="0057347A"/>
    <w:rsid w:val="005748F4"/>
    <w:rsid w:val="005863CE"/>
    <w:rsid w:val="00590453"/>
    <w:rsid w:val="00595BEC"/>
    <w:rsid w:val="00595F3B"/>
    <w:rsid w:val="0059654D"/>
    <w:rsid w:val="005A02E0"/>
    <w:rsid w:val="005A723D"/>
    <w:rsid w:val="005B0805"/>
    <w:rsid w:val="005B2321"/>
    <w:rsid w:val="005B521E"/>
    <w:rsid w:val="005B64E6"/>
    <w:rsid w:val="005C038D"/>
    <w:rsid w:val="005C110D"/>
    <w:rsid w:val="005C56ED"/>
    <w:rsid w:val="005E136C"/>
    <w:rsid w:val="005E3CD8"/>
    <w:rsid w:val="005F0A8D"/>
    <w:rsid w:val="005F2E91"/>
    <w:rsid w:val="005F2FD4"/>
    <w:rsid w:val="005F39C9"/>
    <w:rsid w:val="005F62F0"/>
    <w:rsid w:val="005F62FD"/>
    <w:rsid w:val="005F788C"/>
    <w:rsid w:val="00604ED1"/>
    <w:rsid w:val="006102B7"/>
    <w:rsid w:val="0061043D"/>
    <w:rsid w:val="00614DFB"/>
    <w:rsid w:val="00621952"/>
    <w:rsid w:val="0062240E"/>
    <w:rsid w:val="0062468F"/>
    <w:rsid w:val="00625238"/>
    <w:rsid w:val="00630BBC"/>
    <w:rsid w:val="00630D4E"/>
    <w:rsid w:val="00631430"/>
    <w:rsid w:val="006316F0"/>
    <w:rsid w:val="00632918"/>
    <w:rsid w:val="006371A9"/>
    <w:rsid w:val="006440B5"/>
    <w:rsid w:val="00645E11"/>
    <w:rsid w:val="00650B5C"/>
    <w:rsid w:val="006514B5"/>
    <w:rsid w:val="006516CA"/>
    <w:rsid w:val="00651843"/>
    <w:rsid w:val="00653516"/>
    <w:rsid w:val="00653C4F"/>
    <w:rsid w:val="00655B22"/>
    <w:rsid w:val="00656649"/>
    <w:rsid w:val="006570A5"/>
    <w:rsid w:val="006571DB"/>
    <w:rsid w:val="00660E82"/>
    <w:rsid w:val="0066402B"/>
    <w:rsid w:val="00665330"/>
    <w:rsid w:val="00665FDB"/>
    <w:rsid w:val="00666008"/>
    <w:rsid w:val="00666D6C"/>
    <w:rsid w:val="006728A0"/>
    <w:rsid w:val="0067629A"/>
    <w:rsid w:val="00684089"/>
    <w:rsid w:val="00684879"/>
    <w:rsid w:val="00691CC4"/>
    <w:rsid w:val="00691D09"/>
    <w:rsid w:val="006931EA"/>
    <w:rsid w:val="0069356E"/>
    <w:rsid w:val="006A355A"/>
    <w:rsid w:val="006A52B5"/>
    <w:rsid w:val="006A59C9"/>
    <w:rsid w:val="006A6B78"/>
    <w:rsid w:val="006A74AB"/>
    <w:rsid w:val="006B1D22"/>
    <w:rsid w:val="006B6CD2"/>
    <w:rsid w:val="006C2247"/>
    <w:rsid w:val="006C2459"/>
    <w:rsid w:val="006C695E"/>
    <w:rsid w:val="006D1043"/>
    <w:rsid w:val="006D3C66"/>
    <w:rsid w:val="006D403C"/>
    <w:rsid w:val="006D7A3F"/>
    <w:rsid w:val="006E07CE"/>
    <w:rsid w:val="006E470E"/>
    <w:rsid w:val="006E7F81"/>
    <w:rsid w:val="006F0094"/>
    <w:rsid w:val="006F09CE"/>
    <w:rsid w:val="006F0B8C"/>
    <w:rsid w:val="006F2152"/>
    <w:rsid w:val="006F39BF"/>
    <w:rsid w:val="006F48B7"/>
    <w:rsid w:val="00700053"/>
    <w:rsid w:val="00700557"/>
    <w:rsid w:val="007010F5"/>
    <w:rsid w:val="007074FA"/>
    <w:rsid w:val="00710513"/>
    <w:rsid w:val="00711112"/>
    <w:rsid w:val="00711D64"/>
    <w:rsid w:val="00711EE6"/>
    <w:rsid w:val="007130C8"/>
    <w:rsid w:val="00715B91"/>
    <w:rsid w:val="00717BA1"/>
    <w:rsid w:val="007203EB"/>
    <w:rsid w:val="00722E2D"/>
    <w:rsid w:val="007245E0"/>
    <w:rsid w:val="00724D7F"/>
    <w:rsid w:val="00725A79"/>
    <w:rsid w:val="0073068D"/>
    <w:rsid w:val="00730A0B"/>
    <w:rsid w:val="00733758"/>
    <w:rsid w:val="00735E2C"/>
    <w:rsid w:val="0074044F"/>
    <w:rsid w:val="00740976"/>
    <w:rsid w:val="00742D56"/>
    <w:rsid w:val="00744819"/>
    <w:rsid w:val="007460DE"/>
    <w:rsid w:val="007469BD"/>
    <w:rsid w:val="00747C8E"/>
    <w:rsid w:val="00750C03"/>
    <w:rsid w:val="00756D28"/>
    <w:rsid w:val="0075710D"/>
    <w:rsid w:val="00757B21"/>
    <w:rsid w:val="0077001A"/>
    <w:rsid w:val="007712AC"/>
    <w:rsid w:val="00775BC9"/>
    <w:rsid w:val="0078459D"/>
    <w:rsid w:val="007846C6"/>
    <w:rsid w:val="00787EE5"/>
    <w:rsid w:val="00791AAF"/>
    <w:rsid w:val="00796997"/>
    <w:rsid w:val="007972CD"/>
    <w:rsid w:val="007A0688"/>
    <w:rsid w:val="007A36F0"/>
    <w:rsid w:val="007A4DC1"/>
    <w:rsid w:val="007A4FA2"/>
    <w:rsid w:val="007A7900"/>
    <w:rsid w:val="007B21DB"/>
    <w:rsid w:val="007B25AF"/>
    <w:rsid w:val="007B4175"/>
    <w:rsid w:val="007C1105"/>
    <w:rsid w:val="007D0600"/>
    <w:rsid w:val="007D0774"/>
    <w:rsid w:val="007D1CB9"/>
    <w:rsid w:val="007D257A"/>
    <w:rsid w:val="007D305D"/>
    <w:rsid w:val="007D3D14"/>
    <w:rsid w:val="007D6DD2"/>
    <w:rsid w:val="007E6E07"/>
    <w:rsid w:val="007E6F73"/>
    <w:rsid w:val="007F27DF"/>
    <w:rsid w:val="007F383D"/>
    <w:rsid w:val="007F617B"/>
    <w:rsid w:val="0080044B"/>
    <w:rsid w:val="0080152B"/>
    <w:rsid w:val="0081272F"/>
    <w:rsid w:val="0081675C"/>
    <w:rsid w:val="008265C1"/>
    <w:rsid w:val="008265EA"/>
    <w:rsid w:val="008272FE"/>
    <w:rsid w:val="00827D19"/>
    <w:rsid w:val="00827EDF"/>
    <w:rsid w:val="008303B2"/>
    <w:rsid w:val="00830408"/>
    <w:rsid w:val="00833C7F"/>
    <w:rsid w:val="00840638"/>
    <w:rsid w:val="008419D3"/>
    <w:rsid w:val="00842E02"/>
    <w:rsid w:val="008463A9"/>
    <w:rsid w:val="00847ABA"/>
    <w:rsid w:val="00850F1C"/>
    <w:rsid w:val="00852EAB"/>
    <w:rsid w:val="008548DE"/>
    <w:rsid w:val="00857BF2"/>
    <w:rsid w:val="00867989"/>
    <w:rsid w:val="00873088"/>
    <w:rsid w:val="0087748E"/>
    <w:rsid w:val="00877F5B"/>
    <w:rsid w:val="008810A7"/>
    <w:rsid w:val="008864F6"/>
    <w:rsid w:val="00890130"/>
    <w:rsid w:val="00893BCE"/>
    <w:rsid w:val="008A0E35"/>
    <w:rsid w:val="008A2D08"/>
    <w:rsid w:val="008A4B03"/>
    <w:rsid w:val="008A7E53"/>
    <w:rsid w:val="008B0063"/>
    <w:rsid w:val="008B0BB8"/>
    <w:rsid w:val="008B2195"/>
    <w:rsid w:val="008B292B"/>
    <w:rsid w:val="008B4FCD"/>
    <w:rsid w:val="008C2F38"/>
    <w:rsid w:val="008C31DA"/>
    <w:rsid w:val="008C362F"/>
    <w:rsid w:val="008C4528"/>
    <w:rsid w:val="008D10A4"/>
    <w:rsid w:val="008D1A33"/>
    <w:rsid w:val="008D4BF6"/>
    <w:rsid w:val="008D5C26"/>
    <w:rsid w:val="008D7DBE"/>
    <w:rsid w:val="008D7FCD"/>
    <w:rsid w:val="008E2697"/>
    <w:rsid w:val="008E4CD5"/>
    <w:rsid w:val="008F0277"/>
    <w:rsid w:val="008F035B"/>
    <w:rsid w:val="008F3868"/>
    <w:rsid w:val="008F769F"/>
    <w:rsid w:val="008F7853"/>
    <w:rsid w:val="008F7942"/>
    <w:rsid w:val="00900ACE"/>
    <w:rsid w:val="0090451F"/>
    <w:rsid w:val="00905E7F"/>
    <w:rsid w:val="00910329"/>
    <w:rsid w:val="0092500F"/>
    <w:rsid w:val="00925185"/>
    <w:rsid w:val="00927471"/>
    <w:rsid w:val="00927F4B"/>
    <w:rsid w:val="00934903"/>
    <w:rsid w:val="0094013C"/>
    <w:rsid w:val="00943789"/>
    <w:rsid w:val="009456A8"/>
    <w:rsid w:val="00945D8C"/>
    <w:rsid w:val="009517BF"/>
    <w:rsid w:val="0095296B"/>
    <w:rsid w:val="009559E5"/>
    <w:rsid w:val="009614AB"/>
    <w:rsid w:val="00966359"/>
    <w:rsid w:val="00967A43"/>
    <w:rsid w:val="00977B6C"/>
    <w:rsid w:val="00980861"/>
    <w:rsid w:val="0098212D"/>
    <w:rsid w:val="00982B79"/>
    <w:rsid w:val="00984F80"/>
    <w:rsid w:val="009855F9"/>
    <w:rsid w:val="00986A4C"/>
    <w:rsid w:val="00987298"/>
    <w:rsid w:val="009903E6"/>
    <w:rsid w:val="009A284A"/>
    <w:rsid w:val="009A3C69"/>
    <w:rsid w:val="009B027F"/>
    <w:rsid w:val="009B2A85"/>
    <w:rsid w:val="009B3451"/>
    <w:rsid w:val="009B57BD"/>
    <w:rsid w:val="009C195F"/>
    <w:rsid w:val="009C24D5"/>
    <w:rsid w:val="009C3800"/>
    <w:rsid w:val="009C445B"/>
    <w:rsid w:val="009D0E7A"/>
    <w:rsid w:val="009D1F71"/>
    <w:rsid w:val="009D2304"/>
    <w:rsid w:val="009E2F05"/>
    <w:rsid w:val="009E5B2B"/>
    <w:rsid w:val="009F19F1"/>
    <w:rsid w:val="009F460D"/>
    <w:rsid w:val="00A00910"/>
    <w:rsid w:val="00A00D74"/>
    <w:rsid w:val="00A01E03"/>
    <w:rsid w:val="00A04BF3"/>
    <w:rsid w:val="00A05281"/>
    <w:rsid w:val="00A069F7"/>
    <w:rsid w:val="00A12D01"/>
    <w:rsid w:val="00A21FD6"/>
    <w:rsid w:val="00A24E92"/>
    <w:rsid w:val="00A264A8"/>
    <w:rsid w:val="00A27364"/>
    <w:rsid w:val="00A30C09"/>
    <w:rsid w:val="00A30EA1"/>
    <w:rsid w:val="00A337D4"/>
    <w:rsid w:val="00A34CC2"/>
    <w:rsid w:val="00A359A6"/>
    <w:rsid w:val="00A37B5B"/>
    <w:rsid w:val="00A4006B"/>
    <w:rsid w:val="00A40872"/>
    <w:rsid w:val="00A41000"/>
    <w:rsid w:val="00A41B61"/>
    <w:rsid w:val="00A43386"/>
    <w:rsid w:val="00A45790"/>
    <w:rsid w:val="00A463C3"/>
    <w:rsid w:val="00A50807"/>
    <w:rsid w:val="00A5201E"/>
    <w:rsid w:val="00A5319B"/>
    <w:rsid w:val="00A562D4"/>
    <w:rsid w:val="00A575D4"/>
    <w:rsid w:val="00A613A8"/>
    <w:rsid w:val="00A6185A"/>
    <w:rsid w:val="00A632C0"/>
    <w:rsid w:val="00A66846"/>
    <w:rsid w:val="00A66E2A"/>
    <w:rsid w:val="00A66E91"/>
    <w:rsid w:val="00A764E4"/>
    <w:rsid w:val="00A8592E"/>
    <w:rsid w:val="00A9082F"/>
    <w:rsid w:val="00A92876"/>
    <w:rsid w:val="00A93AD1"/>
    <w:rsid w:val="00AA1334"/>
    <w:rsid w:val="00AA1A48"/>
    <w:rsid w:val="00AA1C48"/>
    <w:rsid w:val="00AA2AC1"/>
    <w:rsid w:val="00AA3CF9"/>
    <w:rsid w:val="00AA780A"/>
    <w:rsid w:val="00AB2AA5"/>
    <w:rsid w:val="00AB35AE"/>
    <w:rsid w:val="00AC0766"/>
    <w:rsid w:val="00AC0E11"/>
    <w:rsid w:val="00AC0EDD"/>
    <w:rsid w:val="00AC1EF4"/>
    <w:rsid w:val="00AC43F2"/>
    <w:rsid w:val="00AC492B"/>
    <w:rsid w:val="00AC6497"/>
    <w:rsid w:val="00AD4176"/>
    <w:rsid w:val="00AE0D23"/>
    <w:rsid w:val="00AE49F9"/>
    <w:rsid w:val="00AE5B6F"/>
    <w:rsid w:val="00AF554E"/>
    <w:rsid w:val="00AF64A1"/>
    <w:rsid w:val="00AF6D1E"/>
    <w:rsid w:val="00B01032"/>
    <w:rsid w:val="00B01D49"/>
    <w:rsid w:val="00B02BAA"/>
    <w:rsid w:val="00B03719"/>
    <w:rsid w:val="00B056FB"/>
    <w:rsid w:val="00B079B2"/>
    <w:rsid w:val="00B10F9A"/>
    <w:rsid w:val="00B17291"/>
    <w:rsid w:val="00B20327"/>
    <w:rsid w:val="00B22262"/>
    <w:rsid w:val="00B22529"/>
    <w:rsid w:val="00B22AAF"/>
    <w:rsid w:val="00B23510"/>
    <w:rsid w:val="00B237E7"/>
    <w:rsid w:val="00B256D1"/>
    <w:rsid w:val="00B26D65"/>
    <w:rsid w:val="00B31F75"/>
    <w:rsid w:val="00B32FD6"/>
    <w:rsid w:val="00B3603D"/>
    <w:rsid w:val="00B3762D"/>
    <w:rsid w:val="00B430ED"/>
    <w:rsid w:val="00B430FB"/>
    <w:rsid w:val="00B45531"/>
    <w:rsid w:val="00B47404"/>
    <w:rsid w:val="00B522FE"/>
    <w:rsid w:val="00B529EE"/>
    <w:rsid w:val="00B541A5"/>
    <w:rsid w:val="00B55316"/>
    <w:rsid w:val="00B61209"/>
    <w:rsid w:val="00B6645A"/>
    <w:rsid w:val="00B66EE2"/>
    <w:rsid w:val="00B73E1D"/>
    <w:rsid w:val="00B73F80"/>
    <w:rsid w:val="00B7733C"/>
    <w:rsid w:val="00B80259"/>
    <w:rsid w:val="00B8171B"/>
    <w:rsid w:val="00B8668A"/>
    <w:rsid w:val="00BA04BF"/>
    <w:rsid w:val="00BA1665"/>
    <w:rsid w:val="00BA19F6"/>
    <w:rsid w:val="00BA1D2E"/>
    <w:rsid w:val="00BA691B"/>
    <w:rsid w:val="00BA74DA"/>
    <w:rsid w:val="00BA771B"/>
    <w:rsid w:val="00BB7030"/>
    <w:rsid w:val="00BB78C5"/>
    <w:rsid w:val="00BB7A55"/>
    <w:rsid w:val="00BC1529"/>
    <w:rsid w:val="00BC49FF"/>
    <w:rsid w:val="00BC4F55"/>
    <w:rsid w:val="00BC7CE2"/>
    <w:rsid w:val="00BD1CDE"/>
    <w:rsid w:val="00BD54A8"/>
    <w:rsid w:val="00BE183C"/>
    <w:rsid w:val="00BE310B"/>
    <w:rsid w:val="00BE6C1A"/>
    <w:rsid w:val="00BF6B3F"/>
    <w:rsid w:val="00BF7358"/>
    <w:rsid w:val="00C05B60"/>
    <w:rsid w:val="00C143DA"/>
    <w:rsid w:val="00C16B6E"/>
    <w:rsid w:val="00C2054C"/>
    <w:rsid w:val="00C20EA3"/>
    <w:rsid w:val="00C21A94"/>
    <w:rsid w:val="00C22368"/>
    <w:rsid w:val="00C22F44"/>
    <w:rsid w:val="00C247E0"/>
    <w:rsid w:val="00C249C9"/>
    <w:rsid w:val="00C25433"/>
    <w:rsid w:val="00C25540"/>
    <w:rsid w:val="00C26B83"/>
    <w:rsid w:val="00C316FC"/>
    <w:rsid w:val="00C31D17"/>
    <w:rsid w:val="00C36828"/>
    <w:rsid w:val="00C37F97"/>
    <w:rsid w:val="00C418D7"/>
    <w:rsid w:val="00C463A6"/>
    <w:rsid w:val="00C46EDF"/>
    <w:rsid w:val="00C47688"/>
    <w:rsid w:val="00C52108"/>
    <w:rsid w:val="00C54529"/>
    <w:rsid w:val="00C564AB"/>
    <w:rsid w:val="00C6091A"/>
    <w:rsid w:val="00C67F9A"/>
    <w:rsid w:val="00C74DBE"/>
    <w:rsid w:val="00C81088"/>
    <w:rsid w:val="00C87442"/>
    <w:rsid w:val="00C87E12"/>
    <w:rsid w:val="00C87FC7"/>
    <w:rsid w:val="00C910B2"/>
    <w:rsid w:val="00C970A9"/>
    <w:rsid w:val="00C97A76"/>
    <w:rsid w:val="00CA2CA7"/>
    <w:rsid w:val="00CA462C"/>
    <w:rsid w:val="00CA6CE8"/>
    <w:rsid w:val="00CB0540"/>
    <w:rsid w:val="00CB078C"/>
    <w:rsid w:val="00CB0C64"/>
    <w:rsid w:val="00CC3326"/>
    <w:rsid w:val="00CC3D22"/>
    <w:rsid w:val="00CC4AE1"/>
    <w:rsid w:val="00CD368A"/>
    <w:rsid w:val="00CD4B26"/>
    <w:rsid w:val="00CD78FB"/>
    <w:rsid w:val="00CE25A6"/>
    <w:rsid w:val="00CE2BA0"/>
    <w:rsid w:val="00CE33AF"/>
    <w:rsid w:val="00CF1C91"/>
    <w:rsid w:val="00CF456F"/>
    <w:rsid w:val="00D021C0"/>
    <w:rsid w:val="00D022A0"/>
    <w:rsid w:val="00D03807"/>
    <w:rsid w:val="00D04ED1"/>
    <w:rsid w:val="00D10B8D"/>
    <w:rsid w:val="00D10CBF"/>
    <w:rsid w:val="00D11C46"/>
    <w:rsid w:val="00D12576"/>
    <w:rsid w:val="00D135BB"/>
    <w:rsid w:val="00D1419B"/>
    <w:rsid w:val="00D14796"/>
    <w:rsid w:val="00D148B0"/>
    <w:rsid w:val="00D1704A"/>
    <w:rsid w:val="00D17224"/>
    <w:rsid w:val="00D223BF"/>
    <w:rsid w:val="00D27A23"/>
    <w:rsid w:val="00D31218"/>
    <w:rsid w:val="00D338F0"/>
    <w:rsid w:val="00D346E2"/>
    <w:rsid w:val="00D34B09"/>
    <w:rsid w:val="00D3706E"/>
    <w:rsid w:val="00D4427D"/>
    <w:rsid w:val="00D46FAD"/>
    <w:rsid w:val="00D505A9"/>
    <w:rsid w:val="00D5362E"/>
    <w:rsid w:val="00D53CC1"/>
    <w:rsid w:val="00D54F31"/>
    <w:rsid w:val="00D550FD"/>
    <w:rsid w:val="00D60062"/>
    <w:rsid w:val="00D72E15"/>
    <w:rsid w:val="00D73434"/>
    <w:rsid w:val="00D75B5C"/>
    <w:rsid w:val="00D80905"/>
    <w:rsid w:val="00D869F3"/>
    <w:rsid w:val="00D90AFF"/>
    <w:rsid w:val="00D92BF1"/>
    <w:rsid w:val="00D938B9"/>
    <w:rsid w:val="00D94B29"/>
    <w:rsid w:val="00D95E16"/>
    <w:rsid w:val="00D95E55"/>
    <w:rsid w:val="00D96C4F"/>
    <w:rsid w:val="00D977B1"/>
    <w:rsid w:val="00DA1A9B"/>
    <w:rsid w:val="00DA3416"/>
    <w:rsid w:val="00DA3446"/>
    <w:rsid w:val="00DA49A2"/>
    <w:rsid w:val="00DB1243"/>
    <w:rsid w:val="00DB4622"/>
    <w:rsid w:val="00DB613F"/>
    <w:rsid w:val="00DB6CEF"/>
    <w:rsid w:val="00DB75B6"/>
    <w:rsid w:val="00DC0E9B"/>
    <w:rsid w:val="00DC1047"/>
    <w:rsid w:val="00DC58B4"/>
    <w:rsid w:val="00DC5AB3"/>
    <w:rsid w:val="00DC5B07"/>
    <w:rsid w:val="00DD1C83"/>
    <w:rsid w:val="00DD2C13"/>
    <w:rsid w:val="00DD4FCC"/>
    <w:rsid w:val="00DD6825"/>
    <w:rsid w:val="00DE19A1"/>
    <w:rsid w:val="00DE60F7"/>
    <w:rsid w:val="00DE618E"/>
    <w:rsid w:val="00DF37D0"/>
    <w:rsid w:val="00DF3BB1"/>
    <w:rsid w:val="00DF4B40"/>
    <w:rsid w:val="00DF4CFE"/>
    <w:rsid w:val="00DF73FE"/>
    <w:rsid w:val="00E03554"/>
    <w:rsid w:val="00E06416"/>
    <w:rsid w:val="00E06A9A"/>
    <w:rsid w:val="00E0721C"/>
    <w:rsid w:val="00E075B0"/>
    <w:rsid w:val="00E10F03"/>
    <w:rsid w:val="00E12DB5"/>
    <w:rsid w:val="00E219D0"/>
    <w:rsid w:val="00E267AA"/>
    <w:rsid w:val="00E271EB"/>
    <w:rsid w:val="00E27D78"/>
    <w:rsid w:val="00E300FA"/>
    <w:rsid w:val="00E31FA3"/>
    <w:rsid w:val="00E33218"/>
    <w:rsid w:val="00E33772"/>
    <w:rsid w:val="00E34020"/>
    <w:rsid w:val="00E45DD1"/>
    <w:rsid w:val="00E4638B"/>
    <w:rsid w:val="00E46495"/>
    <w:rsid w:val="00E539D2"/>
    <w:rsid w:val="00E56858"/>
    <w:rsid w:val="00E60FD9"/>
    <w:rsid w:val="00E637D4"/>
    <w:rsid w:val="00E65CC2"/>
    <w:rsid w:val="00E707ED"/>
    <w:rsid w:val="00E71FB1"/>
    <w:rsid w:val="00E720FB"/>
    <w:rsid w:val="00E72B6B"/>
    <w:rsid w:val="00E7762C"/>
    <w:rsid w:val="00E81CD0"/>
    <w:rsid w:val="00E832B0"/>
    <w:rsid w:val="00E84CA9"/>
    <w:rsid w:val="00E85A09"/>
    <w:rsid w:val="00E87A98"/>
    <w:rsid w:val="00E91101"/>
    <w:rsid w:val="00E92886"/>
    <w:rsid w:val="00E92974"/>
    <w:rsid w:val="00E9387F"/>
    <w:rsid w:val="00E939CB"/>
    <w:rsid w:val="00E95B0A"/>
    <w:rsid w:val="00E95F61"/>
    <w:rsid w:val="00EA3BAB"/>
    <w:rsid w:val="00EA56E1"/>
    <w:rsid w:val="00EA6A3B"/>
    <w:rsid w:val="00EA6C65"/>
    <w:rsid w:val="00EA7F1A"/>
    <w:rsid w:val="00EB07A1"/>
    <w:rsid w:val="00EB1E80"/>
    <w:rsid w:val="00EB2E06"/>
    <w:rsid w:val="00EB3143"/>
    <w:rsid w:val="00EB512A"/>
    <w:rsid w:val="00EC203E"/>
    <w:rsid w:val="00EC6969"/>
    <w:rsid w:val="00ED1329"/>
    <w:rsid w:val="00ED364F"/>
    <w:rsid w:val="00EE4556"/>
    <w:rsid w:val="00EE72FB"/>
    <w:rsid w:val="00EF1182"/>
    <w:rsid w:val="00EF2ED7"/>
    <w:rsid w:val="00EF697F"/>
    <w:rsid w:val="00EF7826"/>
    <w:rsid w:val="00F01C93"/>
    <w:rsid w:val="00F02958"/>
    <w:rsid w:val="00F033CE"/>
    <w:rsid w:val="00F061CA"/>
    <w:rsid w:val="00F075A2"/>
    <w:rsid w:val="00F13318"/>
    <w:rsid w:val="00F15539"/>
    <w:rsid w:val="00F15818"/>
    <w:rsid w:val="00F221E2"/>
    <w:rsid w:val="00F22AE4"/>
    <w:rsid w:val="00F262E6"/>
    <w:rsid w:val="00F32136"/>
    <w:rsid w:val="00F321B6"/>
    <w:rsid w:val="00F3384F"/>
    <w:rsid w:val="00F33FF3"/>
    <w:rsid w:val="00F35509"/>
    <w:rsid w:val="00F40B11"/>
    <w:rsid w:val="00F437A7"/>
    <w:rsid w:val="00F44153"/>
    <w:rsid w:val="00F50FA5"/>
    <w:rsid w:val="00F53167"/>
    <w:rsid w:val="00F550CC"/>
    <w:rsid w:val="00F55CEA"/>
    <w:rsid w:val="00F56336"/>
    <w:rsid w:val="00F63122"/>
    <w:rsid w:val="00F64EBF"/>
    <w:rsid w:val="00F658EF"/>
    <w:rsid w:val="00F711F6"/>
    <w:rsid w:val="00F75600"/>
    <w:rsid w:val="00F80EA0"/>
    <w:rsid w:val="00F87BF4"/>
    <w:rsid w:val="00F87E92"/>
    <w:rsid w:val="00F935F5"/>
    <w:rsid w:val="00F9389F"/>
    <w:rsid w:val="00F950C7"/>
    <w:rsid w:val="00FA01FA"/>
    <w:rsid w:val="00FA0E64"/>
    <w:rsid w:val="00FA228C"/>
    <w:rsid w:val="00FA55C2"/>
    <w:rsid w:val="00FA7154"/>
    <w:rsid w:val="00FB1473"/>
    <w:rsid w:val="00FB2289"/>
    <w:rsid w:val="00FB3996"/>
    <w:rsid w:val="00FB4DD6"/>
    <w:rsid w:val="00FC2BEA"/>
    <w:rsid w:val="00FC3081"/>
    <w:rsid w:val="00FC6E03"/>
    <w:rsid w:val="00FC7EEB"/>
    <w:rsid w:val="00FE2A50"/>
    <w:rsid w:val="00FE30FA"/>
    <w:rsid w:val="00FE76E9"/>
    <w:rsid w:val="00FF080C"/>
    <w:rsid w:val="00FF1775"/>
    <w:rsid w:val="00FF17F4"/>
    <w:rsid w:val="00FF3395"/>
    <w:rsid w:val="00FF3399"/>
    <w:rsid w:val="00FF5FA4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ECCE95"/>
  <w15:docId w15:val="{6367E352-105C-4614-BB44-8AE25EA0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F32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6E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9"/>
    <w:rPr>
      <w:b/>
      <w:bCs/>
      <w:lang w:eastAsia="ar-SA"/>
    </w:rPr>
  </w:style>
  <w:style w:type="paragraph" w:customStyle="1" w:styleId="Default">
    <w:name w:val="Default"/>
    <w:rsid w:val="009A284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C910B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C910B2"/>
    <w:rPr>
      <w:b/>
      <w:bCs/>
      <w:noProof/>
      <w:sz w:val="24"/>
      <w:szCs w:val="24"/>
      <w:u w:val="single"/>
      <w:lang w:eastAsia="ar-SA"/>
    </w:rPr>
  </w:style>
  <w:style w:type="paragraph" w:styleId="Revision">
    <w:name w:val="Revision"/>
    <w:hidden/>
    <w:uiPriority w:val="99"/>
    <w:semiHidden/>
    <w:rsid w:val="0034165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C679-212A-4D6D-8830-4B81B7D3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4890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mzeidan@pcbs.gov.ps</dc:creator>
  <cp:lastModifiedBy>pcbs</cp:lastModifiedBy>
  <cp:revision>5</cp:revision>
  <cp:lastPrinted>2024-07-01T07:47:00Z</cp:lastPrinted>
  <dcterms:created xsi:type="dcterms:W3CDTF">2024-07-01T07:39:00Z</dcterms:created>
  <dcterms:modified xsi:type="dcterms:W3CDTF">2024-07-01T08:20:00Z</dcterms:modified>
</cp:coreProperties>
</file>