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6B3" w:rsidRPr="006E003D" w:rsidRDefault="00B116B3" w:rsidP="00B116B3">
      <w:pPr>
        <w:bidi w:val="0"/>
        <w:jc w:val="center"/>
        <w:rPr>
          <w:b/>
          <w:bCs/>
          <w:sz w:val="32"/>
          <w:szCs w:val="32"/>
        </w:rPr>
      </w:pPr>
      <w:r w:rsidRPr="006E003D">
        <w:rPr>
          <w:b/>
          <w:bCs/>
          <w:sz w:val="32"/>
          <w:szCs w:val="32"/>
        </w:rPr>
        <w:t xml:space="preserve">The Palestinian Central Bureau of Statistics (PCBS) and Palestine Monetary Authority (PMA) </w:t>
      </w:r>
    </w:p>
    <w:p w:rsidR="00B116B3" w:rsidRPr="006E003D" w:rsidRDefault="00B116B3" w:rsidP="00B116B3">
      <w:pPr>
        <w:bidi w:val="0"/>
        <w:jc w:val="center"/>
        <w:rPr>
          <w:b/>
          <w:bCs/>
          <w:sz w:val="32"/>
          <w:szCs w:val="32"/>
          <w:lang w:eastAsia="en-US"/>
        </w:rPr>
      </w:pPr>
    </w:p>
    <w:p w:rsidR="00B116B3" w:rsidRPr="006E003D" w:rsidRDefault="00B116B3" w:rsidP="00B116B3">
      <w:pPr>
        <w:bidi w:val="0"/>
        <w:jc w:val="center"/>
        <w:rPr>
          <w:b/>
          <w:bCs/>
          <w:sz w:val="10"/>
          <w:szCs w:val="10"/>
        </w:rPr>
      </w:pPr>
    </w:p>
    <w:p w:rsidR="00B116B3" w:rsidRPr="006E003D" w:rsidRDefault="00B116B3" w:rsidP="00B116B3">
      <w:pPr>
        <w:bidi w:val="0"/>
        <w:jc w:val="center"/>
        <w:rPr>
          <w:rFonts w:asciiTheme="majorBidi" w:eastAsia="Calibri" w:hAnsiTheme="majorBidi" w:cstheme="majorBidi"/>
          <w:b/>
          <w:bCs/>
          <w:sz w:val="30"/>
          <w:szCs w:val="30"/>
          <w:rtl/>
        </w:rPr>
      </w:pPr>
      <w:r w:rsidRPr="006E003D">
        <w:rPr>
          <w:rFonts w:asciiTheme="majorBidi" w:eastAsia="Calibri" w:hAnsiTheme="majorBidi" w:cstheme="majorBidi"/>
          <w:b/>
          <w:bCs/>
          <w:sz w:val="30"/>
          <w:szCs w:val="30"/>
        </w:rPr>
        <w:t>Press Release</w:t>
      </w:r>
    </w:p>
    <w:p w:rsidR="006E003D" w:rsidRDefault="00B116B3" w:rsidP="00B116B3">
      <w:pPr>
        <w:bidi w:val="0"/>
        <w:jc w:val="center"/>
        <w:rPr>
          <w:rFonts w:asciiTheme="majorBidi" w:eastAsia="Calibri" w:hAnsiTheme="majorBidi" w:cstheme="majorBidi"/>
          <w:b/>
          <w:bCs/>
          <w:sz w:val="30"/>
          <w:szCs w:val="30"/>
          <w:rtl/>
        </w:rPr>
      </w:pPr>
      <w:r w:rsidRPr="006E003D">
        <w:rPr>
          <w:rFonts w:asciiTheme="majorBidi" w:eastAsia="Calibri" w:hAnsiTheme="majorBidi" w:cstheme="majorBidi"/>
          <w:b/>
          <w:bCs/>
          <w:sz w:val="30"/>
          <w:szCs w:val="30"/>
        </w:rPr>
        <w:t xml:space="preserve">The Performance of the Palestinian Economy for 2023, </w:t>
      </w:r>
    </w:p>
    <w:p w:rsidR="00B116B3" w:rsidRPr="006E003D" w:rsidRDefault="00B116B3" w:rsidP="006E003D">
      <w:pPr>
        <w:bidi w:val="0"/>
        <w:jc w:val="center"/>
        <w:rPr>
          <w:rFonts w:asciiTheme="majorBidi" w:eastAsia="Calibri" w:hAnsiTheme="majorBidi" w:cstheme="majorBidi"/>
          <w:b/>
          <w:bCs/>
          <w:sz w:val="30"/>
          <w:szCs w:val="30"/>
        </w:rPr>
      </w:pPr>
      <w:r w:rsidRPr="006E003D">
        <w:rPr>
          <w:rFonts w:asciiTheme="majorBidi" w:eastAsia="Calibri" w:hAnsiTheme="majorBidi" w:cstheme="majorBidi"/>
          <w:b/>
          <w:bCs/>
          <w:sz w:val="30"/>
          <w:szCs w:val="30"/>
        </w:rPr>
        <w:t>and Economic Forecasts for 2024</w:t>
      </w:r>
    </w:p>
    <w:p w:rsidR="00B116B3" w:rsidRPr="006E003D" w:rsidRDefault="00B116B3" w:rsidP="00B116B3">
      <w:pPr>
        <w:bidi w:val="0"/>
        <w:jc w:val="center"/>
        <w:rPr>
          <w:rFonts w:asciiTheme="majorBidi" w:eastAsia="Calibri" w:hAnsiTheme="majorBidi" w:cstheme="majorBidi"/>
          <w:b/>
          <w:bCs/>
        </w:rPr>
      </w:pPr>
    </w:p>
    <w:p w:rsidR="00B116B3" w:rsidRPr="006E003D" w:rsidRDefault="00B116B3" w:rsidP="00401E77">
      <w:pPr>
        <w:bidi w:val="0"/>
        <w:jc w:val="center"/>
        <w:rPr>
          <w:rFonts w:asciiTheme="majorBidi" w:eastAsia="Calibri" w:hAnsiTheme="majorBidi" w:cstheme="majorBidi"/>
          <w:b/>
          <w:bCs/>
          <w:sz w:val="28"/>
          <w:szCs w:val="28"/>
        </w:rPr>
      </w:pPr>
    </w:p>
    <w:p w:rsidR="00401E77" w:rsidRPr="006E003D" w:rsidRDefault="00401E77" w:rsidP="00401E77">
      <w:pPr>
        <w:bidi w:val="0"/>
        <w:jc w:val="center"/>
        <w:rPr>
          <w:rFonts w:asciiTheme="majorBidi" w:eastAsia="Calibri" w:hAnsiTheme="majorBidi" w:cstheme="majorBidi"/>
          <w:b/>
          <w:bCs/>
        </w:rPr>
      </w:pPr>
    </w:p>
    <w:p w:rsidR="00234068" w:rsidRPr="006E003D" w:rsidRDefault="007C3BD5" w:rsidP="00736643">
      <w:pPr>
        <w:bidi w:val="0"/>
        <w:jc w:val="both"/>
        <w:rPr>
          <w:rFonts w:asciiTheme="majorBidi" w:eastAsia="Calibri" w:hAnsiTheme="majorBidi" w:cstheme="majorBidi"/>
          <w:b/>
          <w:bCs/>
          <w:sz w:val="26"/>
          <w:szCs w:val="26"/>
        </w:rPr>
      </w:pPr>
      <w:r w:rsidRPr="006E003D">
        <w:rPr>
          <w:rFonts w:asciiTheme="majorBidi" w:eastAsia="Calibri" w:hAnsiTheme="majorBidi" w:cstheme="majorBidi"/>
          <w:b/>
          <w:bCs/>
          <w:sz w:val="26"/>
          <w:szCs w:val="26"/>
        </w:rPr>
        <w:t xml:space="preserve">Palestinian Central Bureau of Statistics (PCBS) and the </w:t>
      </w:r>
      <w:r w:rsidR="00234068" w:rsidRPr="006E003D">
        <w:rPr>
          <w:rFonts w:asciiTheme="majorBidi" w:eastAsia="Calibri" w:hAnsiTheme="majorBidi" w:cstheme="majorBidi"/>
          <w:b/>
          <w:bCs/>
          <w:sz w:val="26"/>
          <w:szCs w:val="26"/>
        </w:rPr>
        <w:t xml:space="preserve">Palestine Monetary Authority (PMA) jointly issued a press release on the </w:t>
      </w:r>
      <w:r w:rsidR="00736643" w:rsidRPr="006E003D">
        <w:rPr>
          <w:rFonts w:asciiTheme="majorBidi" w:eastAsia="Calibri" w:hAnsiTheme="majorBidi" w:cstheme="majorBidi"/>
          <w:b/>
          <w:bCs/>
          <w:sz w:val="26"/>
          <w:szCs w:val="26"/>
        </w:rPr>
        <w:t>performance</w:t>
      </w:r>
      <w:r w:rsidR="00234068" w:rsidRPr="006E003D">
        <w:rPr>
          <w:rFonts w:asciiTheme="majorBidi" w:eastAsia="Calibri" w:hAnsiTheme="majorBidi" w:cstheme="majorBidi"/>
          <w:b/>
          <w:bCs/>
          <w:sz w:val="26"/>
          <w:szCs w:val="26"/>
        </w:rPr>
        <w:t xml:space="preserve"> of the Palestinian </w:t>
      </w:r>
      <w:r w:rsidR="00C079EF" w:rsidRPr="006E003D">
        <w:rPr>
          <w:rFonts w:asciiTheme="majorBidi" w:eastAsia="Calibri" w:hAnsiTheme="majorBidi" w:cstheme="majorBidi"/>
          <w:b/>
          <w:bCs/>
          <w:sz w:val="26"/>
          <w:szCs w:val="26"/>
        </w:rPr>
        <w:t>e</w:t>
      </w:r>
      <w:r w:rsidR="00234068" w:rsidRPr="006E003D">
        <w:rPr>
          <w:rFonts w:asciiTheme="majorBidi" w:eastAsia="Calibri" w:hAnsiTheme="majorBidi" w:cstheme="majorBidi"/>
          <w:b/>
          <w:bCs/>
          <w:sz w:val="26"/>
          <w:szCs w:val="26"/>
        </w:rPr>
        <w:t xml:space="preserve">conomy </w:t>
      </w:r>
      <w:r w:rsidR="00C90AC8" w:rsidRPr="006E003D">
        <w:rPr>
          <w:rFonts w:asciiTheme="majorBidi" w:eastAsia="Calibri" w:hAnsiTheme="majorBidi" w:cstheme="majorBidi"/>
          <w:b/>
          <w:bCs/>
          <w:sz w:val="26"/>
          <w:szCs w:val="26"/>
        </w:rPr>
        <w:t>for</w:t>
      </w:r>
      <w:r w:rsidR="00234068" w:rsidRPr="006E003D">
        <w:rPr>
          <w:rFonts w:asciiTheme="majorBidi" w:eastAsia="Calibri" w:hAnsiTheme="majorBidi" w:cstheme="majorBidi"/>
          <w:b/>
          <w:bCs/>
          <w:sz w:val="26"/>
          <w:szCs w:val="26"/>
        </w:rPr>
        <w:t xml:space="preserve"> </w:t>
      </w:r>
      <w:r w:rsidR="009139BD" w:rsidRPr="006E003D">
        <w:rPr>
          <w:rFonts w:asciiTheme="majorBidi" w:eastAsia="Calibri" w:hAnsiTheme="majorBidi" w:cstheme="majorBidi"/>
          <w:b/>
          <w:bCs/>
          <w:sz w:val="26"/>
          <w:szCs w:val="26"/>
        </w:rPr>
        <w:t>2023</w:t>
      </w:r>
      <w:r w:rsidR="00234068" w:rsidRPr="006E003D">
        <w:rPr>
          <w:rFonts w:asciiTheme="majorBidi" w:eastAsia="Calibri" w:hAnsiTheme="majorBidi" w:cstheme="majorBidi"/>
          <w:b/>
          <w:bCs/>
          <w:sz w:val="26"/>
          <w:szCs w:val="26"/>
        </w:rPr>
        <w:t xml:space="preserve"> along </w:t>
      </w:r>
      <w:r w:rsidR="00C079EF" w:rsidRPr="006E003D">
        <w:rPr>
          <w:rFonts w:asciiTheme="majorBidi" w:eastAsia="Calibri" w:hAnsiTheme="majorBidi" w:cstheme="majorBidi"/>
          <w:b/>
          <w:bCs/>
          <w:sz w:val="26"/>
          <w:szCs w:val="26"/>
        </w:rPr>
        <w:t xml:space="preserve">with the economic forecasts for </w:t>
      </w:r>
      <w:r w:rsidR="009139BD" w:rsidRPr="006E003D">
        <w:rPr>
          <w:rFonts w:asciiTheme="majorBidi" w:eastAsia="Calibri" w:hAnsiTheme="majorBidi" w:cstheme="majorBidi"/>
          <w:b/>
          <w:bCs/>
          <w:sz w:val="26"/>
          <w:szCs w:val="26"/>
        </w:rPr>
        <w:t>2024</w:t>
      </w:r>
      <w:r w:rsidR="00234068" w:rsidRPr="006E003D">
        <w:rPr>
          <w:rFonts w:asciiTheme="majorBidi" w:eastAsia="Calibri" w:hAnsiTheme="majorBidi" w:cstheme="majorBidi"/>
          <w:b/>
          <w:bCs/>
          <w:sz w:val="26"/>
          <w:szCs w:val="26"/>
        </w:rPr>
        <w:t xml:space="preserve">; a joint publication that represents the continuous efforts </w:t>
      </w:r>
      <w:r w:rsidR="006C0E26" w:rsidRPr="006E003D">
        <w:rPr>
          <w:rFonts w:asciiTheme="majorBidi" w:eastAsia="Calibri" w:hAnsiTheme="majorBidi" w:cstheme="majorBidi"/>
          <w:b/>
          <w:bCs/>
          <w:sz w:val="26"/>
          <w:szCs w:val="26"/>
        </w:rPr>
        <w:t>of the two institutions</w:t>
      </w:r>
      <w:r w:rsidR="00234068" w:rsidRPr="006E003D">
        <w:rPr>
          <w:rFonts w:asciiTheme="majorBidi" w:eastAsia="Calibri" w:hAnsiTheme="majorBidi" w:cstheme="majorBidi"/>
          <w:b/>
          <w:bCs/>
          <w:sz w:val="26"/>
          <w:szCs w:val="26"/>
        </w:rPr>
        <w:t xml:space="preserve">. It is worth mentioning that this </w:t>
      </w:r>
      <w:proofErr w:type="gramStart"/>
      <w:r w:rsidR="00234068" w:rsidRPr="006E003D">
        <w:rPr>
          <w:rFonts w:asciiTheme="majorBidi" w:eastAsia="Calibri" w:hAnsiTheme="majorBidi" w:cstheme="majorBidi"/>
          <w:b/>
          <w:bCs/>
          <w:sz w:val="26"/>
          <w:szCs w:val="26"/>
        </w:rPr>
        <w:t xml:space="preserve">data </w:t>
      </w:r>
      <w:r w:rsidR="00B87F86" w:rsidRPr="006E003D">
        <w:rPr>
          <w:rFonts w:asciiTheme="majorBidi" w:eastAsia="Calibri" w:hAnsiTheme="majorBidi" w:cstheme="majorBidi" w:hint="cs"/>
          <w:b/>
          <w:bCs/>
          <w:sz w:val="26"/>
          <w:szCs w:val="26"/>
          <w:rtl/>
        </w:rPr>
        <w:t>)</w:t>
      </w:r>
      <w:r w:rsidR="00B87F86" w:rsidRPr="006E003D">
        <w:rPr>
          <w:rFonts w:asciiTheme="majorBidi" w:eastAsia="Calibri" w:hAnsiTheme="majorBidi" w:cstheme="majorBidi"/>
          <w:b/>
          <w:bCs/>
          <w:sz w:val="26"/>
          <w:szCs w:val="26"/>
        </w:rPr>
        <w:t>at</w:t>
      </w:r>
      <w:proofErr w:type="gramEnd"/>
      <w:r w:rsidR="00B87F86" w:rsidRPr="006E003D">
        <w:rPr>
          <w:rFonts w:asciiTheme="majorBidi" w:eastAsia="Calibri" w:hAnsiTheme="majorBidi" w:cstheme="majorBidi"/>
          <w:b/>
          <w:bCs/>
          <w:sz w:val="26"/>
          <w:szCs w:val="26"/>
        </w:rPr>
        <w:t xml:space="preserve"> constant prices) </w:t>
      </w:r>
      <w:r w:rsidR="00234068" w:rsidRPr="006E003D">
        <w:rPr>
          <w:rFonts w:asciiTheme="majorBidi" w:eastAsia="Calibri" w:hAnsiTheme="majorBidi" w:cstheme="majorBidi"/>
          <w:b/>
          <w:bCs/>
          <w:sz w:val="26"/>
          <w:szCs w:val="26"/>
        </w:rPr>
        <w:t xml:space="preserve">excludes those parts of Jerusalem which were annexed by </w:t>
      </w:r>
      <w:r w:rsidR="002917A1" w:rsidRPr="006E003D">
        <w:rPr>
          <w:rFonts w:asciiTheme="majorBidi" w:eastAsia="Calibri" w:hAnsiTheme="majorBidi" w:cstheme="majorBidi"/>
          <w:b/>
          <w:bCs/>
          <w:sz w:val="26"/>
          <w:szCs w:val="26"/>
        </w:rPr>
        <w:t xml:space="preserve">the </w:t>
      </w:r>
      <w:r w:rsidR="00234068" w:rsidRPr="006E003D">
        <w:rPr>
          <w:rFonts w:asciiTheme="majorBidi" w:eastAsia="Calibri" w:hAnsiTheme="majorBidi" w:cstheme="majorBidi"/>
          <w:b/>
          <w:bCs/>
          <w:sz w:val="26"/>
          <w:szCs w:val="26"/>
        </w:rPr>
        <w:t>Israeli occupation in 1967.</w:t>
      </w:r>
    </w:p>
    <w:p w:rsidR="00027B6F" w:rsidRPr="006E003D" w:rsidRDefault="00027B6F" w:rsidP="00027B6F">
      <w:pPr>
        <w:bidi w:val="0"/>
        <w:jc w:val="both"/>
        <w:rPr>
          <w:rFonts w:asciiTheme="majorBidi" w:eastAsia="Calibri" w:hAnsiTheme="majorBidi" w:cstheme="majorBidi"/>
        </w:rPr>
      </w:pPr>
    </w:p>
    <w:p w:rsidR="00234068" w:rsidRPr="006E003D" w:rsidRDefault="00234068" w:rsidP="00234068">
      <w:pPr>
        <w:bidi w:val="0"/>
        <w:ind w:left="360"/>
        <w:rPr>
          <w:rFonts w:ascii="Simplified Arabic" w:hAnsi="Simplified Arabic" w:cs="Simplified Arabic"/>
          <w:b/>
          <w:bCs/>
          <w:sz w:val="10"/>
          <w:szCs w:val="10"/>
        </w:rPr>
      </w:pPr>
    </w:p>
    <w:p w:rsidR="00027B6F" w:rsidRPr="006E003D" w:rsidRDefault="00234068" w:rsidP="00DA6684">
      <w:pPr>
        <w:bidi w:val="0"/>
        <w:ind w:left="360"/>
        <w:jc w:val="center"/>
        <w:rPr>
          <w:rFonts w:asciiTheme="majorBidi" w:eastAsia="Calibri" w:hAnsiTheme="majorBidi" w:cstheme="majorBidi"/>
          <w:b/>
          <w:bCs/>
          <w:sz w:val="32"/>
          <w:szCs w:val="32"/>
        </w:rPr>
      </w:pPr>
      <w:r w:rsidRPr="006E003D">
        <w:rPr>
          <w:rFonts w:asciiTheme="majorBidi" w:eastAsia="Calibri" w:hAnsiTheme="majorBidi" w:cstheme="majorBidi"/>
          <w:b/>
          <w:bCs/>
          <w:sz w:val="32"/>
          <w:szCs w:val="32"/>
        </w:rPr>
        <w:t xml:space="preserve">The </w:t>
      </w:r>
      <w:r w:rsidR="00DA6684" w:rsidRPr="006E003D">
        <w:rPr>
          <w:rFonts w:asciiTheme="majorBidi" w:eastAsia="Calibri" w:hAnsiTheme="majorBidi" w:cstheme="majorBidi"/>
          <w:b/>
          <w:bCs/>
          <w:sz w:val="32"/>
          <w:szCs w:val="32"/>
        </w:rPr>
        <w:t>Performance of the Palestinian Economy during</w:t>
      </w:r>
      <w:r w:rsidR="00027B6F" w:rsidRPr="006E003D">
        <w:rPr>
          <w:rFonts w:asciiTheme="majorBidi" w:eastAsia="Calibri" w:hAnsiTheme="majorBidi" w:cstheme="majorBidi"/>
          <w:b/>
          <w:bCs/>
          <w:sz w:val="32"/>
          <w:szCs w:val="32"/>
        </w:rPr>
        <w:t xml:space="preserve"> 2023</w:t>
      </w:r>
    </w:p>
    <w:p w:rsidR="00313BF5" w:rsidRPr="006E003D" w:rsidRDefault="00313BF5" w:rsidP="00313BF5">
      <w:pPr>
        <w:bidi w:val="0"/>
        <w:ind w:left="360"/>
        <w:jc w:val="center"/>
        <w:rPr>
          <w:rFonts w:asciiTheme="majorBidi" w:eastAsia="Calibri" w:hAnsiTheme="majorBidi" w:cstheme="majorBidi"/>
          <w:b/>
          <w:bCs/>
          <w:sz w:val="28"/>
          <w:szCs w:val="28"/>
        </w:rPr>
      </w:pPr>
    </w:p>
    <w:p w:rsidR="00313BF5" w:rsidRDefault="00313BF5" w:rsidP="005E3ADE">
      <w:pPr>
        <w:pStyle w:val="NoSpacing"/>
        <w:bidi w:val="0"/>
        <w:jc w:val="both"/>
        <w:rPr>
          <w:rFonts w:asciiTheme="majorBidi" w:hAnsiTheme="majorBidi" w:cstheme="majorBidi"/>
          <w:b/>
          <w:bCs/>
          <w:sz w:val="26"/>
          <w:szCs w:val="26"/>
          <w:rtl/>
          <w:lang w:eastAsia="ar-SA"/>
        </w:rPr>
      </w:pPr>
      <w:r w:rsidRPr="006E003D">
        <w:rPr>
          <w:rFonts w:asciiTheme="majorBidi" w:hAnsiTheme="majorBidi" w:cstheme="majorBidi"/>
          <w:b/>
          <w:bCs/>
          <w:sz w:val="26"/>
          <w:szCs w:val="26"/>
          <w:lang w:eastAsia="ar-SA"/>
        </w:rPr>
        <w:t>A sharp contraction in the gross domestic product in Gaza Strip during the fourth quarter of 2023 by more than 80%, accompanied by a rise in unemployment rates reaching 74%, and a</w:t>
      </w:r>
      <w:r w:rsidR="007D6AA9" w:rsidRPr="006E003D">
        <w:rPr>
          <w:rFonts w:asciiTheme="majorBidi" w:hAnsiTheme="majorBidi" w:cstheme="majorBidi"/>
          <w:b/>
          <w:bCs/>
          <w:sz w:val="26"/>
          <w:szCs w:val="26"/>
          <w:lang w:eastAsia="ar-SA"/>
        </w:rPr>
        <w:t xml:space="preserve"> sharp</w:t>
      </w:r>
      <w:r w:rsidRPr="006E003D">
        <w:rPr>
          <w:rFonts w:asciiTheme="majorBidi" w:hAnsiTheme="majorBidi" w:cstheme="majorBidi"/>
          <w:b/>
          <w:bCs/>
          <w:sz w:val="26"/>
          <w:szCs w:val="26"/>
          <w:lang w:eastAsia="ar-SA"/>
        </w:rPr>
        <w:t xml:space="preserve"> decline in the West Bank by </w:t>
      </w:r>
      <w:r w:rsidR="00C913DC" w:rsidRPr="006E003D">
        <w:rPr>
          <w:rFonts w:asciiTheme="majorBidi" w:hAnsiTheme="majorBidi" w:cstheme="majorBidi"/>
          <w:b/>
          <w:bCs/>
          <w:sz w:val="26"/>
          <w:szCs w:val="26"/>
          <w:lang w:eastAsia="ar-SA"/>
        </w:rPr>
        <w:t>22</w:t>
      </w:r>
      <w:r w:rsidRPr="006E003D">
        <w:rPr>
          <w:rFonts w:asciiTheme="majorBidi" w:hAnsiTheme="majorBidi" w:cstheme="majorBidi"/>
          <w:b/>
          <w:bCs/>
          <w:sz w:val="26"/>
          <w:szCs w:val="26"/>
          <w:lang w:eastAsia="ar-SA"/>
        </w:rPr>
        <w:t xml:space="preserve">%, </w:t>
      </w:r>
      <w:r w:rsidR="007D6AA9" w:rsidRPr="006E003D">
        <w:rPr>
          <w:rFonts w:asciiTheme="majorBidi" w:hAnsiTheme="majorBidi" w:cstheme="majorBidi"/>
          <w:b/>
          <w:bCs/>
          <w:sz w:val="26"/>
          <w:szCs w:val="26"/>
          <w:lang w:eastAsia="ar-SA"/>
        </w:rPr>
        <w:t>with an</w:t>
      </w:r>
      <w:r w:rsidRPr="006E003D">
        <w:rPr>
          <w:rFonts w:asciiTheme="majorBidi" w:hAnsiTheme="majorBidi" w:cstheme="majorBidi"/>
          <w:b/>
          <w:bCs/>
          <w:sz w:val="26"/>
          <w:szCs w:val="26"/>
          <w:lang w:eastAsia="ar-SA"/>
        </w:rPr>
        <w:t xml:space="preserve"> unemployment rate </w:t>
      </w:r>
      <w:r w:rsidR="007D6AA9" w:rsidRPr="006E003D">
        <w:rPr>
          <w:rFonts w:asciiTheme="majorBidi" w:hAnsiTheme="majorBidi" w:cstheme="majorBidi"/>
          <w:b/>
          <w:bCs/>
          <w:sz w:val="26"/>
          <w:szCs w:val="26"/>
          <w:lang w:eastAsia="ar-SA"/>
        </w:rPr>
        <w:t>of</w:t>
      </w:r>
      <w:r w:rsidRPr="006E003D">
        <w:rPr>
          <w:rFonts w:asciiTheme="majorBidi" w:hAnsiTheme="majorBidi" w:cstheme="majorBidi"/>
          <w:b/>
          <w:bCs/>
          <w:sz w:val="26"/>
          <w:szCs w:val="26"/>
          <w:lang w:eastAsia="ar-SA"/>
        </w:rPr>
        <w:t xml:space="preserve"> 29%, which led to a decline in the gross domestic product in Palestine </w:t>
      </w:r>
      <w:r w:rsidR="005E3ADE" w:rsidRPr="006E003D">
        <w:rPr>
          <w:rFonts w:asciiTheme="majorBidi" w:hAnsiTheme="majorBidi" w:cstheme="majorBidi"/>
          <w:b/>
          <w:bCs/>
          <w:sz w:val="26"/>
          <w:szCs w:val="26"/>
          <w:lang w:eastAsia="ar-SA"/>
        </w:rPr>
        <w:t xml:space="preserve">during the fourth quarter 2023 </w:t>
      </w:r>
      <w:r w:rsidRPr="006E003D">
        <w:rPr>
          <w:rFonts w:asciiTheme="majorBidi" w:hAnsiTheme="majorBidi" w:cstheme="majorBidi"/>
          <w:b/>
          <w:bCs/>
          <w:sz w:val="26"/>
          <w:szCs w:val="26"/>
          <w:lang w:eastAsia="ar-SA"/>
        </w:rPr>
        <w:t xml:space="preserve">by </w:t>
      </w:r>
      <w:r w:rsidR="005E3ADE" w:rsidRPr="006E003D">
        <w:rPr>
          <w:rFonts w:asciiTheme="majorBidi" w:hAnsiTheme="majorBidi" w:cstheme="majorBidi"/>
          <w:b/>
          <w:bCs/>
          <w:sz w:val="26"/>
          <w:szCs w:val="26"/>
          <w:lang w:eastAsia="ar-SA"/>
        </w:rPr>
        <w:t>33%.</w:t>
      </w:r>
    </w:p>
    <w:p w:rsidR="006E003D" w:rsidRPr="006E003D" w:rsidRDefault="006E003D" w:rsidP="006E003D">
      <w:pPr>
        <w:pStyle w:val="NoSpacing"/>
        <w:bidi w:val="0"/>
        <w:jc w:val="both"/>
        <w:rPr>
          <w:rFonts w:asciiTheme="majorBidi" w:hAnsiTheme="majorBidi" w:cstheme="majorBidi"/>
          <w:b/>
          <w:bCs/>
          <w:sz w:val="26"/>
          <w:szCs w:val="26"/>
          <w:lang w:eastAsia="ar-SA"/>
        </w:rPr>
      </w:pPr>
    </w:p>
    <w:p w:rsidR="00703905" w:rsidRPr="006E003D" w:rsidRDefault="00703905" w:rsidP="00EF304F">
      <w:pPr>
        <w:bidi w:val="0"/>
        <w:jc w:val="lowKashida"/>
        <w:rPr>
          <w:rFonts w:asciiTheme="majorBidi" w:hAnsiTheme="majorBidi" w:cstheme="majorBidi"/>
          <w:sz w:val="26"/>
          <w:szCs w:val="26"/>
          <w:rtl/>
        </w:rPr>
      </w:pPr>
      <w:r w:rsidRPr="006E003D">
        <w:rPr>
          <w:rFonts w:asciiTheme="majorBidi" w:hAnsiTheme="majorBidi" w:cstheme="majorBidi"/>
          <w:sz w:val="26"/>
          <w:szCs w:val="26"/>
        </w:rPr>
        <w:t xml:space="preserve">The continued Israeli aggression on Gaza Strip during the fourth quarter of 2023 and the following repercussions on the economy in the West Bank, will lead to a decline in Palestine's GDP in 2023 at </w:t>
      </w:r>
      <w:r w:rsidR="000C76D4" w:rsidRPr="006E003D">
        <w:rPr>
          <w:rFonts w:asciiTheme="majorBidi" w:hAnsiTheme="majorBidi" w:cstheme="majorBidi"/>
          <w:sz w:val="26"/>
          <w:szCs w:val="26"/>
        </w:rPr>
        <w:t>about of</w:t>
      </w:r>
      <w:r w:rsidRPr="006E003D">
        <w:rPr>
          <w:rFonts w:asciiTheme="majorBidi" w:hAnsiTheme="majorBidi" w:cstheme="majorBidi"/>
          <w:sz w:val="26"/>
          <w:szCs w:val="26"/>
        </w:rPr>
        <w:t xml:space="preserve"> 6%, with an estimated value of USD 1 </w:t>
      </w:r>
      <w:proofErr w:type="gramStart"/>
      <w:r w:rsidRPr="006E003D">
        <w:rPr>
          <w:rFonts w:asciiTheme="majorBidi" w:hAnsiTheme="majorBidi" w:cstheme="majorBidi"/>
          <w:sz w:val="26"/>
          <w:szCs w:val="26"/>
        </w:rPr>
        <w:t>billion  compared</w:t>
      </w:r>
      <w:proofErr w:type="gramEnd"/>
      <w:r w:rsidRPr="006E003D">
        <w:rPr>
          <w:rFonts w:asciiTheme="majorBidi" w:hAnsiTheme="majorBidi" w:cstheme="majorBidi"/>
          <w:sz w:val="26"/>
          <w:szCs w:val="26"/>
        </w:rPr>
        <w:t xml:space="preserve"> to 2022, where the Palestinian economy was supposed to achieve a growth by 3% in the same year. Palestinian gross domestic product (GDP) dropped by</w:t>
      </w:r>
      <w:r w:rsidR="0086719E" w:rsidRPr="006E003D">
        <w:rPr>
          <w:rFonts w:asciiTheme="majorBidi" w:hAnsiTheme="majorBidi" w:cstheme="majorBidi"/>
          <w:sz w:val="26"/>
          <w:szCs w:val="26"/>
        </w:rPr>
        <w:t xml:space="preserve"> </w:t>
      </w:r>
      <w:r w:rsidR="00EF304F" w:rsidRPr="006E003D">
        <w:rPr>
          <w:rFonts w:asciiTheme="majorBidi" w:hAnsiTheme="majorBidi" w:cstheme="majorBidi"/>
          <w:sz w:val="26"/>
          <w:szCs w:val="26"/>
        </w:rPr>
        <w:t>33</w:t>
      </w:r>
      <w:r w:rsidRPr="006E003D">
        <w:rPr>
          <w:rFonts w:asciiTheme="majorBidi" w:hAnsiTheme="majorBidi" w:cstheme="majorBidi"/>
          <w:sz w:val="26"/>
          <w:szCs w:val="26"/>
        </w:rPr>
        <w:t xml:space="preserve">% in the fourth quarter of 2023 due to Israeli ongoing aggression on Gaza Strip and repeated raids of the West Bank. This decline is also due to a series of factors, most notably the sharp decline in external support, the continued deduction of parts of tax revenues (clearance) by the Israeli occupation over the year which exceeded NIS 2 billion; where the latest of which was the deduction of salaries of Gaza Strip employees. Gaza Strip domestic product declined in the fourth quarter of 2023 compared with the same quarter in 2022 by more than 80% as a result of the Israeli aggression, which led to the near-total disruption of economic life and the destruction of most of the components of production. Also, GDP recorded a </w:t>
      </w:r>
      <w:r w:rsidR="00DA6684" w:rsidRPr="006E003D">
        <w:rPr>
          <w:rFonts w:asciiTheme="majorBidi" w:hAnsiTheme="majorBidi" w:cstheme="majorBidi"/>
          <w:sz w:val="26"/>
          <w:szCs w:val="26"/>
        </w:rPr>
        <w:t xml:space="preserve">sharp </w:t>
      </w:r>
      <w:r w:rsidRPr="006E003D">
        <w:rPr>
          <w:rFonts w:asciiTheme="majorBidi" w:hAnsiTheme="majorBidi" w:cstheme="majorBidi"/>
          <w:sz w:val="26"/>
          <w:szCs w:val="26"/>
        </w:rPr>
        <w:t xml:space="preserve">decline </w:t>
      </w:r>
      <w:r w:rsidR="00EF304F" w:rsidRPr="006E003D">
        <w:rPr>
          <w:rFonts w:asciiTheme="majorBidi" w:hAnsiTheme="majorBidi" w:cstheme="majorBidi"/>
          <w:sz w:val="26"/>
          <w:szCs w:val="26"/>
        </w:rPr>
        <w:t>by 22%</w:t>
      </w:r>
      <w:r w:rsidRPr="006E003D">
        <w:rPr>
          <w:rFonts w:asciiTheme="majorBidi" w:hAnsiTheme="majorBidi" w:cstheme="majorBidi"/>
          <w:sz w:val="26"/>
          <w:szCs w:val="26"/>
        </w:rPr>
        <w:t xml:space="preserve"> in the West Bank, due to the continued raids of the Israeli occupation on the cities, towns and camps of the West Bank, as well as the closure policy between West Bank governorates and the layoffs of more than 90% of Palestinian workers in Israel and the Israeli settlements, which all, in return, created economic contraction and distorted its economic structure; and thus, it led to the Palestinian government inability to fulfil its financial obligations toward the public and private sectors.</w:t>
      </w:r>
    </w:p>
    <w:p w:rsidR="00313BF5" w:rsidRPr="006E003D" w:rsidRDefault="00313BF5" w:rsidP="00313BF5">
      <w:pPr>
        <w:bidi w:val="0"/>
        <w:ind w:left="360"/>
        <w:jc w:val="center"/>
        <w:rPr>
          <w:rFonts w:asciiTheme="majorBidi" w:eastAsia="Calibri" w:hAnsiTheme="majorBidi" w:cstheme="majorBidi"/>
          <w:b/>
          <w:bCs/>
          <w:sz w:val="26"/>
          <w:szCs w:val="26"/>
        </w:rPr>
      </w:pPr>
    </w:p>
    <w:p w:rsidR="00B83CB9" w:rsidRPr="006E003D" w:rsidRDefault="00B83CB9" w:rsidP="00B83CB9">
      <w:pPr>
        <w:bidi w:val="0"/>
        <w:ind w:left="360"/>
        <w:jc w:val="center"/>
        <w:rPr>
          <w:rFonts w:asciiTheme="majorBidi" w:eastAsia="Calibri" w:hAnsiTheme="majorBidi" w:cstheme="majorBidi"/>
          <w:b/>
          <w:bCs/>
          <w:sz w:val="26"/>
          <w:szCs w:val="26"/>
        </w:rPr>
      </w:pPr>
    </w:p>
    <w:p w:rsidR="005E3ADE" w:rsidRPr="006E003D" w:rsidRDefault="005E3ADE" w:rsidP="000F2E70">
      <w:pPr>
        <w:pStyle w:val="HTMLPreformatted"/>
        <w:shd w:val="clear" w:color="auto" w:fill="FFFFFF" w:themeFill="background1"/>
        <w:spacing w:line="276" w:lineRule="auto"/>
        <w:jc w:val="lowKashida"/>
        <w:rPr>
          <w:rFonts w:asciiTheme="majorBidi" w:eastAsia="Calibri" w:hAnsiTheme="majorBidi" w:cstheme="majorBidi"/>
          <w:b/>
          <w:bCs/>
          <w:sz w:val="26"/>
          <w:szCs w:val="26"/>
          <w:lang w:eastAsia="ar-SA"/>
        </w:rPr>
      </w:pPr>
      <w:r w:rsidRPr="006E003D">
        <w:rPr>
          <w:rFonts w:asciiTheme="majorBidi" w:eastAsia="Calibri" w:hAnsiTheme="majorBidi" w:cstheme="majorBidi"/>
          <w:b/>
          <w:bCs/>
          <w:sz w:val="26"/>
          <w:szCs w:val="26"/>
          <w:lang w:eastAsia="ar-SA"/>
        </w:rPr>
        <w:t xml:space="preserve">A humanitarian and </w:t>
      </w:r>
      <w:r w:rsidR="00E836AC" w:rsidRPr="006E003D">
        <w:rPr>
          <w:rFonts w:asciiTheme="majorBidi" w:eastAsia="Calibri" w:hAnsiTheme="majorBidi" w:cstheme="majorBidi"/>
          <w:b/>
          <w:bCs/>
          <w:sz w:val="26"/>
          <w:szCs w:val="26"/>
          <w:lang w:eastAsia="ar-SA"/>
        </w:rPr>
        <w:t xml:space="preserve">environmental, social </w:t>
      </w:r>
      <w:r w:rsidR="000F2E70" w:rsidRPr="006E003D">
        <w:rPr>
          <w:rFonts w:asciiTheme="majorBidi" w:eastAsia="Calibri" w:hAnsiTheme="majorBidi" w:cstheme="majorBidi"/>
          <w:b/>
          <w:bCs/>
          <w:sz w:val="26"/>
          <w:szCs w:val="26"/>
          <w:lang w:eastAsia="ar-SA"/>
        </w:rPr>
        <w:t xml:space="preserve">and </w:t>
      </w:r>
      <w:r w:rsidRPr="006E003D">
        <w:rPr>
          <w:rFonts w:asciiTheme="majorBidi" w:eastAsia="Calibri" w:hAnsiTheme="majorBidi" w:cstheme="majorBidi"/>
          <w:b/>
          <w:bCs/>
          <w:sz w:val="26"/>
          <w:szCs w:val="26"/>
          <w:lang w:eastAsia="ar-SA"/>
        </w:rPr>
        <w:t xml:space="preserve">economic catastrophe </w:t>
      </w:r>
      <w:r w:rsidR="000F2E70" w:rsidRPr="006E003D">
        <w:rPr>
          <w:rFonts w:asciiTheme="majorBidi" w:eastAsia="Calibri" w:hAnsiTheme="majorBidi" w:cstheme="majorBidi"/>
          <w:b/>
          <w:bCs/>
          <w:sz w:val="26"/>
          <w:szCs w:val="26"/>
          <w:lang w:eastAsia="ar-SA"/>
        </w:rPr>
        <w:t>led to</w:t>
      </w:r>
      <w:r w:rsidRPr="006E003D">
        <w:rPr>
          <w:rFonts w:asciiTheme="majorBidi" w:eastAsia="Calibri" w:hAnsiTheme="majorBidi" w:cstheme="majorBidi"/>
          <w:b/>
          <w:bCs/>
          <w:sz w:val="26"/>
          <w:szCs w:val="26"/>
          <w:lang w:eastAsia="ar-SA"/>
        </w:rPr>
        <w:t xml:space="preserve"> a structural distortion in the economy of the Gaza Strip’s.</w:t>
      </w:r>
    </w:p>
    <w:p w:rsidR="004C714E" w:rsidRPr="006E003D" w:rsidRDefault="004C714E" w:rsidP="00680E5A">
      <w:pPr>
        <w:pStyle w:val="NoSpacing"/>
        <w:bidi w:val="0"/>
        <w:jc w:val="both"/>
        <w:rPr>
          <w:rFonts w:ascii="Times New Roman" w:eastAsia="Times New Roman" w:hAnsi="Times New Roman" w:cs="Times New Roman"/>
          <w:sz w:val="26"/>
          <w:szCs w:val="26"/>
          <w:rtl/>
        </w:rPr>
      </w:pPr>
      <w:r w:rsidRPr="006E003D">
        <w:rPr>
          <w:rFonts w:ascii="Times New Roman" w:eastAsia="Times New Roman" w:hAnsi="Times New Roman" w:cs="Times New Roman"/>
          <w:sz w:val="26"/>
          <w:szCs w:val="26"/>
        </w:rPr>
        <w:t>About 2.</w:t>
      </w:r>
      <w:r w:rsidR="00EE57B8" w:rsidRPr="006E003D">
        <w:rPr>
          <w:rFonts w:ascii="Times New Roman" w:eastAsia="Times New Roman" w:hAnsi="Times New Roman" w:cs="Times New Roman" w:hint="cs"/>
          <w:sz w:val="26"/>
          <w:szCs w:val="26"/>
          <w:rtl/>
        </w:rPr>
        <w:t>3</w:t>
      </w:r>
      <w:r w:rsidRPr="006E003D">
        <w:rPr>
          <w:rFonts w:ascii="Times New Roman" w:eastAsia="Times New Roman" w:hAnsi="Times New Roman" w:cs="Times New Roman"/>
          <w:sz w:val="26"/>
          <w:szCs w:val="26"/>
        </w:rPr>
        <w:t xml:space="preserve"> million people </w:t>
      </w:r>
      <w:r w:rsidR="00EE57B8" w:rsidRPr="006E003D">
        <w:rPr>
          <w:rFonts w:ascii="Times New Roman" w:eastAsia="Times New Roman" w:hAnsi="Times New Roman" w:cs="Times New Roman"/>
          <w:sz w:val="26"/>
          <w:szCs w:val="26"/>
        </w:rPr>
        <w:t>live in Gaza Strip</w:t>
      </w:r>
      <w:r w:rsidRPr="006E003D">
        <w:rPr>
          <w:rFonts w:ascii="Times New Roman" w:eastAsia="Times New Roman" w:hAnsi="Times New Roman" w:cs="Times New Roman"/>
          <w:sz w:val="26"/>
          <w:szCs w:val="26"/>
        </w:rPr>
        <w:t xml:space="preserve">, in an area that doesn't exceed 365 km². The population density in Gaza Strip is 6,102 individuals/km², where it is considered one of the highest densely populated </w:t>
      </w:r>
      <w:r w:rsidR="00012586" w:rsidRPr="006E003D">
        <w:rPr>
          <w:rFonts w:ascii="Times New Roman" w:eastAsia="Times New Roman" w:hAnsi="Times New Roman" w:cs="Times New Roman"/>
          <w:sz w:val="26"/>
          <w:szCs w:val="26"/>
        </w:rPr>
        <w:t>in the world</w:t>
      </w:r>
      <w:r w:rsidR="00680E5A" w:rsidRPr="006E003D">
        <w:rPr>
          <w:rFonts w:ascii="Times New Roman" w:eastAsia="Times New Roman" w:hAnsi="Times New Roman" w:cs="Times New Roman"/>
          <w:sz w:val="26"/>
          <w:szCs w:val="26"/>
        </w:rPr>
        <w:t>. T</w:t>
      </w:r>
      <w:r w:rsidR="00012586" w:rsidRPr="006E003D">
        <w:rPr>
          <w:rFonts w:ascii="Times New Roman" w:eastAsia="Times New Roman" w:hAnsi="Times New Roman" w:cs="Times New Roman"/>
          <w:sz w:val="26"/>
          <w:szCs w:val="26"/>
        </w:rPr>
        <w:t>he per capita of water also reached less than 2 liters per day compared to 150 liters per day according to the minimum recommended amount by the World Health Organization.</w:t>
      </w:r>
      <w:r w:rsidR="00012586" w:rsidRPr="006E003D">
        <w:rPr>
          <w:rFonts w:ascii="Times New Roman" w:eastAsia="Times New Roman" w:hAnsi="Times New Roman" w:cs="Times New Roman"/>
          <w:sz w:val="26"/>
          <w:szCs w:val="26"/>
          <w:rtl/>
        </w:rPr>
        <w:t xml:space="preserve"> </w:t>
      </w:r>
      <w:r w:rsidRPr="006E003D">
        <w:rPr>
          <w:rFonts w:ascii="Times New Roman" w:eastAsia="Times New Roman" w:hAnsi="Times New Roman" w:cs="Times New Roman"/>
          <w:sz w:val="26"/>
          <w:szCs w:val="26"/>
        </w:rPr>
        <w:t xml:space="preserve"> Thus, Gaza Strip suffers from demographic pressure on the basic resources of production factors. On the other hand, the series of repeated wars on Gaza Strip, which led to almost complete destruction of the simplest necessities of life for the Palestinian individual. Unemployment rates rose to reach their highest levels, recording 74% during the fourth quarter of 2023. During the fourth quarter of 2023, economic indicators showed a decline in the contribution of Gaza Strip to the gross domestic product in the State of Palestine from about 34% over the years before 2006, to fell to less than 5%, which led to a structural distortion in the Gaza Strip’s economy affected its ability to recover. Estimates also indicate that about half of the establishments were completely or partially destroyed as a result of the Israeli aggression on Gaza Strip. The above mentioned indicators show that Gaza Strip has been suffering from a difficult economic situation before the Israeli aggression on Gaza Strip. The ongoing devastating aggression increases the suffering of Gaza Strip, as Gaza is deprived of the least human rights, such as water, electricity, fuel, in addition to a significant shortage of medicines and basic health supplies, which portends a humanitarian and environmental catastrophe.</w:t>
      </w:r>
    </w:p>
    <w:p w:rsidR="0007064C" w:rsidRPr="006E003D" w:rsidRDefault="0007064C" w:rsidP="0007064C">
      <w:pPr>
        <w:bidi w:val="0"/>
        <w:rPr>
          <w:rFonts w:asciiTheme="majorBidi" w:hAnsiTheme="majorBidi" w:cstheme="majorBidi"/>
          <w:b/>
          <w:bCs/>
          <w:sz w:val="26"/>
          <w:szCs w:val="26"/>
        </w:rPr>
      </w:pPr>
    </w:p>
    <w:p w:rsidR="004C714E" w:rsidRPr="006E003D" w:rsidRDefault="004C714E" w:rsidP="00A20DE5">
      <w:pPr>
        <w:pStyle w:val="HTMLPreformatted"/>
        <w:shd w:val="clear" w:color="auto" w:fill="FFFFFF" w:themeFill="background1"/>
        <w:spacing w:line="276" w:lineRule="auto"/>
        <w:jc w:val="both"/>
        <w:rPr>
          <w:rFonts w:asciiTheme="majorBidi" w:eastAsia="Calibri" w:hAnsiTheme="majorBidi" w:cstheme="majorBidi"/>
          <w:b/>
          <w:bCs/>
          <w:sz w:val="26"/>
          <w:szCs w:val="26"/>
          <w:rtl/>
          <w:lang w:eastAsia="ar-SA"/>
        </w:rPr>
      </w:pPr>
      <w:r w:rsidRPr="006E003D">
        <w:rPr>
          <w:rFonts w:asciiTheme="majorBidi" w:eastAsia="Calibri" w:hAnsiTheme="majorBidi" w:cstheme="majorBidi"/>
          <w:b/>
          <w:bCs/>
          <w:sz w:val="26"/>
          <w:szCs w:val="26"/>
          <w:lang w:eastAsia="ar-SA"/>
        </w:rPr>
        <w:t>Almost complete collapse of all economic activities in Gaza Strip during the fourth quarter of 2023, which led to a sharp decline in Palestinian economic</w:t>
      </w:r>
    </w:p>
    <w:p w:rsidR="004C714E" w:rsidRPr="006E003D" w:rsidRDefault="004C714E" w:rsidP="00A20DE5">
      <w:pPr>
        <w:bidi w:val="0"/>
        <w:jc w:val="both"/>
        <w:rPr>
          <w:sz w:val="26"/>
          <w:szCs w:val="26"/>
        </w:rPr>
      </w:pPr>
      <w:r w:rsidRPr="006E003D">
        <w:rPr>
          <w:sz w:val="26"/>
          <w:szCs w:val="26"/>
        </w:rPr>
        <w:t>The value added of all economic activities in Palestine dropped in the fourth quarter of 2023 compared to the same quarter of the previous year, where constructions activity recorded the highest decline reaching 39% (27% in the West Bank and 96% in Gaza Strip), followed by agriculture activity with a decline of 38% (12% in the West Bank and 93% in Gaza Strip), then the services activity by 33% (21% in the West Bank and 77% in Gaza Strip), industry activity by 28% (24% in the West Bank and 92% in Gaza Strip), as a result of which all economic activities in Palestine declined in 2023 compared to 2022, where the constructions activity recorded the highest decline of 12%, followed by agriculture, industry activities by 8%, and services activity by 6%.</w:t>
      </w:r>
    </w:p>
    <w:p w:rsidR="00A20DE5" w:rsidRPr="006E003D" w:rsidRDefault="00A20DE5" w:rsidP="00A20DE5">
      <w:pPr>
        <w:bidi w:val="0"/>
        <w:jc w:val="both"/>
        <w:rPr>
          <w:sz w:val="26"/>
          <w:szCs w:val="26"/>
        </w:rPr>
      </w:pPr>
    </w:p>
    <w:p w:rsidR="004C714E" w:rsidRPr="006E003D" w:rsidRDefault="004C714E" w:rsidP="00DA4DF0">
      <w:pPr>
        <w:pStyle w:val="HTMLPreformatted"/>
        <w:shd w:val="clear" w:color="auto" w:fill="FFFFFF" w:themeFill="background1"/>
        <w:spacing w:line="276" w:lineRule="auto"/>
        <w:jc w:val="both"/>
        <w:rPr>
          <w:rFonts w:asciiTheme="majorBidi" w:eastAsia="Calibri" w:hAnsiTheme="majorBidi" w:cstheme="majorBidi"/>
          <w:b/>
          <w:bCs/>
          <w:sz w:val="26"/>
          <w:szCs w:val="26"/>
          <w:lang w:eastAsia="ar-SA"/>
        </w:rPr>
      </w:pPr>
      <w:r w:rsidRPr="006E003D">
        <w:rPr>
          <w:rFonts w:asciiTheme="majorBidi" w:eastAsia="Calibri" w:hAnsiTheme="majorBidi" w:cstheme="majorBidi"/>
          <w:b/>
          <w:bCs/>
          <w:sz w:val="26"/>
          <w:szCs w:val="26"/>
          <w:lang w:eastAsia="ar-SA"/>
        </w:rPr>
        <w:t>A sharp decline in the level of consumption in Palestine during the fourth qu</w:t>
      </w:r>
      <w:r w:rsidR="00DA4DF0" w:rsidRPr="006E003D">
        <w:rPr>
          <w:rFonts w:asciiTheme="majorBidi" w:eastAsia="Calibri" w:hAnsiTheme="majorBidi" w:cstheme="majorBidi"/>
          <w:b/>
          <w:bCs/>
          <w:sz w:val="26"/>
          <w:szCs w:val="26"/>
          <w:lang w:eastAsia="ar-SA"/>
        </w:rPr>
        <w:t>arter of 2023 by more than 33%</w:t>
      </w:r>
      <w:r w:rsidRPr="006E003D">
        <w:rPr>
          <w:rFonts w:asciiTheme="majorBidi" w:eastAsia="Calibri" w:hAnsiTheme="majorBidi" w:cstheme="majorBidi"/>
          <w:b/>
          <w:bCs/>
          <w:sz w:val="26"/>
          <w:szCs w:val="26"/>
          <w:lang w:eastAsia="ar-SA"/>
        </w:rPr>
        <w:t>, which will, in return, increase poverty rates in Palestine.</w:t>
      </w:r>
    </w:p>
    <w:p w:rsidR="004C714E" w:rsidRPr="006E003D" w:rsidRDefault="004C714E" w:rsidP="000A3EE2">
      <w:pPr>
        <w:pStyle w:val="HTMLPreformatted"/>
        <w:shd w:val="clear" w:color="auto" w:fill="FFFFFF" w:themeFill="background1"/>
        <w:spacing w:line="276" w:lineRule="auto"/>
        <w:jc w:val="lowKashida"/>
        <w:rPr>
          <w:rFonts w:asciiTheme="majorBidi" w:eastAsiaTheme="minorHAnsi" w:hAnsiTheme="majorBidi" w:cstheme="majorBidi"/>
          <w:sz w:val="26"/>
          <w:szCs w:val="26"/>
        </w:rPr>
      </w:pPr>
      <w:r w:rsidRPr="006E003D">
        <w:rPr>
          <w:rFonts w:asciiTheme="majorBidi" w:eastAsiaTheme="minorHAnsi" w:hAnsiTheme="majorBidi" w:cstheme="majorBidi"/>
          <w:sz w:val="26"/>
          <w:szCs w:val="26"/>
        </w:rPr>
        <w:t xml:space="preserve">At the expenditure level, </w:t>
      </w:r>
      <w:r w:rsidR="000A3EE2" w:rsidRPr="006E003D">
        <w:rPr>
          <w:rFonts w:asciiTheme="majorBidi" w:eastAsiaTheme="minorHAnsi" w:hAnsiTheme="majorBidi" w:cstheme="majorBidi"/>
          <w:sz w:val="26"/>
          <w:szCs w:val="26"/>
        </w:rPr>
        <w:t>gross</w:t>
      </w:r>
      <w:r w:rsidRPr="006E003D">
        <w:rPr>
          <w:rFonts w:asciiTheme="majorBidi" w:eastAsiaTheme="minorHAnsi" w:hAnsiTheme="majorBidi" w:cstheme="majorBidi"/>
          <w:sz w:val="26"/>
          <w:szCs w:val="26"/>
        </w:rPr>
        <w:t xml:space="preserve"> consumption decreased by 33.1% (21% in the West Bank and 80% in Gaza Strip) in the fourth quarter of 2023 compared to the same period in the previous year.  The private consumption by households and non- profit institut</w:t>
      </w:r>
      <w:r w:rsidR="00A911D5" w:rsidRPr="006E003D">
        <w:rPr>
          <w:rFonts w:asciiTheme="majorBidi" w:eastAsiaTheme="minorHAnsi" w:hAnsiTheme="majorBidi" w:cstheme="majorBidi"/>
          <w:sz w:val="26"/>
          <w:szCs w:val="26"/>
        </w:rPr>
        <w:t>ions and serving households</w:t>
      </w:r>
      <w:r w:rsidRPr="006E003D">
        <w:rPr>
          <w:rFonts w:asciiTheme="majorBidi" w:eastAsiaTheme="minorHAnsi" w:hAnsiTheme="majorBidi" w:cstheme="majorBidi" w:hint="cs"/>
          <w:sz w:val="26"/>
          <w:szCs w:val="26"/>
          <w:rtl/>
        </w:rPr>
        <w:t xml:space="preserve"> </w:t>
      </w:r>
      <w:r w:rsidRPr="006E003D">
        <w:rPr>
          <w:rFonts w:asciiTheme="majorBidi" w:eastAsiaTheme="minorHAnsi" w:hAnsiTheme="majorBidi" w:cstheme="majorBidi"/>
          <w:sz w:val="26"/>
          <w:szCs w:val="26"/>
        </w:rPr>
        <w:t xml:space="preserve">declined by 33%, where public consumption (Government) decreased by 33.4% during the same period, while </w:t>
      </w:r>
      <w:r w:rsidR="00920116" w:rsidRPr="006E003D">
        <w:rPr>
          <w:rFonts w:asciiTheme="majorBidi" w:eastAsiaTheme="minorHAnsi" w:hAnsiTheme="majorBidi" w:cstheme="majorBidi"/>
          <w:sz w:val="26"/>
          <w:szCs w:val="26"/>
        </w:rPr>
        <w:t>gross</w:t>
      </w:r>
      <w:r w:rsidRPr="006E003D">
        <w:rPr>
          <w:rFonts w:asciiTheme="majorBidi" w:eastAsiaTheme="minorHAnsi" w:hAnsiTheme="majorBidi" w:cstheme="majorBidi"/>
          <w:sz w:val="26"/>
          <w:szCs w:val="26"/>
        </w:rPr>
        <w:t xml:space="preserve"> investment (gross capital formation) </w:t>
      </w:r>
      <w:r w:rsidRPr="006E003D">
        <w:rPr>
          <w:rFonts w:asciiTheme="majorBidi" w:eastAsiaTheme="minorHAnsi" w:hAnsiTheme="majorBidi" w:cstheme="majorBidi"/>
          <w:sz w:val="26"/>
          <w:szCs w:val="26"/>
        </w:rPr>
        <w:lastRenderedPageBreak/>
        <w:t xml:space="preserve">decreased by 30%.  During 2023, GDP per capita declined by 8% and private and government consumption by 3% and 8%, respectively, as well as a decline in the </w:t>
      </w:r>
      <w:r w:rsidR="00920116" w:rsidRPr="006E003D">
        <w:rPr>
          <w:rFonts w:asciiTheme="majorBidi" w:eastAsiaTheme="minorHAnsi" w:hAnsiTheme="majorBidi" w:cstheme="majorBidi"/>
          <w:sz w:val="26"/>
          <w:szCs w:val="26"/>
        </w:rPr>
        <w:t>gross</w:t>
      </w:r>
      <w:r w:rsidRPr="006E003D">
        <w:rPr>
          <w:rFonts w:asciiTheme="majorBidi" w:eastAsiaTheme="minorHAnsi" w:hAnsiTheme="majorBidi" w:cstheme="majorBidi"/>
          <w:sz w:val="26"/>
          <w:szCs w:val="26"/>
        </w:rPr>
        <w:t xml:space="preserve"> investment by 5%.</w:t>
      </w:r>
    </w:p>
    <w:p w:rsidR="00B77C55" w:rsidRPr="006E003D" w:rsidRDefault="00B77C55" w:rsidP="004C714E">
      <w:pPr>
        <w:pStyle w:val="HTMLPreformatted"/>
        <w:shd w:val="clear" w:color="auto" w:fill="FFFFFF" w:themeFill="background1"/>
        <w:spacing w:line="276" w:lineRule="auto"/>
        <w:jc w:val="lowKashida"/>
        <w:rPr>
          <w:rFonts w:asciiTheme="majorBidi" w:eastAsiaTheme="minorHAnsi" w:hAnsiTheme="majorBidi" w:cstheme="majorBidi"/>
          <w:sz w:val="26"/>
          <w:szCs w:val="26"/>
        </w:rPr>
      </w:pPr>
    </w:p>
    <w:p w:rsidR="00DA4DF0" w:rsidRPr="006E003D" w:rsidRDefault="00DA4DF0" w:rsidP="00B77C55">
      <w:pPr>
        <w:pStyle w:val="HTMLPreformatted"/>
        <w:shd w:val="clear" w:color="auto" w:fill="FFFFFF" w:themeFill="background1"/>
        <w:spacing w:line="276" w:lineRule="auto"/>
        <w:jc w:val="both"/>
        <w:rPr>
          <w:rFonts w:asciiTheme="majorBidi" w:eastAsia="Calibri" w:hAnsiTheme="majorBidi" w:cstheme="majorBidi"/>
          <w:b/>
          <w:bCs/>
          <w:sz w:val="26"/>
          <w:szCs w:val="26"/>
          <w:lang w:eastAsia="ar-SA"/>
        </w:rPr>
      </w:pPr>
      <w:r w:rsidRPr="006E003D">
        <w:rPr>
          <w:rFonts w:asciiTheme="majorBidi" w:eastAsia="Calibri" w:hAnsiTheme="majorBidi" w:cstheme="majorBidi"/>
          <w:b/>
          <w:bCs/>
          <w:sz w:val="26"/>
          <w:szCs w:val="26"/>
          <w:lang w:eastAsia="ar-SA"/>
        </w:rPr>
        <w:t>The trade balance deficit declined by 33% for the fourth quarter of 2023</w:t>
      </w:r>
    </w:p>
    <w:p w:rsidR="004C714E" w:rsidRPr="006E003D" w:rsidRDefault="004C714E" w:rsidP="00070C78">
      <w:pPr>
        <w:pStyle w:val="HTMLPreformatted"/>
        <w:shd w:val="clear" w:color="auto" w:fill="FFFFFF" w:themeFill="background1"/>
        <w:spacing w:line="276" w:lineRule="auto"/>
        <w:jc w:val="lowKashida"/>
        <w:rPr>
          <w:sz w:val="26"/>
          <w:szCs w:val="26"/>
        </w:rPr>
      </w:pPr>
      <w:r w:rsidRPr="006E003D">
        <w:rPr>
          <w:rFonts w:asciiTheme="majorBidi" w:eastAsiaTheme="minorHAnsi" w:hAnsiTheme="majorBidi" w:cstheme="majorBidi"/>
          <w:sz w:val="26"/>
          <w:szCs w:val="26"/>
        </w:rPr>
        <w:t xml:space="preserve">At the level of the Palestinian trade with the outside world, the fourth quarter of 2023 witnessed a sharp decline in the value of exports of goods and services by 33% along with a decline of 33% in imports during the same period, as a result of the fact that the value of imports is about three times the value of exports, which led to a decline of 33% in the trade balance deficit. It is worth mentioning that before 2006, the volume of trade for Gaza Strip reached 23% of Palestine's total trade. Yet, this percentage declined below 4% in the fourth quarter of 2023. During the recent </w:t>
      </w:r>
      <w:r w:rsidR="00070C78" w:rsidRPr="006E003D">
        <w:rPr>
          <w:rFonts w:asciiTheme="majorBidi" w:eastAsiaTheme="minorHAnsi" w:hAnsiTheme="majorBidi" w:cstheme="majorBidi"/>
          <w:sz w:val="26"/>
          <w:szCs w:val="26"/>
        </w:rPr>
        <w:t>aggression</w:t>
      </w:r>
      <w:r w:rsidRPr="006E003D">
        <w:rPr>
          <w:rFonts w:asciiTheme="majorBidi" w:eastAsiaTheme="minorHAnsi" w:hAnsiTheme="majorBidi" w:cstheme="majorBidi"/>
          <w:sz w:val="26"/>
          <w:szCs w:val="26"/>
        </w:rPr>
        <w:t xml:space="preserve"> on Gaza Strip, supply chains from and into Gaza Strip were cut off, which warns of a health catastrophe in all of Gaza Strip due to the sharp decline in medicines and healthcare needs and necessities. While, in 2023, exports, imports and the trade balance recorded a relative stability compared with 2022.</w:t>
      </w:r>
    </w:p>
    <w:p w:rsidR="004C714E" w:rsidRPr="006E003D" w:rsidRDefault="004C714E" w:rsidP="004C714E">
      <w:pPr>
        <w:pStyle w:val="NoSpacing"/>
        <w:bidi w:val="0"/>
        <w:jc w:val="both"/>
        <w:rPr>
          <w:rFonts w:ascii="Times New Roman" w:hAnsi="Times New Roman" w:cs="Times New Roman"/>
          <w:sz w:val="26"/>
          <w:szCs w:val="26"/>
        </w:rPr>
      </w:pPr>
    </w:p>
    <w:p w:rsidR="004C714E" w:rsidRPr="006E003D" w:rsidRDefault="004C714E" w:rsidP="00581325">
      <w:pPr>
        <w:pStyle w:val="HTMLPreformatted"/>
        <w:shd w:val="clear" w:color="auto" w:fill="FFFFFF" w:themeFill="background1"/>
        <w:spacing w:line="276" w:lineRule="auto"/>
        <w:jc w:val="both"/>
        <w:rPr>
          <w:rFonts w:asciiTheme="majorBidi" w:eastAsia="Calibri" w:hAnsiTheme="majorBidi" w:cstheme="majorBidi"/>
          <w:b/>
          <w:bCs/>
          <w:sz w:val="26"/>
          <w:szCs w:val="26"/>
          <w:rtl/>
          <w:lang w:eastAsia="ar-SA"/>
        </w:rPr>
      </w:pPr>
      <w:r w:rsidRPr="006E003D">
        <w:rPr>
          <w:rFonts w:asciiTheme="majorBidi" w:eastAsia="Calibri" w:hAnsiTheme="majorBidi" w:cstheme="majorBidi"/>
          <w:b/>
          <w:bCs/>
          <w:sz w:val="26"/>
          <w:szCs w:val="26"/>
          <w:lang w:eastAsia="ar-SA"/>
        </w:rPr>
        <w:t xml:space="preserve">A </w:t>
      </w:r>
      <w:r w:rsidR="00DA4DF0" w:rsidRPr="006E003D">
        <w:rPr>
          <w:rFonts w:asciiTheme="majorBidi" w:eastAsia="Calibri" w:hAnsiTheme="majorBidi" w:cstheme="majorBidi"/>
          <w:b/>
          <w:bCs/>
          <w:sz w:val="26"/>
          <w:szCs w:val="26"/>
          <w:lang w:eastAsia="ar-SA"/>
        </w:rPr>
        <w:t>sharp increase</w:t>
      </w:r>
      <w:r w:rsidRPr="006E003D">
        <w:rPr>
          <w:rFonts w:asciiTheme="majorBidi" w:eastAsia="Calibri" w:hAnsiTheme="majorBidi" w:cstheme="majorBidi"/>
          <w:b/>
          <w:bCs/>
          <w:sz w:val="26"/>
          <w:szCs w:val="26"/>
          <w:lang w:eastAsia="ar-SA"/>
        </w:rPr>
        <w:t xml:space="preserve"> in unemployment rates in Gaza Strip to exceed 74% during the fourth quarter of 2023, while it was 45% in the third quarter of 2023, leading to an increase in the unemployment rate in Palestine to reach </w:t>
      </w:r>
      <w:r w:rsidR="00581325" w:rsidRPr="006E003D">
        <w:rPr>
          <w:rFonts w:asciiTheme="majorBidi" w:eastAsia="Calibri" w:hAnsiTheme="majorBidi" w:cstheme="majorBidi" w:hint="cs"/>
          <w:b/>
          <w:bCs/>
          <w:sz w:val="26"/>
          <w:szCs w:val="26"/>
          <w:rtl/>
          <w:lang w:eastAsia="ar-SA"/>
        </w:rPr>
        <w:t>46</w:t>
      </w:r>
      <w:r w:rsidR="00581325" w:rsidRPr="006E003D">
        <w:rPr>
          <w:rFonts w:asciiTheme="majorBidi" w:eastAsia="Calibri" w:hAnsiTheme="majorBidi" w:cstheme="majorBidi"/>
          <w:b/>
          <w:bCs/>
          <w:sz w:val="26"/>
          <w:szCs w:val="26"/>
          <w:lang w:eastAsia="ar-SA"/>
        </w:rPr>
        <w:t>%</w:t>
      </w:r>
      <w:r w:rsidR="00581325" w:rsidRPr="006E003D">
        <w:rPr>
          <w:rFonts w:asciiTheme="majorBidi" w:eastAsia="Calibri" w:hAnsiTheme="majorBidi" w:cstheme="majorBidi" w:hint="cs"/>
          <w:b/>
          <w:bCs/>
          <w:sz w:val="26"/>
          <w:szCs w:val="26"/>
          <w:rtl/>
          <w:lang w:eastAsia="ar-SA"/>
        </w:rPr>
        <w:t>.</w:t>
      </w:r>
    </w:p>
    <w:p w:rsidR="004C714E" w:rsidRPr="006E003D" w:rsidRDefault="004C714E" w:rsidP="004C714E">
      <w:pPr>
        <w:pStyle w:val="NoSpacing"/>
        <w:bidi w:val="0"/>
        <w:jc w:val="both"/>
        <w:rPr>
          <w:rFonts w:ascii="Times New Roman" w:eastAsia="Times New Roman" w:hAnsi="Times New Roman" w:cs="Times New Roman"/>
          <w:sz w:val="26"/>
          <w:szCs w:val="26"/>
        </w:rPr>
      </w:pPr>
      <w:r w:rsidRPr="006E003D">
        <w:rPr>
          <w:rFonts w:ascii="Times New Roman" w:eastAsia="Times New Roman" w:hAnsi="Times New Roman" w:cs="Times New Roman"/>
          <w:sz w:val="26"/>
          <w:szCs w:val="26"/>
        </w:rPr>
        <w:t xml:space="preserve">At the </w:t>
      </w:r>
      <w:proofErr w:type="spellStart"/>
      <w:r w:rsidRPr="006E003D">
        <w:rPr>
          <w:rFonts w:ascii="Times New Roman" w:eastAsia="Times New Roman" w:hAnsi="Times New Roman" w:cs="Times New Roman"/>
          <w:sz w:val="26"/>
          <w:szCs w:val="26"/>
        </w:rPr>
        <w:t>labour</w:t>
      </w:r>
      <w:proofErr w:type="spellEnd"/>
      <w:r w:rsidRPr="006E003D">
        <w:rPr>
          <w:rFonts w:ascii="Times New Roman" w:eastAsia="Times New Roman" w:hAnsi="Times New Roman" w:cs="Times New Roman"/>
          <w:sz w:val="26"/>
          <w:szCs w:val="26"/>
        </w:rPr>
        <w:t xml:space="preserve"> and workers level, Palestine is experiencing a regional gap in unemployment rates, during the fourth quarter of 2023, the unemployment rate in Palestine is expected to reach 46% (29% in the West Bank and 74% in Gaza Strip). Unemployment rates in Palestine are estimated to rise from 25.5% in 2022 to 30.7% in 2023 as a result of the Israeli aggression on Gaza Strip and its repercussions on Palestine. Unemployment rate will reach 18% in the West Bank and about 53% in Gaza Strip. Moreover, estimates indicate that there are more than 651 thousand unemployed persons in Palestine; 393 thousand unemployed persons in Gaza Strip and 258</w:t>
      </w:r>
      <w:r w:rsidRPr="006E003D">
        <w:rPr>
          <w:rFonts w:ascii="Times New Roman" w:eastAsia="Times New Roman" w:hAnsi="Times New Roman" w:cs="Times New Roman" w:hint="cs"/>
          <w:sz w:val="26"/>
          <w:szCs w:val="26"/>
          <w:rtl/>
        </w:rPr>
        <w:t xml:space="preserve"> </w:t>
      </w:r>
      <w:r w:rsidRPr="006E003D">
        <w:rPr>
          <w:rFonts w:ascii="Times New Roman" w:eastAsia="Times New Roman" w:hAnsi="Times New Roman" w:cs="Times New Roman"/>
          <w:sz w:val="26"/>
          <w:szCs w:val="26"/>
        </w:rPr>
        <w:t>thousand unemployed persons in the West Bank in 2023.</w:t>
      </w:r>
    </w:p>
    <w:p w:rsidR="004C714E" w:rsidRPr="006E003D" w:rsidRDefault="004C714E" w:rsidP="004C714E">
      <w:pPr>
        <w:bidi w:val="0"/>
        <w:rPr>
          <w:rFonts w:asciiTheme="majorBidi" w:hAnsiTheme="majorBidi" w:cstheme="majorBidi"/>
          <w:b/>
          <w:bCs/>
          <w:sz w:val="26"/>
          <w:szCs w:val="26"/>
        </w:rPr>
      </w:pPr>
    </w:p>
    <w:p w:rsidR="00DA4DF0" w:rsidRPr="006E003D" w:rsidRDefault="00142F33" w:rsidP="00DA4DF0">
      <w:pPr>
        <w:pStyle w:val="HTMLPreformatted"/>
        <w:shd w:val="clear" w:color="auto" w:fill="FFFFFF" w:themeFill="background1"/>
        <w:spacing w:line="276" w:lineRule="auto"/>
        <w:jc w:val="both"/>
        <w:rPr>
          <w:rFonts w:asciiTheme="majorBidi" w:eastAsia="Calibri" w:hAnsiTheme="majorBidi" w:cstheme="majorBidi"/>
          <w:b/>
          <w:bCs/>
          <w:sz w:val="26"/>
          <w:szCs w:val="26"/>
          <w:lang w:eastAsia="ar-SA"/>
        </w:rPr>
      </w:pPr>
      <w:r w:rsidRPr="006E003D">
        <w:rPr>
          <w:rFonts w:asciiTheme="majorBidi" w:eastAsia="Calibri" w:hAnsiTheme="majorBidi" w:cstheme="majorBidi"/>
          <w:b/>
          <w:bCs/>
          <w:sz w:val="26"/>
          <w:szCs w:val="26"/>
          <w:lang w:eastAsia="ar-SA"/>
        </w:rPr>
        <w:t>A sharp increase in prices level during the recent Israeli aggression on Gaza Strip in the fourth quarter of 2023 by more than 30%</w:t>
      </w:r>
      <w:r w:rsidR="00DA4DF0" w:rsidRPr="006E003D">
        <w:rPr>
          <w:rFonts w:asciiTheme="majorBidi" w:eastAsia="Calibri" w:hAnsiTheme="majorBidi" w:cstheme="majorBidi"/>
          <w:b/>
          <w:bCs/>
          <w:sz w:val="26"/>
          <w:szCs w:val="26"/>
          <w:lang w:eastAsia="ar-SA"/>
        </w:rPr>
        <w:t>.</w:t>
      </w:r>
    </w:p>
    <w:p w:rsidR="00142F33" w:rsidRPr="006E003D" w:rsidRDefault="00142F33" w:rsidP="000C76D4">
      <w:pPr>
        <w:pStyle w:val="NoSpacing"/>
        <w:bidi w:val="0"/>
        <w:jc w:val="both"/>
        <w:rPr>
          <w:rFonts w:ascii="Times New Roman" w:eastAsia="Times New Roman" w:hAnsi="Times New Roman" w:cs="Times New Roman"/>
          <w:sz w:val="26"/>
          <w:szCs w:val="26"/>
        </w:rPr>
      </w:pPr>
      <w:r w:rsidRPr="006E003D">
        <w:rPr>
          <w:rFonts w:ascii="Times New Roman" w:eastAsia="Times New Roman" w:hAnsi="Times New Roman" w:cs="Times New Roman"/>
          <w:sz w:val="26"/>
          <w:szCs w:val="26"/>
        </w:rPr>
        <w:t xml:space="preserve">In 2023, consumer price index in Palestine increased </w:t>
      </w:r>
      <w:r w:rsidR="000C76D4" w:rsidRPr="006E003D">
        <w:rPr>
          <w:rFonts w:ascii="Times New Roman" w:eastAsia="Times New Roman" w:hAnsi="Times New Roman" w:cs="Times New Roman"/>
          <w:sz w:val="26"/>
          <w:szCs w:val="26"/>
        </w:rPr>
        <w:t>about of</w:t>
      </w:r>
      <w:r w:rsidRPr="006E003D">
        <w:rPr>
          <w:rFonts w:ascii="Times New Roman" w:eastAsia="Times New Roman" w:hAnsi="Times New Roman" w:cs="Times New Roman"/>
          <w:sz w:val="26"/>
          <w:szCs w:val="26"/>
        </w:rPr>
        <w:t xml:space="preserve"> 6% compared to 2022 (4.8% in the West Bank and 9.7% in Gaza Strip), where prices of some basic commodities rose, which negatively affected the Palestinian household expenditure along with a decline of 5.5% in purchasing value during 2023 in Palestine (4.6% in the West Bank and 8.9% in Gaza Strip); and thus, affecting poverty levels in Palestine, which rose to unprecedented levels, especially in Gaza Strip. Furthermore, the recent Israeli aggression on Gaza Strip in the fourth quarter of 2023 has led to an increase in prices in Gaza Strip by more than 30%.</w:t>
      </w:r>
    </w:p>
    <w:p w:rsidR="004C714E" w:rsidRPr="006E003D" w:rsidRDefault="004C714E" w:rsidP="004C714E">
      <w:pPr>
        <w:bidi w:val="0"/>
        <w:rPr>
          <w:rFonts w:asciiTheme="majorBidi" w:hAnsiTheme="majorBidi" w:cstheme="majorBidi"/>
          <w:b/>
          <w:bCs/>
          <w:sz w:val="26"/>
          <w:szCs w:val="26"/>
        </w:rPr>
      </w:pPr>
    </w:p>
    <w:p w:rsidR="004C714E" w:rsidRPr="006E003D" w:rsidRDefault="004C714E" w:rsidP="004C714E">
      <w:pPr>
        <w:bidi w:val="0"/>
        <w:rPr>
          <w:rFonts w:asciiTheme="majorBidi" w:hAnsiTheme="majorBidi" w:cstheme="majorBidi"/>
          <w:b/>
          <w:bCs/>
          <w:sz w:val="26"/>
          <w:szCs w:val="26"/>
        </w:rPr>
      </w:pPr>
    </w:p>
    <w:p w:rsidR="004C714E" w:rsidRPr="006E003D" w:rsidRDefault="004C714E" w:rsidP="004C714E">
      <w:pPr>
        <w:bidi w:val="0"/>
        <w:rPr>
          <w:rFonts w:asciiTheme="majorBidi" w:hAnsiTheme="majorBidi" w:cstheme="majorBidi"/>
          <w:b/>
          <w:bCs/>
          <w:sz w:val="26"/>
          <w:szCs w:val="26"/>
        </w:rPr>
      </w:pPr>
    </w:p>
    <w:p w:rsidR="0023742F" w:rsidRDefault="00600283" w:rsidP="008A4FA8">
      <w:pPr>
        <w:pStyle w:val="Normal1"/>
        <w:bidi/>
        <w:spacing w:before="120" w:line="240" w:lineRule="auto"/>
        <w:jc w:val="center"/>
        <w:rPr>
          <w:rFonts w:asciiTheme="majorBidi" w:eastAsiaTheme="minorHAnsi" w:hAnsiTheme="majorBidi" w:cstheme="majorBidi"/>
          <w:b/>
          <w:bCs/>
          <w:color w:val="auto"/>
          <w:sz w:val="32"/>
          <w:szCs w:val="32"/>
          <w:rtl/>
        </w:rPr>
      </w:pPr>
      <w:r w:rsidRPr="006E003D">
        <w:rPr>
          <w:rFonts w:asciiTheme="majorBidi" w:eastAsiaTheme="minorHAnsi" w:hAnsiTheme="majorBidi" w:cstheme="majorBidi"/>
          <w:b/>
          <w:bCs/>
          <w:color w:val="auto"/>
          <w:sz w:val="32"/>
          <w:szCs w:val="32"/>
        </w:rPr>
        <w:lastRenderedPageBreak/>
        <w:t xml:space="preserve">Expectations of a </w:t>
      </w:r>
      <w:r w:rsidR="005D2327" w:rsidRPr="006E003D">
        <w:rPr>
          <w:rFonts w:asciiTheme="majorBidi" w:eastAsiaTheme="minorHAnsi" w:hAnsiTheme="majorBidi" w:cstheme="majorBidi"/>
          <w:b/>
          <w:bCs/>
          <w:color w:val="auto"/>
          <w:sz w:val="32"/>
          <w:szCs w:val="32"/>
        </w:rPr>
        <w:t>Continued</w:t>
      </w:r>
      <w:r w:rsidRPr="006E003D">
        <w:rPr>
          <w:rFonts w:asciiTheme="majorBidi" w:eastAsiaTheme="minorHAnsi" w:hAnsiTheme="majorBidi" w:cstheme="majorBidi"/>
          <w:b/>
          <w:bCs/>
          <w:color w:val="auto"/>
          <w:sz w:val="32"/>
          <w:szCs w:val="32"/>
        </w:rPr>
        <w:t xml:space="preserve"> in the </w:t>
      </w:r>
      <w:r w:rsidR="005D2327" w:rsidRPr="006E003D">
        <w:rPr>
          <w:rFonts w:asciiTheme="majorBidi" w:eastAsiaTheme="minorHAnsi" w:hAnsiTheme="majorBidi" w:cstheme="majorBidi"/>
          <w:b/>
          <w:bCs/>
          <w:color w:val="auto"/>
          <w:sz w:val="32"/>
          <w:szCs w:val="32"/>
        </w:rPr>
        <w:t>Decline</w:t>
      </w:r>
      <w:r w:rsidR="0023742F" w:rsidRPr="006E003D">
        <w:rPr>
          <w:rFonts w:asciiTheme="majorBidi" w:eastAsiaTheme="minorHAnsi" w:hAnsiTheme="majorBidi" w:cstheme="majorBidi"/>
          <w:b/>
          <w:bCs/>
          <w:color w:val="auto"/>
          <w:sz w:val="32"/>
          <w:szCs w:val="32"/>
        </w:rPr>
        <w:t xml:space="preserve"> of the </w:t>
      </w:r>
      <w:r w:rsidR="008A4FA8" w:rsidRPr="006E003D">
        <w:rPr>
          <w:rFonts w:asciiTheme="majorBidi" w:eastAsiaTheme="minorHAnsi" w:hAnsiTheme="majorBidi" w:cstheme="majorBidi"/>
          <w:b/>
          <w:bCs/>
          <w:color w:val="auto"/>
          <w:sz w:val="32"/>
          <w:szCs w:val="32"/>
        </w:rPr>
        <w:t>Gross Dome</w:t>
      </w:r>
      <w:r w:rsidR="005D2327" w:rsidRPr="006E003D">
        <w:rPr>
          <w:rFonts w:asciiTheme="majorBidi" w:eastAsiaTheme="minorHAnsi" w:hAnsiTheme="majorBidi" w:cstheme="majorBidi"/>
          <w:b/>
          <w:bCs/>
          <w:color w:val="auto"/>
          <w:sz w:val="32"/>
          <w:szCs w:val="32"/>
        </w:rPr>
        <w:t>stic Product</w:t>
      </w:r>
      <w:r w:rsidR="0023742F" w:rsidRPr="006E003D">
        <w:rPr>
          <w:rFonts w:asciiTheme="majorBidi" w:eastAsiaTheme="minorHAnsi" w:hAnsiTheme="majorBidi" w:cstheme="majorBidi"/>
          <w:b/>
          <w:bCs/>
          <w:color w:val="auto"/>
          <w:sz w:val="32"/>
          <w:szCs w:val="32"/>
        </w:rPr>
        <w:t xml:space="preserve"> </w:t>
      </w:r>
      <w:r w:rsidR="008A4FA8" w:rsidRPr="006E003D">
        <w:rPr>
          <w:rFonts w:asciiTheme="majorBidi" w:eastAsiaTheme="minorHAnsi" w:hAnsiTheme="majorBidi" w:cstheme="majorBidi"/>
          <w:b/>
          <w:bCs/>
          <w:color w:val="auto"/>
          <w:sz w:val="32"/>
          <w:szCs w:val="32"/>
        </w:rPr>
        <w:t>in 2024 for the Second Year R</w:t>
      </w:r>
      <w:r w:rsidR="0023742F" w:rsidRPr="006E003D">
        <w:rPr>
          <w:rFonts w:asciiTheme="majorBidi" w:eastAsiaTheme="minorHAnsi" w:hAnsiTheme="majorBidi" w:cstheme="majorBidi"/>
          <w:b/>
          <w:bCs/>
          <w:color w:val="auto"/>
          <w:sz w:val="32"/>
          <w:szCs w:val="32"/>
        </w:rPr>
        <w:t>espectively</w:t>
      </w:r>
    </w:p>
    <w:p w:rsidR="004378EB" w:rsidRPr="006E003D" w:rsidRDefault="004378EB" w:rsidP="004378EB">
      <w:pPr>
        <w:pStyle w:val="Normal1"/>
        <w:bidi/>
        <w:spacing w:before="120" w:line="240" w:lineRule="auto"/>
        <w:jc w:val="center"/>
        <w:rPr>
          <w:rFonts w:asciiTheme="majorBidi" w:eastAsiaTheme="minorHAnsi" w:hAnsiTheme="majorBidi" w:cstheme="majorBidi"/>
          <w:b/>
          <w:bCs/>
          <w:color w:val="auto"/>
          <w:sz w:val="32"/>
          <w:szCs w:val="32"/>
        </w:rPr>
      </w:pPr>
    </w:p>
    <w:p w:rsidR="00EB683E" w:rsidRPr="006E003D" w:rsidRDefault="002D41C6" w:rsidP="002D41C6">
      <w:pPr>
        <w:pStyle w:val="Normal1"/>
        <w:spacing w:before="120" w:line="240" w:lineRule="auto"/>
        <w:jc w:val="both"/>
        <w:rPr>
          <w:rFonts w:asciiTheme="majorBidi" w:eastAsiaTheme="minorHAnsi" w:hAnsiTheme="majorBidi" w:cstheme="majorBidi"/>
          <w:b/>
          <w:bCs/>
          <w:color w:val="auto"/>
          <w:sz w:val="26"/>
          <w:szCs w:val="26"/>
        </w:rPr>
      </w:pPr>
      <w:r w:rsidRPr="006E003D">
        <w:rPr>
          <w:rFonts w:asciiTheme="majorBidi" w:eastAsiaTheme="minorHAnsi" w:hAnsiTheme="majorBidi" w:cstheme="majorBidi"/>
          <w:b/>
          <w:bCs/>
          <w:color w:val="auto"/>
          <w:sz w:val="26"/>
          <w:szCs w:val="26"/>
        </w:rPr>
        <w:t xml:space="preserve">The Palestinian Central Bureau of Statistics (PCBS) and the </w:t>
      </w:r>
      <w:r w:rsidR="00C114F5" w:rsidRPr="006E003D">
        <w:rPr>
          <w:rFonts w:asciiTheme="majorBidi" w:eastAsiaTheme="minorHAnsi" w:hAnsiTheme="majorBidi" w:cstheme="majorBidi"/>
          <w:b/>
          <w:bCs/>
          <w:color w:val="auto"/>
          <w:sz w:val="26"/>
          <w:szCs w:val="26"/>
        </w:rPr>
        <w:t>Palestine M</w:t>
      </w:r>
      <w:r w:rsidRPr="006E003D">
        <w:rPr>
          <w:rFonts w:asciiTheme="majorBidi" w:eastAsiaTheme="minorHAnsi" w:hAnsiTheme="majorBidi" w:cstheme="majorBidi"/>
          <w:b/>
          <w:bCs/>
          <w:color w:val="auto"/>
          <w:sz w:val="26"/>
          <w:szCs w:val="26"/>
        </w:rPr>
        <w:t xml:space="preserve">onetary Authority (PMA) </w:t>
      </w:r>
      <w:r w:rsidR="00C114F5" w:rsidRPr="006E003D">
        <w:rPr>
          <w:rFonts w:asciiTheme="majorBidi" w:eastAsiaTheme="minorHAnsi" w:hAnsiTheme="majorBidi" w:cstheme="majorBidi"/>
          <w:b/>
          <w:bCs/>
          <w:color w:val="auto"/>
          <w:sz w:val="26"/>
          <w:szCs w:val="26"/>
        </w:rPr>
        <w:t xml:space="preserve">also issued two reports on the economic forecasts for </w:t>
      </w:r>
      <w:r w:rsidR="00EB683E" w:rsidRPr="006E003D">
        <w:rPr>
          <w:rFonts w:asciiTheme="majorBidi" w:eastAsiaTheme="minorHAnsi" w:hAnsiTheme="majorBidi" w:cstheme="majorBidi"/>
          <w:b/>
          <w:bCs/>
          <w:color w:val="auto"/>
          <w:sz w:val="26"/>
          <w:szCs w:val="26"/>
        </w:rPr>
        <w:t>2024</w:t>
      </w:r>
      <w:r w:rsidR="00C114F5" w:rsidRPr="006E003D">
        <w:rPr>
          <w:rFonts w:asciiTheme="majorBidi" w:eastAsiaTheme="minorHAnsi" w:hAnsiTheme="majorBidi" w:cstheme="majorBidi"/>
          <w:b/>
          <w:bCs/>
          <w:color w:val="auto"/>
          <w:sz w:val="26"/>
          <w:szCs w:val="26"/>
        </w:rPr>
        <w:t xml:space="preserve"> that are now available on PCBS and PMA websites. Accordingly, those reports forecasted the main indicators of the Palestinian economy for </w:t>
      </w:r>
      <w:r w:rsidR="0011620E" w:rsidRPr="006E003D">
        <w:rPr>
          <w:rFonts w:asciiTheme="majorBidi" w:eastAsiaTheme="minorHAnsi" w:hAnsiTheme="majorBidi" w:cstheme="majorBidi"/>
          <w:b/>
          <w:bCs/>
          <w:color w:val="auto"/>
          <w:sz w:val="26"/>
          <w:szCs w:val="26"/>
        </w:rPr>
        <w:t>2024</w:t>
      </w:r>
      <w:r w:rsidR="00B8180F" w:rsidRPr="006E003D">
        <w:rPr>
          <w:rFonts w:asciiTheme="majorBidi" w:eastAsiaTheme="minorHAnsi" w:hAnsiTheme="majorBidi" w:cstheme="majorBidi"/>
          <w:b/>
          <w:bCs/>
          <w:color w:val="auto"/>
          <w:sz w:val="26"/>
          <w:szCs w:val="26"/>
        </w:rPr>
        <w:t xml:space="preserve">, </w:t>
      </w:r>
      <w:r w:rsidR="00B13BD1" w:rsidRPr="006E003D">
        <w:rPr>
          <w:rFonts w:asciiTheme="majorBidi" w:eastAsiaTheme="minorHAnsi" w:hAnsiTheme="majorBidi" w:cstheme="majorBidi"/>
          <w:b/>
          <w:bCs/>
          <w:color w:val="auto"/>
          <w:sz w:val="26"/>
          <w:szCs w:val="26"/>
        </w:rPr>
        <w:t>b</w:t>
      </w:r>
      <w:r w:rsidR="00B8180F" w:rsidRPr="006E003D">
        <w:rPr>
          <w:rFonts w:asciiTheme="majorBidi" w:eastAsiaTheme="minorHAnsi" w:hAnsiTheme="majorBidi" w:cstheme="majorBidi"/>
          <w:b/>
          <w:bCs/>
          <w:color w:val="auto"/>
          <w:sz w:val="26"/>
          <w:szCs w:val="26"/>
        </w:rPr>
        <w:t xml:space="preserve">ased on a group of factors and assumptions, which were included in the baseline scenario, </w:t>
      </w:r>
      <w:r w:rsidR="00B13BD1" w:rsidRPr="006E003D">
        <w:rPr>
          <w:rFonts w:asciiTheme="majorBidi" w:eastAsiaTheme="minorHAnsi" w:hAnsiTheme="majorBidi" w:cstheme="majorBidi"/>
          <w:b/>
          <w:bCs/>
          <w:color w:val="auto"/>
          <w:sz w:val="26"/>
          <w:szCs w:val="26"/>
        </w:rPr>
        <w:t xml:space="preserve">where its </w:t>
      </w:r>
      <w:r w:rsidR="00B8180F" w:rsidRPr="006E003D">
        <w:rPr>
          <w:rFonts w:asciiTheme="majorBidi" w:eastAsiaTheme="minorHAnsi" w:hAnsiTheme="majorBidi" w:cstheme="majorBidi"/>
          <w:b/>
          <w:bCs/>
          <w:color w:val="auto"/>
          <w:sz w:val="26"/>
          <w:szCs w:val="26"/>
        </w:rPr>
        <w:t xml:space="preserve">impact </w:t>
      </w:r>
      <w:r w:rsidR="00B13BD1" w:rsidRPr="006E003D">
        <w:rPr>
          <w:rFonts w:asciiTheme="majorBidi" w:eastAsiaTheme="minorHAnsi" w:hAnsiTheme="majorBidi" w:cstheme="majorBidi"/>
          <w:b/>
          <w:bCs/>
          <w:color w:val="auto"/>
          <w:sz w:val="26"/>
          <w:szCs w:val="26"/>
        </w:rPr>
        <w:t>is</w:t>
      </w:r>
      <w:r w:rsidR="00B8180F" w:rsidRPr="006E003D">
        <w:rPr>
          <w:rFonts w:asciiTheme="majorBidi" w:eastAsiaTheme="minorHAnsi" w:hAnsiTheme="majorBidi" w:cstheme="majorBidi"/>
          <w:b/>
          <w:bCs/>
          <w:color w:val="auto"/>
          <w:sz w:val="26"/>
          <w:szCs w:val="26"/>
        </w:rPr>
        <w:t xml:space="preserve"> expected to be reflected on the most important indicators in various sectors (the real sector, the financial sector, and the external sector)</w:t>
      </w:r>
      <w:r w:rsidR="00EB683E" w:rsidRPr="006E003D">
        <w:rPr>
          <w:rFonts w:asciiTheme="majorBidi" w:eastAsiaTheme="minorHAnsi" w:hAnsiTheme="majorBidi" w:cstheme="majorBidi"/>
          <w:b/>
          <w:bCs/>
          <w:color w:val="auto"/>
          <w:sz w:val="26"/>
          <w:szCs w:val="26"/>
        </w:rPr>
        <w:t>.</w:t>
      </w:r>
    </w:p>
    <w:p w:rsidR="002D41C6" w:rsidRPr="006E003D" w:rsidRDefault="002D41C6" w:rsidP="002D41C6">
      <w:pPr>
        <w:bidi w:val="0"/>
        <w:jc w:val="both"/>
        <w:rPr>
          <w:sz w:val="26"/>
          <w:szCs w:val="26"/>
          <w:highlight w:val="yellow"/>
          <w:lang w:bidi="ar-EG"/>
        </w:rPr>
      </w:pPr>
    </w:p>
    <w:p w:rsidR="002D41C6" w:rsidRPr="006E003D" w:rsidRDefault="002D41C6" w:rsidP="002D41C6">
      <w:pPr>
        <w:pStyle w:val="Normal1"/>
        <w:spacing w:before="120" w:line="240" w:lineRule="auto"/>
        <w:jc w:val="both"/>
        <w:rPr>
          <w:rFonts w:asciiTheme="majorBidi" w:eastAsiaTheme="minorHAnsi" w:hAnsiTheme="majorBidi" w:cstheme="majorBidi"/>
          <w:color w:val="auto"/>
          <w:sz w:val="26"/>
          <w:szCs w:val="26"/>
        </w:rPr>
      </w:pPr>
      <w:r w:rsidRPr="006E003D">
        <w:rPr>
          <w:rFonts w:asciiTheme="majorBidi" w:eastAsiaTheme="minorHAnsi" w:hAnsiTheme="majorBidi" w:cstheme="majorBidi"/>
          <w:color w:val="auto"/>
          <w:sz w:val="26"/>
          <w:szCs w:val="26"/>
        </w:rPr>
        <w:t>Based on the baseline scenario, the Palestinian economy is expected to witness a sharp decline in its performance during 2024, after the fact that Gaza Strip has been under unprecedented Israeli aggression since the beginning of the fourth quarter of this year. Hence, it is expected that this brutal Israeli aggression on Gaza Strip will continue with the same intensity and brutality until January 2024. Thus, the consequences of which will not only be limited on Gaza Strip, whose buildings and infrastructure have been destroyed but also will extend to reach the West Bank, and negatively affect most of its economic sectors and activities.</w:t>
      </w:r>
    </w:p>
    <w:p w:rsidR="002D41C6" w:rsidRPr="006E003D" w:rsidRDefault="002D41C6" w:rsidP="002D41C6">
      <w:pPr>
        <w:pStyle w:val="Normal1"/>
        <w:spacing w:before="120" w:line="240" w:lineRule="auto"/>
        <w:jc w:val="both"/>
        <w:rPr>
          <w:rFonts w:asciiTheme="majorBidi" w:eastAsiaTheme="minorHAnsi" w:hAnsiTheme="majorBidi" w:cstheme="majorBidi"/>
          <w:color w:val="auto"/>
          <w:sz w:val="26"/>
          <w:szCs w:val="26"/>
          <w:rtl/>
        </w:rPr>
      </w:pPr>
    </w:p>
    <w:p w:rsidR="002D41C6" w:rsidRPr="006E003D" w:rsidRDefault="002D41C6" w:rsidP="002D41C6">
      <w:pPr>
        <w:pStyle w:val="Normal1"/>
        <w:spacing w:before="120" w:line="240" w:lineRule="auto"/>
        <w:jc w:val="both"/>
        <w:rPr>
          <w:rFonts w:asciiTheme="majorBidi" w:eastAsiaTheme="minorHAnsi" w:hAnsiTheme="majorBidi" w:cstheme="majorBidi"/>
          <w:color w:val="auto"/>
          <w:sz w:val="26"/>
          <w:szCs w:val="26"/>
        </w:rPr>
      </w:pPr>
      <w:r w:rsidRPr="006E003D">
        <w:rPr>
          <w:rFonts w:asciiTheme="majorBidi" w:eastAsiaTheme="minorHAnsi" w:hAnsiTheme="majorBidi" w:cstheme="majorBidi"/>
          <w:color w:val="auto"/>
          <w:sz w:val="26"/>
          <w:szCs w:val="26"/>
        </w:rPr>
        <w:t xml:space="preserve">Accordingly, this Israeli aggression is expected to cause a decline in the levels of domestic demand, especially in regard to investment and consumption expenditure for individuals and households, as a result of the almost complete interruption of the business cycle in Gaza Strip. In addition, economic activity in the West Bank has been affected by the consequences of this aggression, by the decline in commercial movement, </w:t>
      </w:r>
      <w:proofErr w:type="gramStart"/>
      <w:r w:rsidRPr="006E003D">
        <w:rPr>
          <w:rFonts w:asciiTheme="majorBidi" w:eastAsiaTheme="minorHAnsi" w:hAnsiTheme="majorBidi" w:cstheme="majorBidi"/>
          <w:color w:val="auto"/>
          <w:sz w:val="26"/>
          <w:szCs w:val="26"/>
        </w:rPr>
        <w:t>passengers</w:t>
      </w:r>
      <w:proofErr w:type="gramEnd"/>
      <w:r w:rsidRPr="006E003D">
        <w:rPr>
          <w:rFonts w:asciiTheme="majorBidi" w:eastAsiaTheme="minorHAnsi" w:hAnsiTheme="majorBidi" w:cstheme="majorBidi"/>
          <w:color w:val="auto"/>
          <w:sz w:val="26"/>
          <w:szCs w:val="26"/>
        </w:rPr>
        <w:t xml:space="preserve"> movement and Palestinian employment in the Israeli </w:t>
      </w:r>
      <w:proofErr w:type="spellStart"/>
      <w:r w:rsidRPr="006E003D">
        <w:rPr>
          <w:rFonts w:asciiTheme="majorBidi" w:eastAsiaTheme="minorHAnsi" w:hAnsiTheme="majorBidi" w:cstheme="majorBidi"/>
          <w:color w:val="auto"/>
          <w:sz w:val="26"/>
          <w:szCs w:val="26"/>
        </w:rPr>
        <w:t>labour</w:t>
      </w:r>
      <w:proofErr w:type="spellEnd"/>
      <w:r w:rsidRPr="006E003D">
        <w:rPr>
          <w:rFonts w:asciiTheme="majorBidi" w:eastAsiaTheme="minorHAnsi" w:hAnsiTheme="majorBidi" w:cstheme="majorBidi"/>
          <w:color w:val="auto"/>
          <w:sz w:val="26"/>
          <w:szCs w:val="26"/>
        </w:rPr>
        <w:t xml:space="preserve"> market, and by clearance money movement with the Israeli side and other vital sectors, whose final outcome has been reflected in the overall performance of the Palestinian economy.</w:t>
      </w:r>
    </w:p>
    <w:p w:rsidR="002D41C6" w:rsidRPr="006E003D" w:rsidRDefault="002D41C6" w:rsidP="00BB7B7F">
      <w:pPr>
        <w:pStyle w:val="Normal1"/>
        <w:spacing w:before="120" w:line="240" w:lineRule="auto"/>
        <w:jc w:val="both"/>
        <w:rPr>
          <w:rFonts w:asciiTheme="majorBidi" w:eastAsiaTheme="minorHAnsi" w:hAnsiTheme="majorBidi" w:cstheme="majorBidi"/>
          <w:color w:val="auto"/>
          <w:sz w:val="26"/>
          <w:szCs w:val="26"/>
        </w:rPr>
      </w:pPr>
      <w:r w:rsidRPr="006E003D">
        <w:rPr>
          <w:rFonts w:asciiTheme="majorBidi" w:eastAsiaTheme="minorHAnsi" w:hAnsiTheme="majorBidi" w:cstheme="majorBidi"/>
          <w:color w:val="auto"/>
          <w:sz w:val="26"/>
          <w:szCs w:val="26"/>
        </w:rPr>
        <w:t>Based on this scenario, the results of the forecasts indicate that the performance of the Palestinian economy will continue to decline during 2024 and for the second year in a row by a percentage of almost 5%, d</w:t>
      </w:r>
      <w:r w:rsidR="00BB7B7F" w:rsidRPr="006E003D">
        <w:rPr>
          <w:rFonts w:asciiTheme="majorBidi" w:eastAsiaTheme="minorHAnsi" w:hAnsiTheme="majorBidi" w:cstheme="majorBidi"/>
          <w:color w:val="auto"/>
          <w:sz w:val="26"/>
          <w:szCs w:val="26"/>
        </w:rPr>
        <w:t>riven by the decline in consumption</w:t>
      </w:r>
      <w:r w:rsidRPr="006E003D">
        <w:rPr>
          <w:rFonts w:asciiTheme="majorBidi" w:eastAsiaTheme="minorHAnsi" w:hAnsiTheme="majorBidi" w:cstheme="majorBidi"/>
          <w:color w:val="auto"/>
          <w:sz w:val="26"/>
          <w:szCs w:val="26"/>
        </w:rPr>
        <w:t xml:space="preserve"> and investment expenditure and exports, and the decline in the value added of economic activities. It is expected that a rise in unemployment rates will accompany this decline, where it is expected to reach 35.1%, compared with 30.7% in 2023.</w:t>
      </w:r>
    </w:p>
    <w:p w:rsidR="00AB38BC" w:rsidRPr="006E003D" w:rsidRDefault="00AB38BC" w:rsidP="000B5B15">
      <w:pPr>
        <w:pStyle w:val="Normal1"/>
        <w:spacing w:before="120" w:line="240" w:lineRule="auto"/>
        <w:jc w:val="both"/>
        <w:rPr>
          <w:rFonts w:asciiTheme="majorBidi" w:eastAsiaTheme="minorHAnsi" w:hAnsiTheme="majorBidi" w:cstheme="majorBidi"/>
          <w:color w:val="auto"/>
          <w:sz w:val="26"/>
          <w:szCs w:val="26"/>
          <w:rtl/>
        </w:rPr>
      </w:pPr>
      <w:r w:rsidRPr="006E003D">
        <w:rPr>
          <w:rFonts w:asciiTheme="majorBidi" w:eastAsiaTheme="minorHAnsi" w:hAnsiTheme="majorBidi" w:cstheme="majorBidi"/>
          <w:color w:val="auto"/>
          <w:sz w:val="26"/>
          <w:szCs w:val="26"/>
        </w:rPr>
        <w:t xml:space="preserve">In view of the fact that the environment in which the Palestinian economy operates involves a great deal of risk and uncertainty, these forecasts have included an analysis of potential risks </w:t>
      </w:r>
      <w:r w:rsidR="000B5B15" w:rsidRPr="006E003D">
        <w:rPr>
          <w:rFonts w:asciiTheme="majorBidi" w:eastAsiaTheme="minorHAnsi" w:hAnsiTheme="majorBidi" w:cstheme="majorBidi"/>
          <w:color w:val="auto"/>
          <w:sz w:val="26"/>
          <w:szCs w:val="26"/>
        </w:rPr>
        <w:t>of</w:t>
      </w:r>
      <w:r w:rsidRPr="006E003D">
        <w:rPr>
          <w:rFonts w:asciiTheme="majorBidi" w:eastAsiaTheme="minorHAnsi" w:hAnsiTheme="majorBidi" w:cstheme="majorBidi"/>
          <w:color w:val="auto"/>
          <w:sz w:val="26"/>
          <w:szCs w:val="26"/>
        </w:rPr>
        <w:t xml:space="preserve"> varying degrees (the optimistic scenario and the pessimistic scenario), which, if they occur, are expected to have positive or negative repercussions</w:t>
      </w:r>
      <w:r w:rsidR="002810AD" w:rsidRPr="006E003D">
        <w:rPr>
          <w:rFonts w:asciiTheme="majorBidi" w:eastAsiaTheme="minorHAnsi" w:hAnsiTheme="majorBidi" w:cstheme="majorBidi"/>
          <w:color w:val="auto"/>
          <w:sz w:val="26"/>
          <w:szCs w:val="26"/>
        </w:rPr>
        <w:t xml:space="preserve"> on the</w:t>
      </w:r>
      <w:r w:rsidRPr="006E003D">
        <w:rPr>
          <w:rFonts w:asciiTheme="majorBidi" w:eastAsiaTheme="minorHAnsi" w:hAnsiTheme="majorBidi" w:cstheme="majorBidi"/>
          <w:color w:val="auto"/>
          <w:sz w:val="26"/>
          <w:szCs w:val="26"/>
        </w:rPr>
        <w:t xml:space="preserve"> economic performance in the near term.</w:t>
      </w:r>
    </w:p>
    <w:p w:rsidR="006E003D" w:rsidRDefault="006E003D" w:rsidP="000B5B15">
      <w:pPr>
        <w:pStyle w:val="Normal1"/>
        <w:spacing w:before="120" w:line="240" w:lineRule="auto"/>
        <w:jc w:val="both"/>
        <w:rPr>
          <w:rFonts w:asciiTheme="majorBidi" w:eastAsiaTheme="minorHAnsi" w:hAnsiTheme="majorBidi" w:cstheme="majorBidi"/>
          <w:color w:val="auto"/>
          <w:sz w:val="24"/>
          <w:szCs w:val="24"/>
          <w:rtl/>
        </w:rPr>
      </w:pPr>
    </w:p>
    <w:p w:rsidR="006E003D" w:rsidRPr="006E003D" w:rsidRDefault="006E003D" w:rsidP="006E003D">
      <w:pPr>
        <w:pStyle w:val="Footer"/>
        <w:bidi w:val="0"/>
        <w:rPr>
          <w:b/>
          <w:bCs/>
          <w:iCs/>
        </w:rPr>
      </w:pPr>
      <w:r w:rsidRPr="006E003D">
        <w:rPr>
          <w:rFonts w:asciiTheme="majorBidi" w:hAnsiTheme="majorBidi" w:cstheme="majorBidi"/>
          <w:b/>
          <w:bCs/>
          <w:iCs/>
        </w:rPr>
        <w:t>Issued on: 30/</w:t>
      </w:r>
      <w:r w:rsidRPr="006E003D">
        <w:rPr>
          <w:rFonts w:asciiTheme="majorBidi" w:hAnsiTheme="majorBidi" w:cstheme="majorBidi" w:hint="cs"/>
          <w:b/>
          <w:bCs/>
          <w:iCs/>
          <w:rtl/>
        </w:rPr>
        <w:t>12</w:t>
      </w:r>
      <w:r w:rsidRPr="006E003D">
        <w:rPr>
          <w:rFonts w:asciiTheme="majorBidi" w:hAnsiTheme="majorBidi" w:cstheme="majorBidi"/>
          <w:b/>
          <w:bCs/>
          <w:iCs/>
        </w:rPr>
        <w:t>/202</w:t>
      </w:r>
      <w:r w:rsidRPr="006E003D">
        <w:rPr>
          <w:rFonts w:asciiTheme="majorBidi" w:hAnsiTheme="majorBidi" w:cstheme="majorBidi" w:hint="cs"/>
          <w:b/>
          <w:bCs/>
          <w:iCs/>
          <w:rtl/>
        </w:rPr>
        <w:t>3</w:t>
      </w:r>
    </w:p>
    <w:p w:rsidR="006E003D" w:rsidRPr="006E003D" w:rsidRDefault="006E003D" w:rsidP="000B5B15">
      <w:pPr>
        <w:pStyle w:val="Normal1"/>
        <w:spacing w:before="120" w:line="240" w:lineRule="auto"/>
        <w:jc w:val="both"/>
        <w:rPr>
          <w:rFonts w:asciiTheme="majorBidi" w:eastAsiaTheme="minorHAnsi" w:hAnsiTheme="majorBidi" w:cstheme="majorBidi"/>
          <w:color w:val="auto"/>
          <w:sz w:val="24"/>
          <w:szCs w:val="24"/>
        </w:rPr>
      </w:pPr>
      <w:bookmarkStart w:id="0" w:name="_GoBack"/>
      <w:bookmarkEnd w:id="0"/>
    </w:p>
    <w:sectPr w:rsidR="006E003D" w:rsidRPr="006E003D" w:rsidSect="00DF5E7B">
      <w:footerReference w:type="even" r:id="rId8"/>
      <w:footerReference w:type="default" r:id="rId9"/>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29A" w:rsidRDefault="0007029A">
      <w:r>
        <w:separator/>
      </w:r>
    </w:p>
  </w:endnote>
  <w:endnote w:type="continuationSeparator" w:id="0">
    <w:p w:rsidR="0007029A" w:rsidRDefault="0007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rsidR="00EF779D" w:rsidRDefault="00EF779D">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8F5715">
      <w:rPr>
        <w:rStyle w:val="PageNumber"/>
        <w:noProof/>
        <w:rtl/>
      </w:rPr>
      <w:t>4</w:t>
    </w:r>
    <w:r>
      <w:rPr>
        <w:rStyle w:val="PageNumber"/>
        <w:rtl/>
      </w:rPr>
      <w:fldChar w:fldCharType="end"/>
    </w:r>
  </w:p>
  <w:p w:rsidR="00EF779D" w:rsidRDefault="00EF779D">
    <w:pPr>
      <w:pStyle w:val="Footer"/>
      <w:framePr w:wrap="around" w:vAnchor="text" w:hAnchor="margin" w:xAlign="center" w:y="1"/>
      <w:rPr>
        <w:rStyle w:val="PageNumber"/>
        <w:rtl/>
      </w:rPr>
    </w:pPr>
  </w:p>
  <w:p w:rsidR="00EF779D" w:rsidRDefault="00EF779D" w:rsidP="002772A6">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29A" w:rsidRDefault="0007029A">
      <w:r>
        <w:separator/>
      </w:r>
    </w:p>
  </w:footnote>
  <w:footnote w:type="continuationSeparator" w:id="0">
    <w:p w:rsidR="0007029A" w:rsidRDefault="000702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3"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9"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3"/>
  </w:num>
  <w:num w:numId="5">
    <w:abstractNumId w:val="16"/>
  </w:num>
  <w:num w:numId="6">
    <w:abstractNumId w:val="29"/>
  </w:num>
  <w:num w:numId="7">
    <w:abstractNumId w:val="38"/>
  </w:num>
  <w:num w:numId="8">
    <w:abstractNumId w:val="25"/>
  </w:num>
  <w:num w:numId="9">
    <w:abstractNumId w:val="5"/>
  </w:num>
  <w:num w:numId="10">
    <w:abstractNumId w:val="15"/>
  </w:num>
  <w:num w:numId="11">
    <w:abstractNumId w:val="40"/>
  </w:num>
  <w:num w:numId="12">
    <w:abstractNumId w:val="28"/>
  </w:num>
  <w:num w:numId="13">
    <w:abstractNumId w:val="7"/>
  </w:num>
  <w:num w:numId="14">
    <w:abstractNumId w:val="18"/>
  </w:num>
  <w:num w:numId="15">
    <w:abstractNumId w:val="36"/>
  </w:num>
  <w:num w:numId="16">
    <w:abstractNumId w:val="22"/>
  </w:num>
  <w:num w:numId="17">
    <w:abstractNumId w:val="19"/>
  </w:num>
  <w:num w:numId="18">
    <w:abstractNumId w:val="1"/>
  </w:num>
  <w:num w:numId="19">
    <w:abstractNumId w:val="17"/>
  </w:num>
  <w:num w:numId="20">
    <w:abstractNumId w:val="20"/>
  </w:num>
  <w:num w:numId="21">
    <w:abstractNumId w:val="32"/>
  </w:num>
  <w:num w:numId="22">
    <w:abstractNumId w:val="26"/>
  </w:num>
  <w:num w:numId="23">
    <w:abstractNumId w:val="13"/>
  </w:num>
  <w:num w:numId="24">
    <w:abstractNumId w:val="42"/>
  </w:num>
  <w:num w:numId="25">
    <w:abstractNumId w:val="34"/>
  </w:num>
  <w:num w:numId="26">
    <w:abstractNumId w:val="9"/>
  </w:num>
  <w:num w:numId="27">
    <w:abstractNumId w:val="4"/>
  </w:num>
  <w:num w:numId="28">
    <w:abstractNumId w:val="2"/>
  </w:num>
  <w:num w:numId="29">
    <w:abstractNumId w:val="10"/>
  </w:num>
  <w:num w:numId="30">
    <w:abstractNumId w:val="33"/>
  </w:num>
  <w:num w:numId="31">
    <w:abstractNumId w:val="41"/>
  </w:num>
  <w:num w:numId="32">
    <w:abstractNumId w:val="0"/>
  </w:num>
  <w:num w:numId="33">
    <w:abstractNumId w:val="23"/>
  </w:num>
  <w:num w:numId="34">
    <w:abstractNumId w:val="14"/>
  </w:num>
  <w:num w:numId="35">
    <w:abstractNumId w:val="12"/>
  </w:num>
  <w:num w:numId="36">
    <w:abstractNumId w:val="37"/>
  </w:num>
  <w:num w:numId="37">
    <w:abstractNumId w:val="30"/>
  </w:num>
  <w:num w:numId="38">
    <w:abstractNumId w:val="24"/>
  </w:num>
  <w:num w:numId="39">
    <w:abstractNumId w:val="3"/>
  </w:num>
  <w:num w:numId="40">
    <w:abstractNumId w:val="6"/>
  </w:num>
  <w:num w:numId="41">
    <w:abstractNumId w:val="11"/>
  </w:num>
  <w:num w:numId="42">
    <w:abstractNumId w:val="39"/>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GrammaticalErrors/>
  <w:activeWritingStyle w:appName="MSWord" w:lang="fr-FR" w:vendorID="64" w:dllVersion="131078" w:nlCheck="1" w:checkStyle="0"/>
  <w:activeWritingStyle w:appName="MSWord" w:lang="en-US" w:vendorID="64" w:dllVersion="131078" w:nlCheck="1" w:checkStyle="0"/>
  <w:activeWritingStyle w:appName="MSWord" w:lang="ar-EG"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wNzAxNjezNLI0MrZU0lEKTi0uzszPAykwqgUAySSH0CwAAAA="/>
  </w:docVars>
  <w:rsids>
    <w:rsidRoot w:val="00265E1A"/>
    <w:rsid w:val="000010EE"/>
    <w:rsid w:val="000016C3"/>
    <w:rsid w:val="000025F6"/>
    <w:rsid w:val="000029E0"/>
    <w:rsid w:val="000032C2"/>
    <w:rsid w:val="00003758"/>
    <w:rsid w:val="00003C5A"/>
    <w:rsid w:val="00004EBE"/>
    <w:rsid w:val="000062CB"/>
    <w:rsid w:val="00006393"/>
    <w:rsid w:val="0000683C"/>
    <w:rsid w:val="00006B0D"/>
    <w:rsid w:val="00006D99"/>
    <w:rsid w:val="00010EE8"/>
    <w:rsid w:val="000111FB"/>
    <w:rsid w:val="00011403"/>
    <w:rsid w:val="000116DE"/>
    <w:rsid w:val="00011BF2"/>
    <w:rsid w:val="0001220E"/>
    <w:rsid w:val="00012586"/>
    <w:rsid w:val="00012A8E"/>
    <w:rsid w:val="00013731"/>
    <w:rsid w:val="00013B07"/>
    <w:rsid w:val="00014CBC"/>
    <w:rsid w:val="000152D0"/>
    <w:rsid w:val="00015497"/>
    <w:rsid w:val="000163AB"/>
    <w:rsid w:val="0001655E"/>
    <w:rsid w:val="00017BBE"/>
    <w:rsid w:val="00020672"/>
    <w:rsid w:val="00020CB1"/>
    <w:rsid w:val="000214B1"/>
    <w:rsid w:val="00021CA9"/>
    <w:rsid w:val="0002232F"/>
    <w:rsid w:val="000235FD"/>
    <w:rsid w:val="00023956"/>
    <w:rsid w:val="000242DA"/>
    <w:rsid w:val="00024EDB"/>
    <w:rsid w:val="00025413"/>
    <w:rsid w:val="00025539"/>
    <w:rsid w:val="00025CF2"/>
    <w:rsid w:val="0002679D"/>
    <w:rsid w:val="0002780D"/>
    <w:rsid w:val="0002786C"/>
    <w:rsid w:val="00027B6F"/>
    <w:rsid w:val="000308D2"/>
    <w:rsid w:val="00031635"/>
    <w:rsid w:val="000323F3"/>
    <w:rsid w:val="000325DE"/>
    <w:rsid w:val="00032AA1"/>
    <w:rsid w:val="00032B43"/>
    <w:rsid w:val="00032F7C"/>
    <w:rsid w:val="00033848"/>
    <w:rsid w:val="00034331"/>
    <w:rsid w:val="00034450"/>
    <w:rsid w:val="00035610"/>
    <w:rsid w:val="00035D60"/>
    <w:rsid w:val="00035D77"/>
    <w:rsid w:val="000367E1"/>
    <w:rsid w:val="000406F2"/>
    <w:rsid w:val="00040C4C"/>
    <w:rsid w:val="00040D25"/>
    <w:rsid w:val="000427C4"/>
    <w:rsid w:val="00042B02"/>
    <w:rsid w:val="00043A12"/>
    <w:rsid w:val="00043C12"/>
    <w:rsid w:val="0004417D"/>
    <w:rsid w:val="00044A39"/>
    <w:rsid w:val="00044CAB"/>
    <w:rsid w:val="000452C8"/>
    <w:rsid w:val="00045833"/>
    <w:rsid w:val="00045AE3"/>
    <w:rsid w:val="000468B6"/>
    <w:rsid w:val="00046A9D"/>
    <w:rsid w:val="00046B78"/>
    <w:rsid w:val="00046DAC"/>
    <w:rsid w:val="000472B8"/>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245F"/>
    <w:rsid w:val="00063D31"/>
    <w:rsid w:val="00063F48"/>
    <w:rsid w:val="0006476D"/>
    <w:rsid w:val="000649EA"/>
    <w:rsid w:val="00064CEB"/>
    <w:rsid w:val="00065B9A"/>
    <w:rsid w:val="00065ED4"/>
    <w:rsid w:val="000673DE"/>
    <w:rsid w:val="00067616"/>
    <w:rsid w:val="00067D3B"/>
    <w:rsid w:val="0007029A"/>
    <w:rsid w:val="0007064C"/>
    <w:rsid w:val="00070C78"/>
    <w:rsid w:val="0007193B"/>
    <w:rsid w:val="00071B7A"/>
    <w:rsid w:val="000721E4"/>
    <w:rsid w:val="00072492"/>
    <w:rsid w:val="00072639"/>
    <w:rsid w:val="00072C8F"/>
    <w:rsid w:val="00072DF9"/>
    <w:rsid w:val="00072FDA"/>
    <w:rsid w:val="00073903"/>
    <w:rsid w:val="000742CE"/>
    <w:rsid w:val="00074708"/>
    <w:rsid w:val="000747FE"/>
    <w:rsid w:val="0007485F"/>
    <w:rsid w:val="00074F91"/>
    <w:rsid w:val="000758F2"/>
    <w:rsid w:val="0007648F"/>
    <w:rsid w:val="000774AC"/>
    <w:rsid w:val="000774DE"/>
    <w:rsid w:val="000776D5"/>
    <w:rsid w:val="00080DEF"/>
    <w:rsid w:val="00080EBD"/>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338"/>
    <w:rsid w:val="000904CF"/>
    <w:rsid w:val="0009064D"/>
    <w:rsid w:val="0009065E"/>
    <w:rsid w:val="00091487"/>
    <w:rsid w:val="000920F8"/>
    <w:rsid w:val="00092536"/>
    <w:rsid w:val="00092851"/>
    <w:rsid w:val="0009435D"/>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3EE2"/>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FA7"/>
    <w:rsid w:val="000B4B3C"/>
    <w:rsid w:val="000B52BE"/>
    <w:rsid w:val="000B5B15"/>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C76D4"/>
    <w:rsid w:val="000D0843"/>
    <w:rsid w:val="000D198C"/>
    <w:rsid w:val="000D1D31"/>
    <w:rsid w:val="000D1F26"/>
    <w:rsid w:val="000D25EA"/>
    <w:rsid w:val="000D2BF3"/>
    <w:rsid w:val="000D32C0"/>
    <w:rsid w:val="000D567A"/>
    <w:rsid w:val="000D5C3A"/>
    <w:rsid w:val="000D637F"/>
    <w:rsid w:val="000D63BE"/>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2E70"/>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61A"/>
    <w:rsid w:val="00104A74"/>
    <w:rsid w:val="00106D72"/>
    <w:rsid w:val="001101C4"/>
    <w:rsid w:val="00110BAB"/>
    <w:rsid w:val="00112BF2"/>
    <w:rsid w:val="001131CE"/>
    <w:rsid w:val="00113259"/>
    <w:rsid w:val="00113560"/>
    <w:rsid w:val="00114017"/>
    <w:rsid w:val="0011620E"/>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33"/>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703"/>
    <w:rsid w:val="0017696C"/>
    <w:rsid w:val="001769D7"/>
    <w:rsid w:val="001773A5"/>
    <w:rsid w:val="00177900"/>
    <w:rsid w:val="00180578"/>
    <w:rsid w:val="00180801"/>
    <w:rsid w:val="00180B3C"/>
    <w:rsid w:val="00180C81"/>
    <w:rsid w:val="00180E52"/>
    <w:rsid w:val="0018154C"/>
    <w:rsid w:val="00181F8F"/>
    <w:rsid w:val="00182829"/>
    <w:rsid w:val="00182C7B"/>
    <w:rsid w:val="00182D68"/>
    <w:rsid w:val="00182F72"/>
    <w:rsid w:val="00183262"/>
    <w:rsid w:val="001836F2"/>
    <w:rsid w:val="001838A7"/>
    <w:rsid w:val="0018452B"/>
    <w:rsid w:val="001849DE"/>
    <w:rsid w:val="00184B0A"/>
    <w:rsid w:val="00184F4B"/>
    <w:rsid w:val="0018656E"/>
    <w:rsid w:val="00187B01"/>
    <w:rsid w:val="001909B4"/>
    <w:rsid w:val="00190DA4"/>
    <w:rsid w:val="00192CEC"/>
    <w:rsid w:val="00193B3E"/>
    <w:rsid w:val="00193E5F"/>
    <w:rsid w:val="00193EDA"/>
    <w:rsid w:val="00193F57"/>
    <w:rsid w:val="00194077"/>
    <w:rsid w:val="001944EC"/>
    <w:rsid w:val="0019453A"/>
    <w:rsid w:val="00195968"/>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2CEA"/>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356"/>
    <w:rsid w:val="00213D08"/>
    <w:rsid w:val="0021415E"/>
    <w:rsid w:val="00214828"/>
    <w:rsid w:val="00214B0B"/>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068"/>
    <w:rsid w:val="002342D3"/>
    <w:rsid w:val="002349D7"/>
    <w:rsid w:val="0023544E"/>
    <w:rsid w:val="0023742F"/>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2A3"/>
    <w:rsid w:val="00271488"/>
    <w:rsid w:val="002722B2"/>
    <w:rsid w:val="002732FE"/>
    <w:rsid w:val="002738E2"/>
    <w:rsid w:val="00273BAE"/>
    <w:rsid w:val="0027433C"/>
    <w:rsid w:val="002752AE"/>
    <w:rsid w:val="0027579D"/>
    <w:rsid w:val="0027587A"/>
    <w:rsid w:val="00276162"/>
    <w:rsid w:val="00276F9B"/>
    <w:rsid w:val="00277215"/>
    <w:rsid w:val="002772A6"/>
    <w:rsid w:val="00277937"/>
    <w:rsid w:val="0028050A"/>
    <w:rsid w:val="00280BDE"/>
    <w:rsid w:val="002810AD"/>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232"/>
    <w:rsid w:val="002903CD"/>
    <w:rsid w:val="002917A1"/>
    <w:rsid w:val="00291F13"/>
    <w:rsid w:val="00291F97"/>
    <w:rsid w:val="002927B1"/>
    <w:rsid w:val="002928FC"/>
    <w:rsid w:val="00293A0E"/>
    <w:rsid w:val="00293E5C"/>
    <w:rsid w:val="00294A9E"/>
    <w:rsid w:val="00294E07"/>
    <w:rsid w:val="002953EA"/>
    <w:rsid w:val="002953F7"/>
    <w:rsid w:val="00296797"/>
    <w:rsid w:val="00296961"/>
    <w:rsid w:val="002971DD"/>
    <w:rsid w:val="00297B43"/>
    <w:rsid w:val="00297EFA"/>
    <w:rsid w:val="002A0A15"/>
    <w:rsid w:val="002A0C7A"/>
    <w:rsid w:val="002A29B5"/>
    <w:rsid w:val="002A3A6F"/>
    <w:rsid w:val="002A3D77"/>
    <w:rsid w:val="002A3DA2"/>
    <w:rsid w:val="002A4CD9"/>
    <w:rsid w:val="002A545B"/>
    <w:rsid w:val="002A61C0"/>
    <w:rsid w:val="002A6B04"/>
    <w:rsid w:val="002A6DDC"/>
    <w:rsid w:val="002A6E6B"/>
    <w:rsid w:val="002A6E82"/>
    <w:rsid w:val="002A709D"/>
    <w:rsid w:val="002A7410"/>
    <w:rsid w:val="002A7D2A"/>
    <w:rsid w:val="002B05B0"/>
    <w:rsid w:val="002B109E"/>
    <w:rsid w:val="002B1856"/>
    <w:rsid w:val="002B364A"/>
    <w:rsid w:val="002B3864"/>
    <w:rsid w:val="002B3D62"/>
    <w:rsid w:val="002B5115"/>
    <w:rsid w:val="002B5568"/>
    <w:rsid w:val="002B57F2"/>
    <w:rsid w:val="002B6585"/>
    <w:rsid w:val="002B6822"/>
    <w:rsid w:val="002B7AB5"/>
    <w:rsid w:val="002B7F29"/>
    <w:rsid w:val="002C1760"/>
    <w:rsid w:val="002C291D"/>
    <w:rsid w:val="002C2B82"/>
    <w:rsid w:val="002C2EBA"/>
    <w:rsid w:val="002C2F4D"/>
    <w:rsid w:val="002C2F5E"/>
    <w:rsid w:val="002C3607"/>
    <w:rsid w:val="002C3842"/>
    <w:rsid w:val="002C5A1B"/>
    <w:rsid w:val="002C5E15"/>
    <w:rsid w:val="002D0A9A"/>
    <w:rsid w:val="002D0BF6"/>
    <w:rsid w:val="002D0DE9"/>
    <w:rsid w:val="002D0F6D"/>
    <w:rsid w:val="002D0F8E"/>
    <w:rsid w:val="002D35DB"/>
    <w:rsid w:val="002D3645"/>
    <w:rsid w:val="002D3801"/>
    <w:rsid w:val="002D41C6"/>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D12"/>
    <w:rsid w:val="002F376B"/>
    <w:rsid w:val="002F3BDB"/>
    <w:rsid w:val="002F3DD5"/>
    <w:rsid w:val="002F4782"/>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BF5"/>
    <w:rsid w:val="00313C8E"/>
    <w:rsid w:val="0031411C"/>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709"/>
    <w:rsid w:val="00326D5A"/>
    <w:rsid w:val="003276F9"/>
    <w:rsid w:val="003315B6"/>
    <w:rsid w:val="00331C5C"/>
    <w:rsid w:val="00332756"/>
    <w:rsid w:val="00332995"/>
    <w:rsid w:val="00332BE0"/>
    <w:rsid w:val="00332F5B"/>
    <w:rsid w:val="00333373"/>
    <w:rsid w:val="00334737"/>
    <w:rsid w:val="00334B1F"/>
    <w:rsid w:val="00335254"/>
    <w:rsid w:val="003353F4"/>
    <w:rsid w:val="00335553"/>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99"/>
    <w:rsid w:val="003552CB"/>
    <w:rsid w:val="003554E5"/>
    <w:rsid w:val="00355B09"/>
    <w:rsid w:val="00357880"/>
    <w:rsid w:val="00357D83"/>
    <w:rsid w:val="00360684"/>
    <w:rsid w:val="0036077E"/>
    <w:rsid w:val="00360A3C"/>
    <w:rsid w:val="00360C8C"/>
    <w:rsid w:val="00361133"/>
    <w:rsid w:val="003618F4"/>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0A"/>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96B5C"/>
    <w:rsid w:val="003A03BE"/>
    <w:rsid w:val="003A0463"/>
    <w:rsid w:val="003A0B28"/>
    <w:rsid w:val="003A1274"/>
    <w:rsid w:val="003A2463"/>
    <w:rsid w:val="003A2BAA"/>
    <w:rsid w:val="003A4997"/>
    <w:rsid w:val="003A49FD"/>
    <w:rsid w:val="003A4D3C"/>
    <w:rsid w:val="003A5C55"/>
    <w:rsid w:val="003A6D0C"/>
    <w:rsid w:val="003A6E72"/>
    <w:rsid w:val="003A7017"/>
    <w:rsid w:val="003A736C"/>
    <w:rsid w:val="003A745B"/>
    <w:rsid w:val="003A7BCA"/>
    <w:rsid w:val="003A7BEB"/>
    <w:rsid w:val="003A7C9A"/>
    <w:rsid w:val="003B15AD"/>
    <w:rsid w:val="003B22BA"/>
    <w:rsid w:val="003B2782"/>
    <w:rsid w:val="003B2B7A"/>
    <w:rsid w:val="003B34D5"/>
    <w:rsid w:val="003B4539"/>
    <w:rsid w:val="003B4658"/>
    <w:rsid w:val="003B6119"/>
    <w:rsid w:val="003B7217"/>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72F3"/>
    <w:rsid w:val="003F7485"/>
    <w:rsid w:val="004000DA"/>
    <w:rsid w:val="004000E6"/>
    <w:rsid w:val="0040138A"/>
    <w:rsid w:val="004014A0"/>
    <w:rsid w:val="00401843"/>
    <w:rsid w:val="00401989"/>
    <w:rsid w:val="00401E77"/>
    <w:rsid w:val="0040306A"/>
    <w:rsid w:val="004047FE"/>
    <w:rsid w:val="00404AA1"/>
    <w:rsid w:val="004066E9"/>
    <w:rsid w:val="00406E9A"/>
    <w:rsid w:val="00407003"/>
    <w:rsid w:val="004071F7"/>
    <w:rsid w:val="00407822"/>
    <w:rsid w:val="00410C05"/>
    <w:rsid w:val="0041119C"/>
    <w:rsid w:val="0041127B"/>
    <w:rsid w:val="00411B70"/>
    <w:rsid w:val="00411FE0"/>
    <w:rsid w:val="0041207E"/>
    <w:rsid w:val="004126B7"/>
    <w:rsid w:val="00414762"/>
    <w:rsid w:val="00414A9B"/>
    <w:rsid w:val="004158B0"/>
    <w:rsid w:val="00415AE3"/>
    <w:rsid w:val="00415CF8"/>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8EB"/>
    <w:rsid w:val="00437B01"/>
    <w:rsid w:val="0044051C"/>
    <w:rsid w:val="004412E3"/>
    <w:rsid w:val="00442693"/>
    <w:rsid w:val="00442AB3"/>
    <w:rsid w:val="00442D10"/>
    <w:rsid w:val="00442DBB"/>
    <w:rsid w:val="00442EE4"/>
    <w:rsid w:val="00443A70"/>
    <w:rsid w:val="004448E4"/>
    <w:rsid w:val="0044531E"/>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4B4"/>
    <w:rsid w:val="004B74C4"/>
    <w:rsid w:val="004B7673"/>
    <w:rsid w:val="004B7FEE"/>
    <w:rsid w:val="004C0324"/>
    <w:rsid w:val="004C0DC5"/>
    <w:rsid w:val="004C0EEC"/>
    <w:rsid w:val="004C1112"/>
    <w:rsid w:val="004C1729"/>
    <w:rsid w:val="004C318D"/>
    <w:rsid w:val="004C5E56"/>
    <w:rsid w:val="004C661B"/>
    <w:rsid w:val="004C6920"/>
    <w:rsid w:val="004C6ADF"/>
    <w:rsid w:val="004C6C87"/>
    <w:rsid w:val="004C714E"/>
    <w:rsid w:val="004C721C"/>
    <w:rsid w:val="004C747C"/>
    <w:rsid w:val="004D0D84"/>
    <w:rsid w:val="004D1054"/>
    <w:rsid w:val="004D16AD"/>
    <w:rsid w:val="004D1841"/>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3D22"/>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585B"/>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4EF5"/>
    <w:rsid w:val="005261BF"/>
    <w:rsid w:val="005269FC"/>
    <w:rsid w:val="00526A7B"/>
    <w:rsid w:val="00526C1F"/>
    <w:rsid w:val="00527056"/>
    <w:rsid w:val="00527515"/>
    <w:rsid w:val="00530D11"/>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24A"/>
    <w:rsid w:val="00560695"/>
    <w:rsid w:val="0056092A"/>
    <w:rsid w:val="005619BF"/>
    <w:rsid w:val="00564638"/>
    <w:rsid w:val="0056475A"/>
    <w:rsid w:val="00564907"/>
    <w:rsid w:val="00564D56"/>
    <w:rsid w:val="00565F3F"/>
    <w:rsid w:val="00566949"/>
    <w:rsid w:val="00566CAF"/>
    <w:rsid w:val="005672CD"/>
    <w:rsid w:val="00571DD7"/>
    <w:rsid w:val="00575AC5"/>
    <w:rsid w:val="00576186"/>
    <w:rsid w:val="00576B8A"/>
    <w:rsid w:val="00576E8A"/>
    <w:rsid w:val="00577379"/>
    <w:rsid w:val="005774A7"/>
    <w:rsid w:val="005778CB"/>
    <w:rsid w:val="005801C3"/>
    <w:rsid w:val="00581325"/>
    <w:rsid w:val="005828E1"/>
    <w:rsid w:val="00583BB3"/>
    <w:rsid w:val="00584EB9"/>
    <w:rsid w:val="005850C2"/>
    <w:rsid w:val="0058539E"/>
    <w:rsid w:val="0058577E"/>
    <w:rsid w:val="00585F98"/>
    <w:rsid w:val="00586032"/>
    <w:rsid w:val="00590669"/>
    <w:rsid w:val="00591D43"/>
    <w:rsid w:val="00592414"/>
    <w:rsid w:val="005929D3"/>
    <w:rsid w:val="005935BA"/>
    <w:rsid w:val="005936CA"/>
    <w:rsid w:val="0059458B"/>
    <w:rsid w:val="00594977"/>
    <w:rsid w:val="00594FE2"/>
    <w:rsid w:val="00596EDD"/>
    <w:rsid w:val="005A01CB"/>
    <w:rsid w:val="005A054C"/>
    <w:rsid w:val="005A0CE4"/>
    <w:rsid w:val="005A0FF4"/>
    <w:rsid w:val="005A181E"/>
    <w:rsid w:val="005A1D36"/>
    <w:rsid w:val="005A1EA6"/>
    <w:rsid w:val="005A2418"/>
    <w:rsid w:val="005A255E"/>
    <w:rsid w:val="005A2CAC"/>
    <w:rsid w:val="005A3144"/>
    <w:rsid w:val="005A3342"/>
    <w:rsid w:val="005A3ED0"/>
    <w:rsid w:val="005A6261"/>
    <w:rsid w:val="005A6290"/>
    <w:rsid w:val="005A6D42"/>
    <w:rsid w:val="005A724F"/>
    <w:rsid w:val="005A7927"/>
    <w:rsid w:val="005A7BD8"/>
    <w:rsid w:val="005A7DEF"/>
    <w:rsid w:val="005A7EB5"/>
    <w:rsid w:val="005B0657"/>
    <w:rsid w:val="005B0873"/>
    <w:rsid w:val="005B0F66"/>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327"/>
    <w:rsid w:val="005D2587"/>
    <w:rsid w:val="005D27F2"/>
    <w:rsid w:val="005D521A"/>
    <w:rsid w:val="005D55BC"/>
    <w:rsid w:val="005D5911"/>
    <w:rsid w:val="005D630D"/>
    <w:rsid w:val="005D6CC8"/>
    <w:rsid w:val="005D78D8"/>
    <w:rsid w:val="005D7AC3"/>
    <w:rsid w:val="005E0134"/>
    <w:rsid w:val="005E1859"/>
    <w:rsid w:val="005E1D72"/>
    <w:rsid w:val="005E28E6"/>
    <w:rsid w:val="005E2CDC"/>
    <w:rsid w:val="005E3782"/>
    <w:rsid w:val="005E39D4"/>
    <w:rsid w:val="005E3ADE"/>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283"/>
    <w:rsid w:val="006008D6"/>
    <w:rsid w:val="006009C6"/>
    <w:rsid w:val="006024C4"/>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14A"/>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1C3"/>
    <w:rsid w:val="00631F79"/>
    <w:rsid w:val="006324AD"/>
    <w:rsid w:val="00633072"/>
    <w:rsid w:val="00633182"/>
    <w:rsid w:val="00633584"/>
    <w:rsid w:val="0063388F"/>
    <w:rsid w:val="00633F2E"/>
    <w:rsid w:val="006340AE"/>
    <w:rsid w:val="006341F7"/>
    <w:rsid w:val="00634360"/>
    <w:rsid w:val="00636246"/>
    <w:rsid w:val="00637241"/>
    <w:rsid w:val="006375AB"/>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AA"/>
    <w:rsid w:val="006541C8"/>
    <w:rsid w:val="00655BCB"/>
    <w:rsid w:val="00655EF8"/>
    <w:rsid w:val="00655F0E"/>
    <w:rsid w:val="0065645C"/>
    <w:rsid w:val="006571B5"/>
    <w:rsid w:val="00657302"/>
    <w:rsid w:val="006603AD"/>
    <w:rsid w:val="00660A97"/>
    <w:rsid w:val="00661970"/>
    <w:rsid w:val="00661A8D"/>
    <w:rsid w:val="0066224A"/>
    <w:rsid w:val="00662A35"/>
    <w:rsid w:val="00662A8C"/>
    <w:rsid w:val="00664A40"/>
    <w:rsid w:val="00664D4F"/>
    <w:rsid w:val="00664DC7"/>
    <w:rsid w:val="00666344"/>
    <w:rsid w:val="00666AA0"/>
    <w:rsid w:val="00666DAE"/>
    <w:rsid w:val="00667868"/>
    <w:rsid w:val="00667C90"/>
    <w:rsid w:val="00670111"/>
    <w:rsid w:val="0067020D"/>
    <w:rsid w:val="006703AB"/>
    <w:rsid w:val="0067057E"/>
    <w:rsid w:val="0067099C"/>
    <w:rsid w:val="00671070"/>
    <w:rsid w:val="006714F3"/>
    <w:rsid w:val="006717DC"/>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772B8"/>
    <w:rsid w:val="00680024"/>
    <w:rsid w:val="00680B00"/>
    <w:rsid w:val="00680E5A"/>
    <w:rsid w:val="00682276"/>
    <w:rsid w:val="0068312E"/>
    <w:rsid w:val="00683ABC"/>
    <w:rsid w:val="00684F40"/>
    <w:rsid w:val="006853F7"/>
    <w:rsid w:val="006859F6"/>
    <w:rsid w:val="00685F42"/>
    <w:rsid w:val="0068684A"/>
    <w:rsid w:val="00686EB4"/>
    <w:rsid w:val="0068712C"/>
    <w:rsid w:val="006878A8"/>
    <w:rsid w:val="00687C6E"/>
    <w:rsid w:val="00687C98"/>
    <w:rsid w:val="006907F2"/>
    <w:rsid w:val="00690B6F"/>
    <w:rsid w:val="006916CE"/>
    <w:rsid w:val="00691B3A"/>
    <w:rsid w:val="0069245E"/>
    <w:rsid w:val="00692DA9"/>
    <w:rsid w:val="00693E1B"/>
    <w:rsid w:val="0069456C"/>
    <w:rsid w:val="00695644"/>
    <w:rsid w:val="006978C8"/>
    <w:rsid w:val="00697E6A"/>
    <w:rsid w:val="006A06A5"/>
    <w:rsid w:val="006A0B79"/>
    <w:rsid w:val="006A1EFC"/>
    <w:rsid w:val="006A270A"/>
    <w:rsid w:val="006A318E"/>
    <w:rsid w:val="006A3550"/>
    <w:rsid w:val="006A44A6"/>
    <w:rsid w:val="006A4649"/>
    <w:rsid w:val="006A4F11"/>
    <w:rsid w:val="006A5EEF"/>
    <w:rsid w:val="006A6471"/>
    <w:rsid w:val="006A6541"/>
    <w:rsid w:val="006A6B8E"/>
    <w:rsid w:val="006A7320"/>
    <w:rsid w:val="006A7E25"/>
    <w:rsid w:val="006B0B0B"/>
    <w:rsid w:val="006B136B"/>
    <w:rsid w:val="006B18F4"/>
    <w:rsid w:val="006B23FF"/>
    <w:rsid w:val="006B2FDE"/>
    <w:rsid w:val="006B50D1"/>
    <w:rsid w:val="006B5322"/>
    <w:rsid w:val="006B5494"/>
    <w:rsid w:val="006B6161"/>
    <w:rsid w:val="006B6AB9"/>
    <w:rsid w:val="006B6C60"/>
    <w:rsid w:val="006B76F3"/>
    <w:rsid w:val="006B7C56"/>
    <w:rsid w:val="006C03FA"/>
    <w:rsid w:val="006C0E26"/>
    <w:rsid w:val="006C149B"/>
    <w:rsid w:val="006C17C4"/>
    <w:rsid w:val="006C19F4"/>
    <w:rsid w:val="006C20FE"/>
    <w:rsid w:val="006C3124"/>
    <w:rsid w:val="006C3A4B"/>
    <w:rsid w:val="006C4CA3"/>
    <w:rsid w:val="006C5475"/>
    <w:rsid w:val="006C643F"/>
    <w:rsid w:val="006D0B67"/>
    <w:rsid w:val="006D0CA1"/>
    <w:rsid w:val="006D22E9"/>
    <w:rsid w:val="006D308F"/>
    <w:rsid w:val="006D38A0"/>
    <w:rsid w:val="006D4A81"/>
    <w:rsid w:val="006D5A80"/>
    <w:rsid w:val="006D5DE9"/>
    <w:rsid w:val="006D5F8F"/>
    <w:rsid w:val="006D61F8"/>
    <w:rsid w:val="006D746C"/>
    <w:rsid w:val="006D7E89"/>
    <w:rsid w:val="006E003D"/>
    <w:rsid w:val="006E0F52"/>
    <w:rsid w:val="006E1897"/>
    <w:rsid w:val="006E1B6D"/>
    <w:rsid w:val="006E1DE1"/>
    <w:rsid w:val="006E337D"/>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957"/>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905"/>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78F"/>
    <w:rsid w:val="00714C20"/>
    <w:rsid w:val="00715084"/>
    <w:rsid w:val="00716E1C"/>
    <w:rsid w:val="00720139"/>
    <w:rsid w:val="0072065A"/>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36643"/>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39D"/>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57D4A"/>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2E56"/>
    <w:rsid w:val="007A312A"/>
    <w:rsid w:val="007A3790"/>
    <w:rsid w:val="007A40DA"/>
    <w:rsid w:val="007A4ACE"/>
    <w:rsid w:val="007A4EF0"/>
    <w:rsid w:val="007A52E7"/>
    <w:rsid w:val="007A57D9"/>
    <w:rsid w:val="007A57FF"/>
    <w:rsid w:val="007A6348"/>
    <w:rsid w:val="007A66C0"/>
    <w:rsid w:val="007A68FD"/>
    <w:rsid w:val="007A719B"/>
    <w:rsid w:val="007A7D7C"/>
    <w:rsid w:val="007B03BD"/>
    <w:rsid w:val="007B0498"/>
    <w:rsid w:val="007B06F5"/>
    <w:rsid w:val="007B0938"/>
    <w:rsid w:val="007B0B6A"/>
    <w:rsid w:val="007B24C1"/>
    <w:rsid w:val="007B39E5"/>
    <w:rsid w:val="007B430C"/>
    <w:rsid w:val="007B450D"/>
    <w:rsid w:val="007B5042"/>
    <w:rsid w:val="007B51AB"/>
    <w:rsid w:val="007B52C4"/>
    <w:rsid w:val="007B5A31"/>
    <w:rsid w:val="007B7234"/>
    <w:rsid w:val="007B7AC5"/>
    <w:rsid w:val="007B7D56"/>
    <w:rsid w:val="007C0138"/>
    <w:rsid w:val="007C10A3"/>
    <w:rsid w:val="007C143E"/>
    <w:rsid w:val="007C1452"/>
    <w:rsid w:val="007C281E"/>
    <w:rsid w:val="007C28C5"/>
    <w:rsid w:val="007C2AD8"/>
    <w:rsid w:val="007C3BD5"/>
    <w:rsid w:val="007C4555"/>
    <w:rsid w:val="007C4731"/>
    <w:rsid w:val="007C4DA8"/>
    <w:rsid w:val="007C517F"/>
    <w:rsid w:val="007C57E2"/>
    <w:rsid w:val="007C65B9"/>
    <w:rsid w:val="007C70E7"/>
    <w:rsid w:val="007D10C5"/>
    <w:rsid w:val="007D1A01"/>
    <w:rsid w:val="007D1BF3"/>
    <w:rsid w:val="007D280E"/>
    <w:rsid w:val="007D3752"/>
    <w:rsid w:val="007D3822"/>
    <w:rsid w:val="007D469A"/>
    <w:rsid w:val="007D4867"/>
    <w:rsid w:val="007D4B25"/>
    <w:rsid w:val="007D56C4"/>
    <w:rsid w:val="007D58EE"/>
    <w:rsid w:val="007D5A48"/>
    <w:rsid w:val="007D6175"/>
    <w:rsid w:val="007D62DA"/>
    <w:rsid w:val="007D6AA9"/>
    <w:rsid w:val="007D6B68"/>
    <w:rsid w:val="007D73CD"/>
    <w:rsid w:val="007D74E5"/>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5E0"/>
    <w:rsid w:val="007F3F48"/>
    <w:rsid w:val="007F480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5F6"/>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50A"/>
    <w:rsid w:val="00853654"/>
    <w:rsid w:val="00853D79"/>
    <w:rsid w:val="00854969"/>
    <w:rsid w:val="00854AE7"/>
    <w:rsid w:val="0085577F"/>
    <w:rsid w:val="00856049"/>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6719E"/>
    <w:rsid w:val="008674AA"/>
    <w:rsid w:val="0087012B"/>
    <w:rsid w:val="008701AF"/>
    <w:rsid w:val="00870E48"/>
    <w:rsid w:val="00871F0D"/>
    <w:rsid w:val="00875078"/>
    <w:rsid w:val="0087527C"/>
    <w:rsid w:val="00875844"/>
    <w:rsid w:val="00875F72"/>
    <w:rsid w:val="00876B8A"/>
    <w:rsid w:val="00877288"/>
    <w:rsid w:val="008805D5"/>
    <w:rsid w:val="00881319"/>
    <w:rsid w:val="0088179F"/>
    <w:rsid w:val="00884786"/>
    <w:rsid w:val="008850A7"/>
    <w:rsid w:val="008859BA"/>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5A1"/>
    <w:rsid w:val="008A4E02"/>
    <w:rsid w:val="008A4FA8"/>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9D4"/>
    <w:rsid w:val="008C2BF8"/>
    <w:rsid w:val="008C2C02"/>
    <w:rsid w:val="008C2EA4"/>
    <w:rsid w:val="008C3F65"/>
    <w:rsid w:val="008C4388"/>
    <w:rsid w:val="008C4D2E"/>
    <w:rsid w:val="008C4D2F"/>
    <w:rsid w:val="008C500D"/>
    <w:rsid w:val="008C5934"/>
    <w:rsid w:val="008C5D94"/>
    <w:rsid w:val="008C6839"/>
    <w:rsid w:val="008C7080"/>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763"/>
    <w:rsid w:val="008E01B2"/>
    <w:rsid w:val="008E0D92"/>
    <w:rsid w:val="008E2A23"/>
    <w:rsid w:val="008E2B02"/>
    <w:rsid w:val="008E3553"/>
    <w:rsid w:val="008E4651"/>
    <w:rsid w:val="008E4C15"/>
    <w:rsid w:val="008E5035"/>
    <w:rsid w:val="008E59A9"/>
    <w:rsid w:val="008E6125"/>
    <w:rsid w:val="008E6A69"/>
    <w:rsid w:val="008E6DB5"/>
    <w:rsid w:val="008F0FAB"/>
    <w:rsid w:val="008F1167"/>
    <w:rsid w:val="008F1C30"/>
    <w:rsid w:val="008F21D7"/>
    <w:rsid w:val="008F467B"/>
    <w:rsid w:val="008F4BDF"/>
    <w:rsid w:val="008F51DE"/>
    <w:rsid w:val="008F51FA"/>
    <w:rsid w:val="008F5649"/>
    <w:rsid w:val="008F5715"/>
    <w:rsid w:val="008F5B99"/>
    <w:rsid w:val="008F5BCA"/>
    <w:rsid w:val="008F6DBD"/>
    <w:rsid w:val="008F701A"/>
    <w:rsid w:val="008F7464"/>
    <w:rsid w:val="008F7D9C"/>
    <w:rsid w:val="009001F2"/>
    <w:rsid w:val="00902140"/>
    <w:rsid w:val="009024EE"/>
    <w:rsid w:val="00902E1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39BD"/>
    <w:rsid w:val="00913BFF"/>
    <w:rsid w:val="0091463F"/>
    <w:rsid w:val="00914D10"/>
    <w:rsid w:val="00914D5E"/>
    <w:rsid w:val="00915112"/>
    <w:rsid w:val="00915577"/>
    <w:rsid w:val="00916528"/>
    <w:rsid w:val="00917237"/>
    <w:rsid w:val="0091739B"/>
    <w:rsid w:val="009177E3"/>
    <w:rsid w:val="00920116"/>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26F3"/>
    <w:rsid w:val="0093334C"/>
    <w:rsid w:val="0093444B"/>
    <w:rsid w:val="009346A8"/>
    <w:rsid w:val="00934945"/>
    <w:rsid w:val="0093592F"/>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4BB"/>
    <w:rsid w:val="009475E7"/>
    <w:rsid w:val="00947753"/>
    <w:rsid w:val="00947AA0"/>
    <w:rsid w:val="009509A8"/>
    <w:rsid w:val="00950DA5"/>
    <w:rsid w:val="00951062"/>
    <w:rsid w:val="009514DF"/>
    <w:rsid w:val="0095168C"/>
    <w:rsid w:val="009516E9"/>
    <w:rsid w:val="009531A8"/>
    <w:rsid w:val="0095382F"/>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6A9"/>
    <w:rsid w:val="00973A1C"/>
    <w:rsid w:val="00973DBA"/>
    <w:rsid w:val="009749F7"/>
    <w:rsid w:val="0097569E"/>
    <w:rsid w:val="00976423"/>
    <w:rsid w:val="0097648C"/>
    <w:rsid w:val="00976A45"/>
    <w:rsid w:val="00976FD5"/>
    <w:rsid w:val="0097746E"/>
    <w:rsid w:val="0098081F"/>
    <w:rsid w:val="00980A97"/>
    <w:rsid w:val="00981705"/>
    <w:rsid w:val="0098378D"/>
    <w:rsid w:val="00983BE8"/>
    <w:rsid w:val="009849A4"/>
    <w:rsid w:val="00985D03"/>
    <w:rsid w:val="00985D28"/>
    <w:rsid w:val="0098614F"/>
    <w:rsid w:val="0098675B"/>
    <w:rsid w:val="0098686D"/>
    <w:rsid w:val="00986E9F"/>
    <w:rsid w:val="009875DF"/>
    <w:rsid w:val="00987612"/>
    <w:rsid w:val="009876B3"/>
    <w:rsid w:val="00991054"/>
    <w:rsid w:val="00991D37"/>
    <w:rsid w:val="00992189"/>
    <w:rsid w:val="00992433"/>
    <w:rsid w:val="009928B0"/>
    <w:rsid w:val="009929D6"/>
    <w:rsid w:val="00993217"/>
    <w:rsid w:val="00993434"/>
    <w:rsid w:val="009934B2"/>
    <w:rsid w:val="00993858"/>
    <w:rsid w:val="009942E7"/>
    <w:rsid w:val="00994695"/>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92F"/>
    <w:rsid w:val="009A508B"/>
    <w:rsid w:val="009A543A"/>
    <w:rsid w:val="009A5AE9"/>
    <w:rsid w:val="009A6507"/>
    <w:rsid w:val="009A69C4"/>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5B55"/>
    <w:rsid w:val="009B68C0"/>
    <w:rsid w:val="009B7164"/>
    <w:rsid w:val="009B75A3"/>
    <w:rsid w:val="009C05A2"/>
    <w:rsid w:val="009C0D17"/>
    <w:rsid w:val="009C1545"/>
    <w:rsid w:val="009C1C0D"/>
    <w:rsid w:val="009C2303"/>
    <w:rsid w:val="009C24B8"/>
    <w:rsid w:val="009C2D13"/>
    <w:rsid w:val="009C3772"/>
    <w:rsid w:val="009C3B4C"/>
    <w:rsid w:val="009C3E03"/>
    <w:rsid w:val="009C43AC"/>
    <w:rsid w:val="009C44AA"/>
    <w:rsid w:val="009C47F8"/>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436B"/>
    <w:rsid w:val="009E4F99"/>
    <w:rsid w:val="009E57EC"/>
    <w:rsid w:val="009E59E1"/>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1F60"/>
    <w:rsid w:val="00A02D8E"/>
    <w:rsid w:val="00A03299"/>
    <w:rsid w:val="00A03AC9"/>
    <w:rsid w:val="00A0424C"/>
    <w:rsid w:val="00A04981"/>
    <w:rsid w:val="00A05CDF"/>
    <w:rsid w:val="00A06BE9"/>
    <w:rsid w:val="00A06D59"/>
    <w:rsid w:val="00A06E3B"/>
    <w:rsid w:val="00A07432"/>
    <w:rsid w:val="00A07467"/>
    <w:rsid w:val="00A07727"/>
    <w:rsid w:val="00A07B81"/>
    <w:rsid w:val="00A07E36"/>
    <w:rsid w:val="00A1025A"/>
    <w:rsid w:val="00A11CCF"/>
    <w:rsid w:val="00A123BD"/>
    <w:rsid w:val="00A12D3A"/>
    <w:rsid w:val="00A12E5A"/>
    <w:rsid w:val="00A138F6"/>
    <w:rsid w:val="00A14BD9"/>
    <w:rsid w:val="00A1535C"/>
    <w:rsid w:val="00A15AFF"/>
    <w:rsid w:val="00A16F90"/>
    <w:rsid w:val="00A17450"/>
    <w:rsid w:val="00A17FE6"/>
    <w:rsid w:val="00A20118"/>
    <w:rsid w:val="00A20BA5"/>
    <w:rsid w:val="00A20DE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06F"/>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1D5"/>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5EC0"/>
    <w:rsid w:val="00AA6DC6"/>
    <w:rsid w:val="00AA7702"/>
    <w:rsid w:val="00AA7FCF"/>
    <w:rsid w:val="00AB0272"/>
    <w:rsid w:val="00AB0CFD"/>
    <w:rsid w:val="00AB0DAE"/>
    <w:rsid w:val="00AB1B1F"/>
    <w:rsid w:val="00AB320B"/>
    <w:rsid w:val="00AB338C"/>
    <w:rsid w:val="00AB36A2"/>
    <w:rsid w:val="00AB38BC"/>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80"/>
    <w:rsid w:val="00AD3BF0"/>
    <w:rsid w:val="00AD3E79"/>
    <w:rsid w:val="00AD41B0"/>
    <w:rsid w:val="00AD54F4"/>
    <w:rsid w:val="00AD5DDA"/>
    <w:rsid w:val="00AD677C"/>
    <w:rsid w:val="00AD6D77"/>
    <w:rsid w:val="00AD7465"/>
    <w:rsid w:val="00AD7517"/>
    <w:rsid w:val="00AE03EA"/>
    <w:rsid w:val="00AE1EB4"/>
    <w:rsid w:val="00AE22C4"/>
    <w:rsid w:val="00AE2EB8"/>
    <w:rsid w:val="00AE3346"/>
    <w:rsid w:val="00AE383F"/>
    <w:rsid w:val="00AE45BB"/>
    <w:rsid w:val="00AE4996"/>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AF7678"/>
    <w:rsid w:val="00B00258"/>
    <w:rsid w:val="00B00417"/>
    <w:rsid w:val="00B0156D"/>
    <w:rsid w:val="00B0159F"/>
    <w:rsid w:val="00B02743"/>
    <w:rsid w:val="00B0436A"/>
    <w:rsid w:val="00B04B39"/>
    <w:rsid w:val="00B05237"/>
    <w:rsid w:val="00B05759"/>
    <w:rsid w:val="00B05FEB"/>
    <w:rsid w:val="00B07819"/>
    <w:rsid w:val="00B07B03"/>
    <w:rsid w:val="00B07BD1"/>
    <w:rsid w:val="00B10503"/>
    <w:rsid w:val="00B10888"/>
    <w:rsid w:val="00B116B3"/>
    <w:rsid w:val="00B11761"/>
    <w:rsid w:val="00B11A1B"/>
    <w:rsid w:val="00B11E14"/>
    <w:rsid w:val="00B1240A"/>
    <w:rsid w:val="00B128A8"/>
    <w:rsid w:val="00B129AE"/>
    <w:rsid w:val="00B12CD4"/>
    <w:rsid w:val="00B12F3F"/>
    <w:rsid w:val="00B13BD1"/>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1C51"/>
    <w:rsid w:val="00B22410"/>
    <w:rsid w:val="00B2260A"/>
    <w:rsid w:val="00B22A7A"/>
    <w:rsid w:val="00B23822"/>
    <w:rsid w:val="00B24569"/>
    <w:rsid w:val="00B2577E"/>
    <w:rsid w:val="00B25990"/>
    <w:rsid w:val="00B2705C"/>
    <w:rsid w:val="00B279EE"/>
    <w:rsid w:val="00B27B50"/>
    <w:rsid w:val="00B27EC4"/>
    <w:rsid w:val="00B27FB4"/>
    <w:rsid w:val="00B30425"/>
    <w:rsid w:val="00B305EA"/>
    <w:rsid w:val="00B3171B"/>
    <w:rsid w:val="00B32A8D"/>
    <w:rsid w:val="00B32AEA"/>
    <w:rsid w:val="00B32D33"/>
    <w:rsid w:val="00B32E41"/>
    <w:rsid w:val="00B32E91"/>
    <w:rsid w:val="00B3313B"/>
    <w:rsid w:val="00B339BD"/>
    <w:rsid w:val="00B33EAB"/>
    <w:rsid w:val="00B34DE1"/>
    <w:rsid w:val="00B351F3"/>
    <w:rsid w:val="00B35A0F"/>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C87"/>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D2F"/>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77C55"/>
    <w:rsid w:val="00B800F5"/>
    <w:rsid w:val="00B80495"/>
    <w:rsid w:val="00B808C9"/>
    <w:rsid w:val="00B80F9B"/>
    <w:rsid w:val="00B8109E"/>
    <w:rsid w:val="00B8180F"/>
    <w:rsid w:val="00B81C62"/>
    <w:rsid w:val="00B827F5"/>
    <w:rsid w:val="00B82A9E"/>
    <w:rsid w:val="00B82BA2"/>
    <w:rsid w:val="00B837BD"/>
    <w:rsid w:val="00B83CB9"/>
    <w:rsid w:val="00B84056"/>
    <w:rsid w:val="00B8436C"/>
    <w:rsid w:val="00B844A5"/>
    <w:rsid w:val="00B84CB3"/>
    <w:rsid w:val="00B84DC8"/>
    <w:rsid w:val="00B865B4"/>
    <w:rsid w:val="00B86874"/>
    <w:rsid w:val="00B8713C"/>
    <w:rsid w:val="00B87949"/>
    <w:rsid w:val="00B879F5"/>
    <w:rsid w:val="00B87F1E"/>
    <w:rsid w:val="00B87F86"/>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5D33"/>
    <w:rsid w:val="00BB6200"/>
    <w:rsid w:val="00BB67D3"/>
    <w:rsid w:val="00BB68EA"/>
    <w:rsid w:val="00BB7268"/>
    <w:rsid w:val="00BB7B7F"/>
    <w:rsid w:val="00BB7E40"/>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D7142"/>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7F5"/>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9EF"/>
    <w:rsid w:val="00C07EBC"/>
    <w:rsid w:val="00C101EA"/>
    <w:rsid w:val="00C10876"/>
    <w:rsid w:val="00C10D0D"/>
    <w:rsid w:val="00C114F5"/>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918"/>
    <w:rsid w:val="00C22AB1"/>
    <w:rsid w:val="00C22BEA"/>
    <w:rsid w:val="00C22E92"/>
    <w:rsid w:val="00C22EAF"/>
    <w:rsid w:val="00C22EE6"/>
    <w:rsid w:val="00C2342D"/>
    <w:rsid w:val="00C23A0F"/>
    <w:rsid w:val="00C243ED"/>
    <w:rsid w:val="00C2442E"/>
    <w:rsid w:val="00C244D5"/>
    <w:rsid w:val="00C2524E"/>
    <w:rsid w:val="00C261E0"/>
    <w:rsid w:val="00C264B8"/>
    <w:rsid w:val="00C2685F"/>
    <w:rsid w:val="00C26D20"/>
    <w:rsid w:val="00C270EF"/>
    <w:rsid w:val="00C27D24"/>
    <w:rsid w:val="00C30843"/>
    <w:rsid w:val="00C30B79"/>
    <w:rsid w:val="00C3322D"/>
    <w:rsid w:val="00C34879"/>
    <w:rsid w:val="00C34C77"/>
    <w:rsid w:val="00C34D1A"/>
    <w:rsid w:val="00C34F88"/>
    <w:rsid w:val="00C35984"/>
    <w:rsid w:val="00C3610E"/>
    <w:rsid w:val="00C36C05"/>
    <w:rsid w:val="00C36EF4"/>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45AD"/>
    <w:rsid w:val="00C66009"/>
    <w:rsid w:val="00C66F17"/>
    <w:rsid w:val="00C700B9"/>
    <w:rsid w:val="00C70654"/>
    <w:rsid w:val="00C71538"/>
    <w:rsid w:val="00C722A4"/>
    <w:rsid w:val="00C723C0"/>
    <w:rsid w:val="00C723F6"/>
    <w:rsid w:val="00C72CDE"/>
    <w:rsid w:val="00C72DA9"/>
    <w:rsid w:val="00C740BA"/>
    <w:rsid w:val="00C743BA"/>
    <w:rsid w:val="00C74DE3"/>
    <w:rsid w:val="00C75308"/>
    <w:rsid w:val="00C761AF"/>
    <w:rsid w:val="00C76776"/>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AC8"/>
    <w:rsid w:val="00C90E74"/>
    <w:rsid w:val="00C90F97"/>
    <w:rsid w:val="00C913DC"/>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2F9A"/>
    <w:rsid w:val="00CA37F5"/>
    <w:rsid w:val="00CA40B5"/>
    <w:rsid w:val="00CA473D"/>
    <w:rsid w:val="00CA4EB0"/>
    <w:rsid w:val="00CA6814"/>
    <w:rsid w:val="00CA719F"/>
    <w:rsid w:val="00CA79B5"/>
    <w:rsid w:val="00CB0A79"/>
    <w:rsid w:val="00CB1317"/>
    <w:rsid w:val="00CB19DE"/>
    <w:rsid w:val="00CB1CFA"/>
    <w:rsid w:val="00CB1DAF"/>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D7692"/>
    <w:rsid w:val="00CE0A4B"/>
    <w:rsid w:val="00CE1222"/>
    <w:rsid w:val="00CE128B"/>
    <w:rsid w:val="00CE1596"/>
    <w:rsid w:val="00CE17CF"/>
    <w:rsid w:val="00CE5131"/>
    <w:rsid w:val="00CE6223"/>
    <w:rsid w:val="00CE62ED"/>
    <w:rsid w:val="00CE66FB"/>
    <w:rsid w:val="00CE6834"/>
    <w:rsid w:val="00CE6866"/>
    <w:rsid w:val="00CE6D31"/>
    <w:rsid w:val="00CE7862"/>
    <w:rsid w:val="00CF02C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212E"/>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A49"/>
    <w:rsid w:val="00D23B1F"/>
    <w:rsid w:val="00D24421"/>
    <w:rsid w:val="00D2539B"/>
    <w:rsid w:val="00D25666"/>
    <w:rsid w:val="00D25C3B"/>
    <w:rsid w:val="00D25EDA"/>
    <w:rsid w:val="00D25FFE"/>
    <w:rsid w:val="00D269E4"/>
    <w:rsid w:val="00D26CC2"/>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C50"/>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6B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04C"/>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4DF0"/>
    <w:rsid w:val="00DA6684"/>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0CC5"/>
    <w:rsid w:val="00DC144C"/>
    <w:rsid w:val="00DC1AF1"/>
    <w:rsid w:val="00DC1B0C"/>
    <w:rsid w:val="00DC2064"/>
    <w:rsid w:val="00DC279D"/>
    <w:rsid w:val="00DC31EB"/>
    <w:rsid w:val="00DC362E"/>
    <w:rsid w:val="00DC3718"/>
    <w:rsid w:val="00DC3846"/>
    <w:rsid w:val="00DC4367"/>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D7D07"/>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312C"/>
    <w:rsid w:val="00E1447C"/>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75EC"/>
    <w:rsid w:val="00E278F1"/>
    <w:rsid w:val="00E27962"/>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C38"/>
    <w:rsid w:val="00E46053"/>
    <w:rsid w:val="00E4720D"/>
    <w:rsid w:val="00E47998"/>
    <w:rsid w:val="00E523A2"/>
    <w:rsid w:val="00E523BA"/>
    <w:rsid w:val="00E52BBC"/>
    <w:rsid w:val="00E5439A"/>
    <w:rsid w:val="00E5454B"/>
    <w:rsid w:val="00E548EC"/>
    <w:rsid w:val="00E54BE0"/>
    <w:rsid w:val="00E5534D"/>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2614"/>
    <w:rsid w:val="00E74802"/>
    <w:rsid w:val="00E74C9C"/>
    <w:rsid w:val="00E75E83"/>
    <w:rsid w:val="00E76A9C"/>
    <w:rsid w:val="00E803AD"/>
    <w:rsid w:val="00E805BC"/>
    <w:rsid w:val="00E81B2B"/>
    <w:rsid w:val="00E81D87"/>
    <w:rsid w:val="00E82FE8"/>
    <w:rsid w:val="00E831F8"/>
    <w:rsid w:val="00E836AC"/>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5CB"/>
    <w:rsid w:val="00EB676C"/>
    <w:rsid w:val="00EB683E"/>
    <w:rsid w:val="00EB69E2"/>
    <w:rsid w:val="00EB6AD7"/>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6647"/>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57B8"/>
    <w:rsid w:val="00EE6247"/>
    <w:rsid w:val="00EE6CEA"/>
    <w:rsid w:val="00EF0032"/>
    <w:rsid w:val="00EF03B1"/>
    <w:rsid w:val="00EF0D2A"/>
    <w:rsid w:val="00EF145D"/>
    <w:rsid w:val="00EF2DBE"/>
    <w:rsid w:val="00EF2FD2"/>
    <w:rsid w:val="00EF304F"/>
    <w:rsid w:val="00EF3652"/>
    <w:rsid w:val="00EF37B0"/>
    <w:rsid w:val="00EF3878"/>
    <w:rsid w:val="00EF392A"/>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479F"/>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0C"/>
    <w:rsid w:val="00F25A77"/>
    <w:rsid w:val="00F26584"/>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62F8"/>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875"/>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2AD"/>
    <w:rsid w:val="00FD15AD"/>
    <w:rsid w:val="00FD2219"/>
    <w:rsid w:val="00FD30D3"/>
    <w:rsid w:val="00FD3427"/>
    <w:rsid w:val="00FD3AB5"/>
    <w:rsid w:val="00FD7B74"/>
    <w:rsid w:val="00FE06E2"/>
    <w:rsid w:val="00FE0EDA"/>
    <w:rsid w:val="00FE152F"/>
    <w:rsid w:val="00FE17EF"/>
    <w:rsid w:val="00FE184E"/>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EBF"/>
    <w:rsid w:val="00FF0F59"/>
    <w:rsid w:val="00FF139F"/>
    <w:rsid w:val="00FF206E"/>
    <w:rsid w:val="00FF20FB"/>
    <w:rsid w:val="00FF3804"/>
    <w:rsid w:val="00FF3E14"/>
    <w:rsid w:val="00FF4248"/>
    <w:rsid w:val="00FF4BE1"/>
    <w:rsid w:val="00FF5AC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1C642"/>
  <w15:docId w15:val="{D079F243-6D90-4CC3-A7AA-5499DE34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 w:type="paragraph" w:styleId="HTMLPreformatted">
    <w:name w:val="HTML Preformatted"/>
    <w:basedOn w:val="Normal"/>
    <w:link w:val="HTMLPreformattedChar"/>
    <w:uiPriority w:val="99"/>
    <w:unhideWhenUsed/>
    <w:rsid w:val="00B8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87F86"/>
    <w:rPr>
      <w:rFonts w:ascii="Courier New" w:hAnsi="Courier New" w:cs="Courier New"/>
    </w:rPr>
  </w:style>
  <w:style w:type="paragraph" w:styleId="NoSpacing">
    <w:name w:val="No Spacing"/>
    <w:uiPriority w:val="1"/>
    <w:qFormat/>
    <w:rsid w:val="00313BF5"/>
    <w:pPr>
      <w:bidi/>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79714599">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57006965">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36681495">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21881677">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74861323">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50675165">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4893-9386-4DC3-90F0-7AB37AE9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1762</Words>
  <Characters>10048</Characters>
  <Application>Microsoft Office Word</Application>
  <DocSecurity>0</DocSecurity>
  <Lines>83</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الثاني</vt:lpstr>
      <vt:lpstr>الفصل الثاني</vt:lpstr>
    </vt:vector>
  </TitlesOfParts>
  <Company>Hewlett-Packard</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pcbs</cp:lastModifiedBy>
  <cp:revision>7</cp:revision>
  <cp:lastPrinted>2023-12-28T17:48:00Z</cp:lastPrinted>
  <dcterms:created xsi:type="dcterms:W3CDTF">2023-12-28T16:53:00Z</dcterms:created>
  <dcterms:modified xsi:type="dcterms:W3CDTF">2023-12-28T17:49:00Z</dcterms:modified>
</cp:coreProperties>
</file>