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F9EB" w14:textId="4388BCDA" w:rsidR="003E44DC" w:rsidRPr="001F668E" w:rsidRDefault="003E44DC" w:rsidP="00194D5F">
      <w:pPr>
        <w:pStyle w:val="Title"/>
        <w:bidi w:val="0"/>
        <w:spacing w:after="60"/>
        <w:outlineLvl w:val="0"/>
        <w:rPr>
          <w:sz w:val="28"/>
          <w:szCs w:val="28"/>
          <w:rtl/>
        </w:rPr>
      </w:pPr>
    </w:p>
    <w:p w14:paraId="316BC22C" w14:textId="77777777" w:rsidR="00734758" w:rsidRPr="001F668E" w:rsidRDefault="00734758" w:rsidP="00194D5F">
      <w:pPr>
        <w:pStyle w:val="Title"/>
        <w:bidi w:val="0"/>
        <w:spacing w:after="60"/>
        <w:outlineLvl w:val="0"/>
        <w:rPr>
          <w:sz w:val="28"/>
          <w:szCs w:val="28"/>
        </w:rPr>
      </w:pPr>
    </w:p>
    <w:p w14:paraId="698D0345" w14:textId="5262E61E" w:rsidR="003E44DC" w:rsidRPr="00D17B2B" w:rsidRDefault="003E44DC" w:rsidP="00CB3961">
      <w:pPr>
        <w:pStyle w:val="Title"/>
        <w:bidi w:val="0"/>
        <w:spacing w:after="60"/>
        <w:jc w:val="left"/>
        <w:outlineLvl w:val="0"/>
        <w:rPr>
          <w:sz w:val="32"/>
          <w:szCs w:val="32"/>
        </w:rPr>
      </w:pPr>
      <w:r w:rsidRPr="00D17B2B">
        <w:rPr>
          <w:sz w:val="32"/>
          <w:szCs w:val="32"/>
        </w:rPr>
        <w:t xml:space="preserve">H.E. Dr. Awad, President of Palestinian Central Bureau of Statistics (PCBS), </w:t>
      </w:r>
      <w:proofErr w:type="gramStart"/>
      <w:r w:rsidR="00CB3961" w:rsidRPr="00D17B2B">
        <w:rPr>
          <w:sz w:val="32"/>
          <w:szCs w:val="32"/>
        </w:rPr>
        <w:t>Presents</w:t>
      </w:r>
      <w:proofErr w:type="gramEnd"/>
      <w:r w:rsidR="00CB3961" w:rsidRPr="00D17B2B">
        <w:rPr>
          <w:sz w:val="32"/>
          <w:szCs w:val="32"/>
        </w:rPr>
        <w:t xml:space="preserve"> </w:t>
      </w:r>
      <w:r w:rsidRPr="00D17B2B">
        <w:rPr>
          <w:sz w:val="32"/>
          <w:szCs w:val="32"/>
        </w:rPr>
        <w:t xml:space="preserve">the following: </w:t>
      </w:r>
    </w:p>
    <w:p w14:paraId="75D7C29B" w14:textId="77777777" w:rsidR="003E44DC" w:rsidRPr="001F668E" w:rsidRDefault="003E44DC" w:rsidP="00194D5F">
      <w:pPr>
        <w:pStyle w:val="Title"/>
        <w:bidi w:val="0"/>
        <w:spacing w:after="60"/>
        <w:jc w:val="left"/>
        <w:outlineLvl w:val="0"/>
      </w:pPr>
    </w:p>
    <w:p w14:paraId="13A31D6C" w14:textId="05B0DB88" w:rsidR="00734758" w:rsidRPr="00D17B2B" w:rsidRDefault="003E44DC" w:rsidP="00194D5F">
      <w:pPr>
        <w:pStyle w:val="Title"/>
        <w:numPr>
          <w:ilvl w:val="0"/>
          <w:numId w:val="1"/>
        </w:numPr>
        <w:bidi w:val="0"/>
        <w:spacing w:after="60"/>
        <w:jc w:val="left"/>
        <w:outlineLvl w:val="0"/>
        <w:rPr>
          <w:sz w:val="30"/>
          <w:szCs w:val="30"/>
        </w:rPr>
      </w:pPr>
      <w:r w:rsidRPr="00D17B2B">
        <w:rPr>
          <w:sz w:val="30"/>
          <w:szCs w:val="30"/>
        </w:rPr>
        <w:t>The Performance of the Palestinian Economy during 202</w:t>
      </w:r>
      <w:r w:rsidR="00734758" w:rsidRPr="00D17B2B">
        <w:rPr>
          <w:sz w:val="30"/>
          <w:szCs w:val="30"/>
        </w:rPr>
        <w:t>4</w:t>
      </w:r>
      <w:r w:rsidRPr="00D17B2B">
        <w:rPr>
          <w:sz w:val="30"/>
          <w:szCs w:val="30"/>
        </w:rPr>
        <w:t xml:space="preserve">. </w:t>
      </w:r>
    </w:p>
    <w:p w14:paraId="3F5E76F7" w14:textId="08486530" w:rsidR="003E44DC" w:rsidRPr="00D17B2B" w:rsidRDefault="00734758" w:rsidP="00194D5F">
      <w:pPr>
        <w:pStyle w:val="Title"/>
        <w:numPr>
          <w:ilvl w:val="0"/>
          <w:numId w:val="1"/>
        </w:numPr>
        <w:bidi w:val="0"/>
        <w:spacing w:after="60"/>
        <w:jc w:val="left"/>
        <w:outlineLvl w:val="0"/>
        <w:rPr>
          <w:sz w:val="30"/>
          <w:szCs w:val="30"/>
        </w:rPr>
      </w:pPr>
      <w:r w:rsidRPr="00D17B2B">
        <w:rPr>
          <w:sz w:val="30"/>
          <w:szCs w:val="30"/>
        </w:rPr>
        <w:t>The Economic F</w:t>
      </w:r>
      <w:r w:rsidR="003E44DC" w:rsidRPr="00D17B2B">
        <w:rPr>
          <w:sz w:val="30"/>
          <w:szCs w:val="30"/>
        </w:rPr>
        <w:t>orecasts for 202</w:t>
      </w:r>
      <w:r w:rsidRPr="00D17B2B">
        <w:rPr>
          <w:sz w:val="30"/>
          <w:szCs w:val="30"/>
        </w:rPr>
        <w:t>5</w:t>
      </w:r>
      <w:r w:rsidR="003E44DC" w:rsidRPr="00D17B2B">
        <w:rPr>
          <w:sz w:val="30"/>
          <w:szCs w:val="30"/>
        </w:rPr>
        <w:t>.</w:t>
      </w:r>
    </w:p>
    <w:p w14:paraId="76C5EFAB" w14:textId="1A3C3C81" w:rsidR="004C0E61" w:rsidRPr="001F668E" w:rsidRDefault="004C0E61" w:rsidP="00194D5F">
      <w:pPr>
        <w:bidi w:val="0"/>
        <w:rPr>
          <w:b/>
          <w:bCs/>
          <w:sz w:val="28"/>
          <w:szCs w:val="28"/>
        </w:rPr>
      </w:pPr>
    </w:p>
    <w:p w14:paraId="497CB5DF" w14:textId="68F677E9" w:rsidR="004C0E61" w:rsidRPr="00D17B2B" w:rsidRDefault="00CB3961" w:rsidP="00596912">
      <w:pPr>
        <w:bidi w:val="0"/>
        <w:jc w:val="both"/>
        <w:rPr>
          <w:b/>
          <w:bCs/>
          <w:sz w:val="28"/>
          <w:szCs w:val="28"/>
          <w:rtl/>
        </w:rPr>
      </w:pPr>
      <w:r w:rsidRPr="00D17B2B">
        <w:rPr>
          <w:b/>
          <w:bCs/>
          <w:sz w:val="28"/>
          <w:szCs w:val="28"/>
        </w:rPr>
        <w:t xml:space="preserve">H.E. Dr. Ola Awad, President of the Palestinian Central Bureau of Statistics (PCBS), presented on </w:t>
      </w:r>
      <w:r w:rsidR="00596912" w:rsidRPr="00D17B2B">
        <w:rPr>
          <w:b/>
          <w:bCs/>
          <w:sz w:val="28"/>
          <w:szCs w:val="28"/>
        </w:rPr>
        <w:t>Tuesday</w:t>
      </w:r>
      <w:r w:rsidRPr="00D17B2B">
        <w:rPr>
          <w:b/>
          <w:bCs/>
          <w:sz w:val="28"/>
          <w:szCs w:val="28"/>
        </w:rPr>
        <w:t xml:space="preserve">, December </w:t>
      </w:r>
      <w:r w:rsidR="00596912" w:rsidRPr="00D17B2B">
        <w:rPr>
          <w:b/>
          <w:bCs/>
          <w:sz w:val="28"/>
          <w:szCs w:val="28"/>
        </w:rPr>
        <w:t>31</w:t>
      </w:r>
      <w:r w:rsidRPr="00D17B2B">
        <w:rPr>
          <w:b/>
          <w:bCs/>
          <w:sz w:val="28"/>
          <w:szCs w:val="28"/>
        </w:rPr>
        <w:t>, 2024, an overview of the Palestinian economy, highlighting the most significant social and economic indicators for 2024. This year witnessed the continuation of Israeli aggression against the Gaza Strip. Dr. Awad also shared the economic forecasts for 2025 as follows:</w:t>
      </w:r>
    </w:p>
    <w:p w14:paraId="27CE73D7" w14:textId="77777777" w:rsidR="00CB3961" w:rsidRPr="00CB3961" w:rsidRDefault="00CB3961" w:rsidP="00CB3961">
      <w:pPr>
        <w:bidi w:val="0"/>
        <w:jc w:val="both"/>
        <w:rPr>
          <w:b/>
          <w:bCs/>
          <w:sz w:val="26"/>
          <w:szCs w:val="26"/>
          <w:rtl/>
        </w:rPr>
      </w:pPr>
    </w:p>
    <w:p w14:paraId="0E9026DD" w14:textId="43AD7C7C" w:rsidR="004C0E61" w:rsidRPr="00D17B2B" w:rsidRDefault="004C0E61" w:rsidP="0036623D">
      <w:pPr>
        <w:pStyle w:val="CommentText"/>
        <w:bidi w:val="0"/>
        <w:jc w:val="center"/>
        <w:rPr>
          <w:b/>
          <w:bCs/>
          <w:sz w:val="28"/>
          <w:szCs w:val="28"/>
        </w:rPr>
      </w:pPr>
      <w:r w:rsidRPr="00D17B2B">
        <w:rPr>
          <w:b/>
          <w:bCs/>
          <w:sz w:val="28"/>
          <w:szCs w:val="28"/>
        </w:rPr>
        <w:t xml:space="preserve">A complete collapse of </w:t>
      </w:r>
      <w:r w:rsidR="00547C16" w:rsidRPr="00D17B2B">
        <w:rPr>
          <w:b/>
          <w:bCs/>
          <w:sz w:val="28"/>
          <w:szCs w:val="28"/>
        </w:rPr>
        <w:t xml:space="preserve">the </w:t>
      </w:r>
      <w:r w:rsidRPr="00D17B2B">
        <w:rPr>
          <w:b/>
          <w:bCs/>
          <w:sz w:val="28"/>
          <w:szCs w:val="28"/>
        </w:rPr>
        <w:t xml:space="preserve">economic </w:t>
      </w:r>
      <w:r w:rsidR="00CB3961" w:rsidRPr="00D17B2B">
        <w:rPr>
          <w:b/>
          <w:bCs/>
          <w:sz w:val="28"/>
          <w:szCs w:val="28"/>
        </w:rPr>
        <w:t>structure</w:t>
      </w:r>
      <w:r w:rsidRPr="00D17B2B">
        <w:rPr>
          <w:b/>
          <w:bCs/>
          <w:sz w:val="28"/>
          <w:szCs w:val="28"/>
        </w:rPr>
        <w:t xml:space="preserve"> in Gaza Strip </w:t>
      </w:r>
      <w:r w:rsidR="00CB3961" w:rsidRPr="00D17B2B">
        <w:rPr>
          <w:b/>
          <w:bCs/>
          <w:sz w:val="28"/>
          <w:szCs w:val="28"/>
        </w:rPr>
        <w:t xml:space="preserve">accompanied by </w:t>
      </w:r>
      <w:r w:rsidRPr="00D17B2B">
        <w:rPr>
          <w:b/>
          <w:bCs/>
          <w:sz w:val="28"/>
          <w:szCs w:val="28"/>
        </w:rPr>
        <w:t>a sharp decline in production in the West Bank an</w:t>
      </w:r>
      <w:r w:rsidR="00547C16" w:rsidRPr="00D17B2B">
        <w:rPr>
          <w:b/>
          <w:bCs/>
          <w:sz w:val="28"/>
          <w:szCs w:val="28"/>
        </w:rPr>
        <w:t>d</w:t>
      </w:r>
      <w:r w:rsidR="00A824DF" w:rsidRPr="00D17B2B">
        <w:rPr>
          <w:b/>
          <w:bCs/>
          <w:sz w:val="28"/>
          <w:szCs w:val="28"/>
        </w:rPr>
        <w:t xml:space="preserve"> </w:t>
      </w:r>
      <w:r w:rsidRPr="00D17B2B">
        <w:rPr>
          <w:b/>
          <w:bCs/>
          <w:sz w:val="28"/>
          <w:szCs w:val="28"/>
        </w:rPr>
        <w:t>unprecedent</w:t>
      </w:r>
      <w:r w:rsidR="00A824DF" w:rsidRPr="00D17B2B">
        <w:rPr>
          <w:b/>
          <w:bCs/>
          <w:sz w:val="28"/>
          <w:szCs w:val="28"/>
        </w:rPr>
        <w:t>ed</w:t>
      </w:r>
      <w:r w:rsidRPr="00D17B2B">
        <w:rPr>
          <w:b/>
          <w:bCs/>
          <w:sz w:val="28"/>
          <w:szCs w:val="28"/>
        </w:rPr>
        <w:t xml:space="preserve"> increase in unemployment rates</w:t>
      </w:r>
    </w:p>
    <w:p w14:paraId="1C686A82" w14:textId="70FFFC50" w:rsidR="00CB3961" w:rsidRPr="00D17B2B" w:rsidRDefault="00CB3961" w:rsidP="00CB3961">
      <w:pPr>
        <w:bidi w:val="0"/>
        <w:spacing w:before="120"/>
        <w:jc w:val="both"/>
        <w:rPr>
          <w:rFonts w:eastAsia="Calibri"/>
          <w:sz w:val="26"/>
          <w:szCs w:val="26"/>
        </w:rPr>
      </w:pPr>
      <w:r w:rsidRPr="00D17B2B">
        <w:rPr>
          <w:rFonts w:eastAsia="Calibri"/>
          <w:sz w:val="26"/>
          <w:szCs w:val="26"/>
        </w:rPr>
        <w:t>Palestine is experiencing an economic, humanitarian, environmental, social, educational, and food catastrophe, which has led to a contraction in the productivity base and a structural distortion in its economy.  By the end of 2024, estimates indicate an unprecedented sharp contraction in the GDP of the Gaza Strip, with a decrease exceeding 82%, along with a rise in the unemployment rate to 80%. This contraction has also affected the economy of the West Bank, where the GDP declined by more than 19%, and the unemployment rate rose to 35%. In total, these factors have contributed to a 28% decline in the Palestinian economy, along with a rise in the unemployment rate to 51%.</w:t>
      </w:r>
    </w:p>
    <w:p w14:paraId="6CCAC155" w14:textId="77777777" w:rsidR="00CB3961" w:rsidRDefault="00CB3961" w:rsidP="00CB3961">
      <w:pPr>
        <w:pStyle w:val="CommentText"/>
      </w:pPr>
    </w:p>
    <w:p w14:paraId="28E2B05D" w14:textId="77777777" w:rsidR="0096068E" w:rsidRDefault="0096068E" w:rsidP="0063626D">
      <w:pPr>
        <w:bidi w:val="0"/>
        <w:jc w:val="center"/>
        <w:rPr>
          <w:rFonts w:ascii="Arial" w:hAnsi="Arial" w:cs="Arial"/>
          <w:b/>
          <w:bCs/>
          <w:sz w:val="22"/>
          <w:szCs w:val="22"/>
        </w:rPr>
      </w:pPr>
    </w:p>
    <w:p w14:paraId="51766577" w14:textId="21A3EDB3" w:rsidR="0063626D" w:rsidRPr="00D17B2B" w:rsidRDefault="0063626D" w:rsidP="0096068E">
      <w:pPr>
        <w:bidi w:val="0"/>
        <w:jc w:val="center"/>
        <w:rPr>
          <w:rFonts w:ascii="Arial" w:hAnsi="Arial" w:cs="Arial"/>
          <w:b/>
          <w:bCs/>
          <w:sz w:val="26"/>
          <w:szCs w:val="26"/>
          <w:rtl/>
        </w:rPr>
      </w:pPr>
      <w:r w:rsidRPr="00D17B2B">
        <w:rPr>
          <w:rFonts w:ascii="Arial" w:hAnsi="Arial" w:cs="Arial"/>
          <w:b/>
          <w:bCs/>
          <w:sz w:val="26"/>
          <w:szCs w:val="26"/>
        </w:rPr>
        <w:t>GDP by Region, 2019- 2024 at Constant Prices: Base Year 2015</w:t>
      </w:r>
    </w:p>
    <w:tbl>
      <w:tblPr>
        <w:tblStyle w:val="TableGrid"/>
        <w:tblW w:w="0" w:type="auto"/>
        <w:jc w:val="center"/>
        <w:tblLayout w:type="fixed"/>
        <w:tblLook w:val="04A0" w:firstRow="1" w:lastRow="0" w:firstColumn="1" w:lastColumn="0" w:noHBand="0" w:noVBand="1"/>
      </w:tblPr>
      <w:tblGrid>
        <w:gridCol w:w="8718"/>
      </w:tblGrid>
      <w:tr w:rsidR="0063626D" w:rsidRPr="007F2752" w14:paraId="404D3AD4" w14:textId="77777777" w:rsidTr="001E4374">
        <w:trPr>
          <w:jc w:val="center"/>
        </w:trPr>
        <w:tc>
          <w:tcPr>
            <w:tcW w:w="8718" w:type="dxa"/>
          </w:tcPr>
          <w:p w14:paraId="461F780C" w14:textId="77777777" w:rsidR="0063626D" w:rsidRPr="007F2752" w:rsidRDefault="0063626D" w:rsidP="001E4374">
            <w:pPr>
              <w:jc w:val="center"/>
              <w:rPr>
                <w:rFonts w:ascii="Times New Roman" w:hAnsi="Times New Roman" w:cs="Times New Roman"/>
                <w:b/>
                <w:bCs/>
              </w:rPr>
            </w:pPr>
            <w:r w:rsidRPr="007F2752">
              <w:rPr>
                <w:b/>
                <w:bCs/>
                <w:noProof/>
                <w:lang w:eastAsia="en-US"/>
              </w:rPr>
              <w:drawing>
                <wp:inline distT="0" distB="0" distL="0" distR="0" wp14:anchorId="6DD6A204" wp14:editId="5E126CD6">
                  <wp:extent cx="4930775" cy="2356022"/>
                  <wp:effectExtent l="0" t="0" r="3175" b="6350"/>
                  <wp:docPr id="29"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EFEC937" w14:textId="2CA346F4" w:rsidR="00CB3961" w:rsidRPr="00D17B2B" w:rsidRDefault="00CB3961" w:rsidP="00CB3961">
      <w:pPr>
        <w:pStyle w:val="NormalWeb"/>
        <w:rPr>
          <w:rFonts w:eastAsiaTheme="minorHAnsi"/>
          <w:b/>
          <w:bCs/>
          <w:sz w:val="28"/>
          <w:szCs w:val="28"/>
        </w:rPr>
      </w:pPr>
      <w:r w:rsidRPr="00D17B2B">
        <w:rPr>
          <w:rFonts w:eastAsiaTheme="minorHAnsi"/>
          <w:b/>
          <w:bCs/>
          <w:sz w:val="28"/>
          <w:szCs w:val="28"/>
        </w:rPr>
        <w:lastRenderedPageBreak/>
        <w:t>A complete collapse of all economic activities in the Gaza Strip during 2024, along with a sharp decline in economic activities in the West Bank, with the construction activity being the most affected.</w:t>
      </w:r>
    </w:p>
    <w:p w14:paraId="6B4F3BAB" w14:textId="3672197E" w:rsidR="000C32DB" w:rsidRPr="00D17B2B" w:rsidRDefault="000C32DB" w:rsidP="000C32DB">
      <w:pPr>
        <w:bidi w:val="0"/>
        <w:jc w:val="both"/>
        <w:rPr>
          <w:sz w:val="26"/>
          <w:szCs w:val="26"/>
        </w:rPr>
      </w:pPr>
      <w:r w:rsidRPr="00D17B2B">
        <w:rPr>
          <w:sz w:val="26"/>
          <w:szCs w:val="26"/>
        </w:rPr>
        <w:t xml:space="preserve">The Palestinian economy </w:t>
      </w:r>
      <w:proofErr w:type="gramStart"/>
      <w:r w:rsidRPr="00D17B2B">
        <w:rPr>
          <w:sz w:val="26"/>
          <w:szCs w:val="26"/>
        </w:rPr>
        <w:t>is considered</w:t>
      </w:r>
      <w:proofErr w:type="gramEnd"/>
      <w:r w:rsidRPr="00D17B2B">
        <w:rPr>
          <w:sz w:val="26"/>
          <w:szCs w:val="26"/>
        </w:rPr>
        <w:t xml:space="preserve"> a service economy, where 65% of the Palestinian economy is services, while the productive sectors that support economic growth constitute only about 20% of the total economy. This indicates that the Palestinian economy is changeable, and is significantly impacted by the challenges but it quickly </w:t>
      </w:r>
      <w:proofErr w:type="gramStart"/>
      <w:r w:rsidRPr="00D17B2B">
        <w:rPr>
          <w:sz w:val="26"/>
          <w:szCs w:val="26"/>
        </w:rPr>
        <w:t>recovers</w:t>
      </w:r>
      <w:proofErr w:type="gramEnd"/>
      <w:r w:rsidRPr="00D17B2B">
        <w:rPr>
          <w:sz w:val="26"/>
          <w:szCs w:val="26"/>
        </w:rPr>
        <w:t xml:space="preserve"> as it is a small economy.  </w:t>
      </w:r>
      <w:proofErr w:type="gramStart"/>
      <w:r w:rsidRPr="00D17B2B">
        <w:rPr>
          <w:sz w:val="26"/>
          <w:szCs w:val="26"/>
        </w:rPr>
        <w:t>During 2024, most economic activities in Palestine declined compared to the previous year, as the construction activity recorded the highest decline, reaching 46% (38% in the West Bank, and 98% in Gaza Strip) to reach USD 332 million, followed by the industrial activity with a decline of 33% (30% in the West Bank, and 90% in Gaza Strip) to reach USD 1,038 million, then agriculture activity with a decline of 32% (17% in the West Bank, and 91% in Gaza Strip) to reach USD 564 million, and the services activity declined by 27% (17% in the West Bank, and 81% in Gaza Strip) to reach USD 6,453 million.</w:t>
      </w:r>
      <w:proofErr w:type="gramEnd"/>
    </w:p>
    <w:p w14:paraId="5248D8A1" w14:textId="6A33236F" w:rsidR="00055EEF" w:rsidRPr="00D17B2B" w:rsidRDefault="00055EEF" w:rsidP="00055EEF">
      <w:pPr>
        <w:bidi w:val="0"/>
        <w:jc w:val="both"/>
        <w:rPr>
          <w:sz w:val="26"/>
          <w:szCs w:val="26"/>
        </w:rPr>
      </w:pPr>
    </w:p>
    <w:p w14:paraId="684C4354" w14:textId="4DDC006A" w:rsidR="00277EB1" w:rsidRPr="00D17B2B" w:rsidRDefault="00277EB1" w:rsidP="00F9290C">
      <w:pPr>
        <w:bidi w:val="0"/>
        <w:jc w:val="center"/>
        <w:rPr>
          <w:rFonts w:ascii="Arial" w:hAnsi="Arial" w:cs="Arial"/>
          <w:b/>
          <w:bCs/>
          <w:sz w:val="26"/>
          <w:szCs w:val="26"/>
          <w:rtl/>
        </w:rPr>
      </w:pPr>
      <w:r w:rsidRPr="00D17B2B">
        <w:rPr>
          <w:rFonts w:ascii="Arial" w:hAnsi="Arial" w:cs="Arial"/>
          <w:b/>
          <w:bCs/>
          <w:sz w:val="26"/>
          <w:szCs w:val="26"/>
        </w:rPr>
        <w:t xml:space="preserve">Percentage Contribution* of Economic Activities to GDP </w:t>
      </w:r>
      <w:r w:rsidR="00F9290C" w:rsidRPr="00D17B2B">
        <w:rPr>
          <w:rFonts w:ascii="Arial" w:hAnsi="Arial" w:cs="Arial"/>
          <w:b/>
          <w:bCs/>
          <w:sz w:val="26"/>
          <w:szCs w:val="26"/>
        </w:rPr>
        <w:t>in Palestine</w:t>
      </w:r>
      <w:r w:rsidRPr="00D17B2B">
        <w:rPr>
          <w:rFonts w:ascii="Arial" w:hAnsi="Arial" w:cs="Arial"/>
          <w:b/>
          <w:bCs/>
          <w:sz w:val="26"/>
          <w:szCs w:val="26"/>
        </w:rPr>
        <w:t>, 2024 at Constant Prices (Base Year 2015)</w:t>
      </w:r>
    </w:p>
    <w:tbl>
      <w:tblPr>
        <w:tblStyle w:val="TableGrid"/>
        <w:bidiVisual/>
        <w:tblW w:w="0" w:type="auto"/>
        <w:jc w:val="center"/>
        <w:tblLayout w:type="fixed"/>
        <w:tblLook w:val="04A0" w:firstRow="1" w:lastRow="0" w:firstColumn="1" w:lastColumn="0" w:noHBand="0" w:noVBand="1"/>
      </w:tblPr>
      <w:tblGrid>
        <w:gridCol w:w="8791"/>
      </w:tblGrid>
      <w:tr w:rsidR="00277EB1" w:rsidRPr="00CC0332" w14:paraId="6A49A8F8" w14:textId="77777777" w:rsidTr="001E4374">
        <w:trPr>
          <w:trHeight w:val="4326"/>
          <w:jc w:val="center"/>
        </w:trPr>
        <w:tc>
          <w:tcPr>
            <w:tcW w:w="8791" w:type="dxa"/>
            <w:vAlign w:val="center"/>
          </w:tcPr>
          <w:p w14:paraId="50BFD48B" w14:textId="77777777" w:rsidR="00277EB1" w:rsidRPr="00CC0332" w:rsidRDefault="00277EB1" w:rsidP="001E4374">
            <w:pPr>
              <w:jc w:val="center"/>
              <w:rPr>
                <w:rFonts w:cs="Simplified Arabic"/>
                <w:b/>
                <w:bCs/>
                <w:sz w:val="22"/>
                <w:szCs w:val="22"/>
                <w:rtl/>
              </w:rPr>
            </w:pPr>
            <w:r w:rsidRPr="00CC0332">
              <w:rPr>
                <w:rFonts w:cs="Simplified Arabic"/>
                <w:b/>
                <w:bCs/>
                <w:noProof/>
                <w:sz w:val="22"/>
                <w:szCs w:val="22"/>
                <w:rtl/>
                <w:lang w:eastAsia="en-US"/>
              </w:rPr>
              <w:drawing>
                <wp:inline distT="0" distB="0" distL="0" distR="0" wp14:anchorId="16235C11" wp14:editId="658FBDEF">
                  <wp:extent cx="5551805" cy="2613934"/>
                  <wp:effectExtent l="0" t="0" r="0" b="0"/>
                  <wp:docPr id="2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26E40F15" w14:textId="77777777" w:rsidR="00277EB1" w:rsidRPr="007F2752" w:rsidRDefault="00277EB1" w:rsidP="00277EB1">
      <w:pPr>
        <w:bidi w:val="0"/>
        <w:rPr>
          <w:b/>
          <w:bCs/>
          <w:sz w:val="36"/>
          <w:szCs w:val="36"/>
        </w:rPr>
      </w:pPr>
      <w:r w:rsidRPr="007F2752">
        <w:rPr>
          <w:sz w:val="18"/>
          <w:szCs w:val="18"/>
        </w:rPr>
        <w:t>(*)</w:t>
      </w:r>
      <w:r w:rsidRPr="007F2752">
        <w:rPr>
          <w:b/>
          <w:bCs/>
        </w:rPr>
        <w:t xml:space="preserve"> </w:t>
      </w:r>
      <w:r w:rsidRPr="007F2752">
        <w:rPr>
          <w:sz w:val="18"/>
          <w:szCs w:val="18"/>
        </w:rPr>
        <w:t>The summation of percentages does not equal 100 due to exceptions in adjustment items.</w:t>
      </w:r>
    </w:p>
    <w:p w14:paraId="3B3AED5E" w14:textId="77777777" w:rsidR="00CB3961" w:rsidRDefault="00CB3961" w:rsidP="008F1119">
      <w:pPr>
        <w:pStyle w:val="HTMLPreformatted"/>
        <w:shd w:val="clear" w:color="auto" w:fill="FFFFFF" w:themeFill="background1"/>
        <w:spacing w:line="276" w:lineRule="auto"/>
        <w:jc w:val="lowKashida"/>
        <w:rPr>
          <w:rFonts w:ascii="Times New Roman" w:eastAsiaTheme="minorHAnsi" w:hAnsi="Times New Roman" w:cs="Times New Roman"/>
          <w:b/>
          <w:bCs/>
          <w:sz w:val="24"/>
          <w:szCs w:val="24"/>
        </w:rPr>
      </w:pPr>
    </w:p>
    <w:p w14:paraId="22C1FDFE" w14:textId="77777777" w:rsidR="000F2F6B" w:rsidRPr="00D17B2B" w:rsidRDefault="001F0BC4" w:rsidP="000F2F6B">
      <w:pPr>
        <w:pStyle w:val="HTMLPreformatted"/>
        <w:shd w:val="clear" w:color="auto" w:fill="FFFFFF" w:themeFill="background1"/>
        <w:spacing w:line="276" w:lineRule="auto"/>
        <w:jc w:val="lowKashida"/>
        <w:rPr>
          <w:rFonts w:ascii="Times New Roman" w:eastAsiaTheme="minorHAnsi" w:hAnsi="Times New Roman" w:cs="Times New Roman"/>
          <w:b/>
          <w:bCs/>
          <w:sz w:val="28"/>
          <w:szCs w:val="28"/>
        </w:rPr>
      </w:pPr>
      <w:r w:rsidRPr="00D17B2B">
        <w:rPr>
          <w:rFonts w:ascii="Times New Roman" w:eastAsiaTheme="minorHAnsi" w:hAnsi="Times New Roman" w:cs="Times New Roman"/>
          <w:b/>
          <w:bCs/>
          <w:sz w:val="28"/>
          <w:szCs w:val="28"/>
        </w:rPr>
        <w:t xml:space="preserve">A decline in the trade </w:t>
      </w:r>
      <w:r w:rsidR="008F1119" w:rsidRPr="00D17B2B">
        <w:rPr>
          <w:rFonts w:ascii="Times New Roman" w:eastAsiaTheme="minorHAnsi" w:hAnsi="Times New Roman" w:cs="Times New Roman"/>
          <w:b/>
          <w:bCs/>
          <w:sz w:val="28"/>
          <w:szCs w:val="28"/>
        </w:rPr>
        <w:t>volume</w:t>
      </w:r>
      <w:r w:rsidR="00E327F4" w:rsidRPr="00D17B2B">
        <w:rPr>
          <w:rFonts w:ascii="Times New Roman" w:eastAsiaTheme="minorHAnsi" w:hAnsi="Times New Roman" w:cs="Times New Roman"/>
          <w:b/>
          <w:bCs/>
          <w:sz w:val="28"/>
          <w:szCs w:val="28"/>
        </w:rPr>
        <w:t xml:space="preserve"> </w:t>
      </w:r>
      <w:r w:rsidRPr="00D17B2B">
        <w:rPr>
          <w:rFonts w:ascii="Times New Roman" w:eastAsiaTheme="minorHAnsi" w:hAnsi="Times New Roman" w:cs="Times New Roman"/>
          <w:b/>
          <w:bCs/>
          <w:sz w:val="28"/>
          <w:szCs w:val="28"/>
        </w:rPr>
        <w:t>from and to Palestine</w:t>
      </w:r>
      <w:r w:rsidR="008F1119" w:rsidRPr="00D17B2B">
        <w:rPr>
          <w:rFonts w:ascii="Times New Roman" w:eastAsiaTheme="minorHAnsi" w:hAnsi="Times New Roman" w:cs="Times New Roman"/>
          <w:b/>
          <w:bCs/>
          <w:sz w:val="28"/>
          <w:szCs w:val="28"/>
        </w:rPr>
        <w:t xml:space="preserve"> in 2024</w:t>
      </w:r>
    </w:p>
    <w:p w14:paraId="31BFA936" w14:textId="0074FAB1" w:rsidR="000F2F6B" w:rsidRPr="00D17B2B" w:rsidRDefault="000F2F6B" w:rsidP="000F2F6B">
      <w:pPr>
        <w:pStyle w:val="HTMLPreformatted"/>
        <w:shd w:val="clear" w:color="auto" w:fill="FFFFFF" w:themeFill="background1"/>
        <w:spacing w:line="276" w:lineRule="auto"/>
        <w:jc w:val="lowKashida"/>
        <w:rPr>
          <w:rFonts w:ascii="Times New Roman" w:eastAsiaTheme="minorHAnsi" w:hAnsi="Times New Roman" w:cs="Times New Roman"/>
          <w:b/>
          <w:bCs/>
          <w:sz w:val="26"/>
          <w:szCs w:val="26"/>
        </w:rPr>
      </w:pPr>
      <w:r w:rsidRPr="00D17B2B">
        <w:rPr>
          <w:rFonts w:ascii="Times New Roman" w:hAnsi="Times New Roman" w:cs="Times New Roman"/>
          <w:sz w:val="26"/>
          <w:szCs w:val="26"/>
          <w:lang w:eastAsia="ar-SA"/>
        </w:rPr>
        <w:t xml:space="preserve">The volume of trade exchange between Palestine and the outside world witnessed an 11% decline. The value of exports of goods and services from Palestine dropped by 13%, reaching USD 2,677 million. Additionally, imports fell by 11%, totaling USD 9,069 million in 2024 compared to the previous year. Palestinian imports make up more than three times the value of Palestinian exports, reflecting a consistent trade deficit in the Palestinian balance of trade. It is important to note that the largest share of trade exchange with the outside world in the Gaza Strip </w:t>
      </w:r>
      <w:proofErr w:type="gramStart"/>
      <w:r w:rsidRPr="00D17B2B">
        <w:rPr>
          <w:rFonts w:ascii="Times New Roman" w:hAnsi="Times New Roman" w:cs="Times New Roman"/>
          <w:sz w:val="26"/>
          <w:szCs w:val="26"/>
          <w:lang w:eastAsia="ar-SA"/>
        </w:rPr>
        <w:t>was recorded</w:t>
      </w:r>
      <w:proofErr w:type="gramEnd"/>
      <w:r w:rsidRPr="00D17B2B">
        <w:rPr>
          <w:rFonts w:ascii="Times New Roman" w:hAnsi="Times New Roman" w:cs="Times New Roman"/>
          <w:sz w:val="26"/>
          <w:szCs w:val="26"/>
          <w:lang w:eastAsia="ar-SA"/>
        </w:rPr>
        <w:t xml:space="preserve"> in 2003, at 29% of total Palestinian trade. However, this percentage has since declined to less than 4% during Israeli </w:t>
      </w:r>
      <w:r w:rsidRPr="00D17B2B">
        <w:rPr>
          <w:rFonts w:ascii="Times New Roman" w:hAnsi="Times New Roman" w:cs="Times New Roman"/>
          <w:sz w:val="26"/>
          <w:szCs w:val="26"/>
          <w:lang w:eastAsia="ar-SA"/>
        </w:rPr>
        <w:lastRenderedPageBreak/>
        <w:t>occupation aggression, due to the near-total disruption of supply chains into and out of the Gaza Strip. This disruption led to a health and food crisis, with basic commodities, medicines, health supplies, and food provided at minimal levels, not exceeding 5% of the necessary quantities required in the Gaza Strip.</w:t>
      </w:r>
    </w:p>
    <w:p w14:paraId="02548ECF" w14:textId="77777777" w:rsidR="008C7323" w:rsidRDefault="008C7323" w:rsidP="008C7323">
      <w:pPr>
        <w:bidi w:val="0"/>
        <w:jc w:val="both"/>
        <w:rPr>
          <w:highlight w:val="yellow"/>
        </w:rPr>
      </w:pPr>
    </w:p>
    <w:p w14:paraId="6554955C" w14:textId="6AD115E2" w:rsidR="00AD4A8F" w:rsidRPr="00D17B2B" w:rsidRDefault="00AD4A8F" w:rsidP="00AD4A8F">
      <w:pPr>
        <w:bidi w:val="0"/>
        <w:jc w:val="both"/>
        <w:rPr>
          <w:sz w:val="26"/>
          <w:szCs w:val="26"/>
        </w:rPr>
      </w:pPr>
      <w:r w:rsidRPr="00D17B2B">
        <w:rPr>
          <w:sz w:val="26"/>
          <w:szCs w:val="26"/>
        </w:rPr>
        <w:t xml:space="preserve">Data indicated that the percentage of imports from Israel throughout the years have declined, where it constituted 86% of the total Palestinian imports in 1996, i.e. USD 3,184 million to reach USD 4,815 million despite the fact that it declined to 60% in 2024. In contrast, the percentage of the Palestinian exports to Israel in 1996 reached 94% where it constituted USD 730 </w:t>
      </w:r>
      <w:proofErr w:type="gramStart"/>
      <w:r w:rsidRPr="00D17B2B">
        <w:rPr>
          <w:sz w:val="26"/>
          <w:szCs w:val="26"/>
        </w:rPr>
        <w:t>million</w:t>
      </w:r>
      <w:proofErr w:type="gramEnd"/>
      <w:r w:rsidRPr="00D17B2B">
        <w:rPr>
          <w:sz w:val="26"/>
          <w:szCs w:val="26"/>
        </w:rPr>
        <w:t>, but then it declined to 87% of the total Palestinian exports in 2024, with an amount of USD 2,304 million.</w:t>
      </w:r>
    </w:p>
    <w:p w14:paraId="72418153" w14:textId="4819D252" w:rsidR="000F2F6B" w:rsidRPr="00D17B2B" w:rsidRDefault="000F2F6B" w:rsidP="000F2F6B">
      <w:pPr>
        <w:bidi w:val="0"/>
        <w:jc w:val="both"/>
        <w:rPr>
          <w:sz w:val="26"/>
          <w:szCs w:val="26"/>
        </w:rPr>
      </w:pPr>
    </w:p>
    <w:p w14:paraId="09A2F782" w14:textId="3BAC8A63" w:rsidR="001C2DF3" w:rsidRPr="00D17B2B" w:rsidRDefault="001C2DF3" w:rsidP="001C2DF3">
      <w:pPr>
        <w:bidi w:val="0"/>
        <w:jc w:val="center"/>
        <w:rPr>
          <w:rFonts w:ascii="Arial" w:hAnsi="Arial" w:cs="Arial"/>
          <w:b/>
          <w:bCs/>
          <w:sz w:val="26"/>
          <w:szCs w:val="26"/>
          <w:rtl/>
        </w:rPr>
      </w:pPr>
      <w:r w:rsidRPr="00D17B2B">
        <w:rPr>
          <w:rFonts w:ascii="Arial" w:hAnsi="Arial" w:cs="Arial"/>
          <w:b/>
          <w:bCs/>
          <w:sz w:val="26"/>
          <w:szCs w:val="26"/>
        </w:rPr>
        <w:t xml:space="preserve">Trade Balance of Goods and Services in Palestine, 1996- 2024 at Constant Prices (Base Year 2015)  </w:t>
      </w:r>
    </w:p>
    <w:tbl>
      <w:tblPr>
        <w:tblStyle w:val="TableGrid"/>
        <w:bidiVisual/>
        <w:tblW w:w="0" w:type="auto"/>
        <w:jc w:val="center"/>
        <w:tblLayout w:type="fixed"/>
        <w:tblLook w:val="04A0" w:firstRow="1" w:lastRow="0" w:firstColumn="1" w:lastColumn="0" w:noHBand="0" w:noVBand="1"/>
      </w:tblPr>
      <w:tblGrid>
        <w:gridCol w:w="8931"/>
      </w:tblGrid>
      <w:tr w:rsidR="001C2DF3" w:rsidRPr="00CC0332" w14:paraId="68574069" w14:textId="77777777" w:rsidTr="001D2B30">
        <w:trPr>
          <w:jc w:val="center"/>
        </w:trPr>
        <w:tc>
          <w:tcPr>
            <w:tcW w:w="8931" w:type="dxa"/>
          </w:tcPr>
          <w:p w14:paraId="4BFDF2C5" w14:textId="77777777" w:rsidR="001C2DF3" w:rsidRPr="00CC0332" w:rsidRDefault="001C2DF3" w:rsidP="001D2B30">
            <w:pPr>
              <w:tabs>
                <w:tab w:val="left" w:pos="2261"/>
              </w:tabs>
              <w:jc w:val="center"/>
              <w:rPr>
                <w:rFonts w:cs="Simplified Arabic"/>
                <w:b/>
                <w:bCs/>
                <w:sz w:val="22"/>
                <w:szCs w:val="22"/>
                <w:rtl/>
              </w:rPr>
            </w:pPr>
            <w:r w:rsidRPr="00CC0332">
              <w:rPr>
                <w:rFonts w:cs="Simplified Arabic"/>
                <w:b/>
                <w:bCs/>
                <w:noProof/>
                <w:sz w:val="22"/>
                <w:szCs w:val="22"/>
                <w:rtl/>
                <w:lang w:eastAsia="en-US"/>
              </w:rPr>
              <w:drawing>
                <wp:inline distT="0" distB="0" distL="0" distR="0" wp14:anchorId="764EFBF8" wp14:editId="4F2554A6">
                  <wp:extent cx="5474970" cy="3333750"/>
                  <wp:effectExtent l="0" t="0" r="0" b="0"/>
                  <wp:docPr id="1"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6A1AF5A0" w14:textId="77777777" w:rsidR="00911946" w:rsidRDefault="00911946" w:rsidP="00911946">
      <w:pPr>
        <w:jc w:val="both"/>
        <w:rPr>
          <w:rFonts w:ascii="Simplified Arabic" w:hAnsi="Simplified Arabic" w:cs="Simplified Arabic"/>
          <w:rtl/>
        </w:rPr>
      </w:pPr>
    </w:p>
    <w:p w14:paraId="4D0664DD" w14:textId="63DBB486" w:rsidR="000F2F6B" w:rsidRPr="00D17B2B" w:rsidRDefault="000F2F6B" w:rsidP="000F2F6B">
      <w:pPr>
        <w:pStyle w:val="NoSpacing"/>
        <w:bidi w:val="0"/>
        <w:jc w:val="both"/>
        <w:rPr>
          <w:rFonts w:ascii="Times New Roman" w:hAnsi="Times New Roman" w:cs="Times New Roman"/>
          <w:b/>
          <w:bCs/>
          <w:sz w:val="28"/>
          <w:szCs w:val="28"/>
        </w:rPr>
      </w:pPr>
      <w:r w:rsidRPr="00D17B2B">
        <w:rPr>
          <w:rFonts w:ascii="Times New Roman" w:hAnsi="Times New Roman" w:cs="Times New Roman"/>
          <w:b/>
          <w:bCs/>
          <w:sz w:val="28"/>
          <w:szCs w:val="28"/>
        </w:rPr>
        <w:t>A Sharp Rise in Unemployment Rates in the Gaza Strip, Exceeding 80% in 2024</w:t>
      </w:r>
    </w:p>
    <w:p w14:paraId="29F6E9BF" w14:textId="77777777" w:rsidR="00AD4A8F" w:rsidRPr="00D17B2B" w:rsidRDefault="00AD4A8F" w:rsidP="00AD4A8F">
      <w:pPr>
        <w:pStyle w:val="NoSpacing"/>
        <w:bidi w:val="0"/>
        <w:jc w:val="both"/>
        <w:rPr>
          <w:rFonts w:ascii="Times New Roman" w:hAnsi="Times New Roman" w:cs="Times New Roman"/>
          <w:sz w:val="26"/>
          <w:szCs w:val="26"/>
        </w:rPr>
      </w:pPr>
      <w:r w:rsidRPr="00D17B2B">
        <w:rPr>
          <w:rFonts w:ascii="Times New Roman" w:hAnsi="Times New Roman" w:cs="Times New Roman"/>
          <w:sz w:val="26"/>
          <w:szCs w:val="26"/>
        </w:rPr>
        <w:t xml:space="preserve">Palestine suffers from high levels of unemployment rates and a regional gap. During 2024, the unemployment rate in Palestine rose to 51% (35% in the West Bank and 80% in Gaza Strip). While it reached about 31% before the Israeli occupation aggression against Gaza Strip (18% in the West Bank and 53% in Gaza Strip) during 2023. The </w:t>
      </w:r>
      <w:proofErr w:type="gramStart"/>
      <w:r w:rsidRPr="00D17B2B">
        <w:rPr>
          <w:rFonts w:ascii="Times New Roman" w:hAnsi="Times New Roman" w:cs="Times New Roman"/>
          <w:sz w:val="26"/>
          <w:szCs w:val="26"/>
        </w:rPr>
        <w:t>labor force participation rate</w:t>
      </w:r>
      <w:proofErr w:type="gramEnd"/>
      <w:r w:rsidRPr="00D17B2B">
        <w:rPr>
          <w:rFonts w:ascii="Times New Roman" w:hAnsi="Times New Roman" w:cs="Times New Roman"/>
          <w:sz w:val="26"/>
          <w:szCs w:val="26"/>
        </w:rPr>
        <w:t xml:space="preserve"> in Palestine also declined during 2024 to reach 40% compared to 44% in 2023, while it reached 36% in Gaza Strip after it was 40% during 2023, while the labor force participation rate in the West Bank reached 43% compared to 47% during the same period.</w:t>
      </w:r>
    </w:p>
    <w:p w14:paraId="42890282" w14:textId="77777777" w:rsidR="00AD4A8F" w:rsidRPr="008E65A5" w:rsidRDefault="00AD4A8F" w:rsidP="00AD4A8F">
      <w:pPr>
        <w:pStyle w:val="NoSpacing"/>
        <w:bidi w:val="0"/>
        <w:jc w:val="both"/>
        <w:rPr>
          <w:rFonts w:ascii="Times New Roman" w:hAnsi="Times New Roman" w:cs="Times New Roman"/>
          <w:sz w:val="24"/>
          <w:szCs w:val="24"/>
          <w:rtl/>
        </w:rPr>
      </w:pPr>
    </w:p>
    <w:p w14:paraId="1C41AA67" w14:textId="157E0AD0" w:rsidR="007C2006" w:rsidRDefault="007C2006" w:rsidP="00194D5F">
      <w:pPr>
        <w:pStyle w:val="HTMLPreformatted"/>
        <w:shd w:val="clear" w:color="auto" w:fill="FFFFFF" w:themeFill="background1"/>
        <w:spacing w:line="276" w:lineRule="auto"/>
        <w:jc w:val="lowKashida"/>
        <w:rPr>
          <w:rFonts w:ascii="Times New Roman" w:hAnsi="Times New Roman" w:cs="Times New Roman"/>
          <w:b/>
          <w:bCs/>
          <w:sz w:val="24"/>
          <w:szCs w:val="24"/>
        </w:rPr>
      </w:pPr>
    </w:p>
    <w:p w14:paraId="6D8A0F74" w14:textId="77777777" w:rsidR="005B3FD6" w:rsidRPr="00D17B2B" w:rsidRDefault="005B3FD6" w:rsidP="005B3FD6">
      <w:pPr>
        <w:pStyle w:val="xl69"/>
        <w:spacing w:before="0" w:beforeAutospacing="0" w:after="0" w:afterAutospacing="0"/>
        <w:textAlignment w:val="top"/>
        <w:rPr>
          <w:rFonts w:ascii="Arial" w:hAnsi="Arial" w:cs="Arial" w:hint="default"/>
          <w:sz w:val="28"/>
          <w:szCs w:val="28"/>
        </w:rPr>
      </w:pPr>
      <w:r w:rsidRPr="00D17B2B">
        <w:rPr>
          <w:rFonts w:ascii="Arial" w:eastAsia="Calibri" w:hAnsi="Arial" w:cs="Arial" w:hint="default"/>
          <w:sz w:val="28"/>
          <w:szCs w:val="28"/>
        </w:rPr>
        <w:lastRenderedPageBreak/>
        <w:t>Unemployment Rate by Region,</w:t>
      </w:r>
      <w:r w:rsidRPr="00D17B2B">
        <w:rPr>
          <w:rFonts w:ascii="Arial" w:hAnsi="Arial" w:cs="Arial" w:hint="default"/>
          <w:sz w:val="28"/>
          <w:szCs w:val="28"/>
        </w:rPr>
        <w:t xml:space="preserve"> 2019- 2024</w:t>
      </w:r>
    </w:p>
    <w:tbl>
      <w:tblPr>
        <w:tblStyle w:val="TableGrid"/>
        <w:tblW w:w="0" w:type="auto"/>
        <w:jc w:val="center"/>
        <w:tblLayout w:type="fixed"/>
        <w:tblLook w:val="04A0" w:firstRow="1" w:lastRow="0" w:firstColumn="1" w:lastColumn="0" w:noHBand="0" w:noVBand="1"/>
      </w:tblPr>
      <w:tblGrid>
        <w:gridCol w:w="8929"/>
      </w:tblGrid>
      <w:tr w:rsidR="005B3FD6" w:rsidRPr="007F2752" w14:paraId="14962069" w14:textId="77777777" w:rsidTr="001E4374">
        <w:trPr>
          <w:trHeight w:val="3899"/>
          <w:jc w:val="center"/>
        </w:trPr>
        <w:tc>
          <w:tcPr>
            <w:tcW w:w="8929" w:type="dxa"/>
          </w:tcPr>
          <w:p w14:paraId="647FC42F" w14:textId="77777777" w:rsidR="005B3FD6" w:rsidRPr="007F2752" w:rsidRDefault="005B3FD6" w:rsidP="001E4374">
            <w:pPr>
              <w:pStyle w:val="xl69"/>
              <w:spacing w:before="0" w:beforeAutospacing="0" w:after="0" w:afterAutospacing="0"/>
              <w:textAlignment w:val="top"/>
              <w:rPr>
                <w:rFonts w:cs="Times New Roman" w:hint="default"/>
              </w:rPr>
            </w:pPr>
            <w:r w:rsidRPr="007F2752">
              <w:rPr>
                <w:rFonts w:cs="Times New Roman" w:hint="default"/>
                <w:noProof/>
              </w:rPr>
              <w:drawing>
                <wp:inline distT="0" distB="0" distL="0" distR="0" wp14:anchorId="0C2A3BAC" wp14:editId="4B3FDC72">
                  <wp:extent cx="5382895" cy="2385391"/>
                  <wp:effectExtent l="0" t="0" r="8255" b="0"/>
                  <wp:docPr id="54"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1343DDBF" w14:textId="713408AD" w:rsidR="007C2006" w:rsidRDefault="007C2006" w:rsidP="00194D5F">
      <w:pPr>
        <w:pStyle w:val="HTMLPreformatted"/>
        <w:shd w:val="clear" w:color="auto" w:fill="FFFFFF" w:themeFill="background1"/>
        <w:spacing w:line="276" w:lineRule="auto"/>
        <w:jc w:val="lowKashida"/>
        <w:rPr>
          <w:rFonts w:ascii="Times New Roman" w:hAnsi="Times New Roman" w:cs="Times New Roman"/>
          <w:b/>
          <w:bCs/>
          <w:sz w:val="24"/>
          <w:szCs w:val="24"/>
        </w:rPr>
      </w:pPr>
    </w:p>
    <w:p w14:paraId="743DD5CC" w14:textId="77777777" w:rsidR="00596912" w:rsidRDefault="00596912" w:rsidP="00194D5F">
      <w:pPr>
        <w:pStyle w:val="HTMLPreformatted"/>
        <w:shd w:val="clear" w:color="auto" w:fill="FFFFFF" w:themeFill="background1"/>
        <w:spacing w:line="276" w:lineRule="auto"/>
        <w:jc w:val="lowKashida"/>
        <w:rPr>
          <w:rFonts w:ascii="Times New Roman" w:hAnsi="Times New Roman" w:cs="Times New Roman"/>
          <w:b/>
          <w:bCs/>
          <w:sz w:val="24"/>
          <w:szCs w:val="24"/>
        </w:rPr>
      </w:pPr>
    </w:p>
    <w:p w14:paraId="777F0BA0" w14:textId="77777777" w:rsidR="000F2F6B" w:rsidRPr="00D17B2B" w:rsidRDefault="00E327F4" w:rsidP="000F2F6B">
      <w:pPr>
        <w:pStyle w:val="HTMLPreformatted"/>
        <w:shd w:val="clear" w:color="auto" w:fill="FFFFFF" w:themeFill="background1"/>
        <w:spacing w:line="276" w:lineRule="auto"/>
        <w:jc w:val="lowKashida"/>
        <w:rPr>
          <w:rFonts w:ascii="Times New Roman" w:hAnsi="Times New Roman" w:cs="Times New Roman"/>
          <w:b/>
          <w:bCs/>
          <w:sz w:val="28"/>
          <w:szCs w:val="28"/>
        </w:rPr>
      </w:pPr>
      <w:r w:rsidRPr="00D17B2B">
        <w:rPr>
          <w:rFonts w:ascii="Times New Roman" w:hAnsi="Times New Roman" w:cs="Times New Roman"/>
          <w:b/>
          <w:bCs/>
          <w:sz w:val="28"/>
          <w:szCs w:val="28"/>
        </w:rPr>
        <w:t xml:space="preserve">Poverty and </w:t>
      </w:r>
      <w:r w:rsidR="000D0056" w:rsidRPr="00D17B2B">
        <w:rPr>
          <w:rFonts w:ascii="Times New Roman" w:hAnsi="Times New Roman" w:cs="Times New Roman"/>
          <w:b/>
          <w:bCs/>
          <w:sz w:val="28"/>
          <w:szCs w:val="28"/>
        </w:rPr>
        <w:t>L</w:t>
      </w:r>
      <w:r w:rsidRPr="00D17B2B">
        <w:rPr>
          <w:rFonts w:ascii="Times New Roman" w:hAnsi="Times New Roman" w:cs="Times New Roman"/>
          <w:b/>
          <w:bCs/>
          <w:sz w:val="28"/>
          <w:szCs w:val="28"/>
        </w:rPr>
        <w:t xml:space="preserve">iving </w:t>
      </w:r>
      <w:r w:rsidR="000D0056" w:rsidRPr="00D17B2B">
        <w:rPr>
          <w:rFonts w:ascii="Times New Roman" w:hAnsi="Times New Roman" w:cs="Times New Roman"/>
          <w:b/>
          <w:bCs/>
          <w:sz w:val="28"/>
          <w:szCs w:val="28"/>
        </w:rPr>
        <w:t>S</w:t>
      </w:r>
      <w:r w:rsidRPr="00D17B2B">
        <w:rPr>
          <w:rFonts w:ascii="Times New Roman" w:hAnsi="Times New Roman" w:cs="Times New Roman"/>
          <w:b/>
          <w:bCs/>
          <w:sz w:val="28"/>
          <w:szCs w:val="28"/>
        </w:rPr>
        <w:t>tandards</w:t>
      </w:r>
    </w:p>
    <w:p w14:paraId="6E1AC460" w14:textId="58079BF4" w:rsidR="000F2F6B" w:rsidRPr="00D17B2B" w:rsidRDefault="000F2F6B" w:rsidP="000F2F6B">
      <w:pPr>
        <w:pStyle w:val="HTMLPreformatted"/>
        <w:shd w:val="clear" w:color="auto" w:fill="FFFFFF" w:themeFill="background1"/>
        <w:spacing w:line="276" w:lineRule="auto"/>
        <w:jc w:val="lowKashida"/>
        <w:rPr>
          <w:rFonts w:ascii="Times New Roman" w:hAnsi="Times New Roman" w:cs="Times New Roman"/>
          <w:sz w:val="26"/>
          <w:szCs w:val="26"/>
        </w:rPr>
      </w:pPr>
      <w:r w:rsidRPr="00D17B2B">
        <w:rPr>
          <w:rFonts w:ascii="Times New Roman" w:hAnsi="Times New Roman" w:cs="Times New Roman"/>
          <w:sz w:val="26"/>
          <w:szCs w:val="26"/>
        </w:rPr>
        <w:t xml:space="preserve">Prior to the Israeli occupation's aggression against the Gaza Strip, poverty rates there exceeded 63%, with the poverty line in Palestine set at approximately NIS 2,717 and the extreme poverty line at about NIS 2,170. Recently, due to the ongoing Israeli aggression against the Gaza Strip, the concept of poverty </w:t>
      </w:r>
      <w:proofErr w:type="gramStart"/>
      <w:r w:rsidRPr="00D17B2B">
        <w:rPr>
          <w:rFonts w:ascii="Times New Roman" w:hAnsi="Times New Roman" w:cs="Times New Roman"/>
          <w:sz w:val="26"/>
          <w:szCs w:val="26"/>
        </w:rPr>
        <w:t>has been surpassed</w:t>
      </w:r>
      <w:proofErr w:type="gramEnd"/>
      <w:r w:rsidRPr="00D17B2B">
        <w:rPr>
          <w:rFonts w:ascii="Times New Roman" w:hAnsi="Times New Roman" w:cs="Times New Roman"/>
          <w:sz w:val="26"/>
          <w:szCs w:val="26"/>
        </w:rPr>
        <w:t>, and we are now confronting different levels of famine and food insecurity. Consequently, total consumption has dropped by about 24%</w:t>
      </w:r>
      <w:proofErr w:type="gramStart"/>
      <w:r w:rsidRPr="00D17B2B">
        <w:rPr>
          <w:rFonts w:ascii="Times New Roman" w:hAnsi="Times New Roman" w:cs="Times New Roman"/>
          <w:sz w:val="26"/>
          <w:szCs w:val="26"/>
        </w:rPr>
        <w:t>;</w:t>
      </w:r>
      <w:proofErr w:type="gramEnd"/>
      <w:r w:rsidRPr="00D17B2B">
        <w:rPr>
          <w:rFonts w:ascii="Times New Roman" w:hAnsi="Times New Roman" w:cs="Times New Roman"/>
          <w:sz w:val="26"/>
          <w:szCs w:val="26"/>
        </w:rPr>
        <w:t xml:space="preserve"> 13% in the West Bank and 80% in the Gaza Strip, reflecting a direct impact on the standard of living in Palestine. This </w:t>
      </w:r>
      <w:proofErr w:type="gramStart"/>
      <w:r w:rsidRPr="00D17B2B">
        <w:rPr>
          <w:rFonts w:ascii="Times New Roman" w:hAnsi="Times New Roman" w:cs="Times New Roman"/>
          <w:sz w:val="26"/>
          <w:szCs w:val="26"/>
        </w:rPr>
        <w:t>has been accompanied</w:t>
      </w:r>
      <w:proofErr w:type="gramEnd"/>
      <w:r w:rsidRPr="00D17B2B">
        <w:rPr>
          <w:rFonts w:ascii="Times New Roman" w:hAnsi="Times New Roman" w:cs="Times New Roman"/>
          <w:sz w:val="26"/>
          <w:szCs w:val="26"/>
        </w:rPr>
        <w:t xml:space="preserve"> by an increase in unemployment rates across the region. In other words, the majority of individuals in Gaza Strip are now suffering from severe levels of food insecurity.</w:t>
      </w:r>
    </w:p>
    <w:p w14:paraId="7C4B6E49" w14:textId="680334A3" w:rsidR="00372E8E" w:rsidRPr="001723C5" w:rsidRDefault="00372E8E" w:rsidP="00194D5F">
      <w:pPr>
        <w:bidi w:val="0"/>
        <w:spacing w:line="276" w:lineRule="auto"/>
        <w:jc w:val="both"/>
        <w:rPr>
          <w:rtl/>
        </w:rPr>
      </w:pPr>
    </w:p>
    <w:p w14:paraId="7B1A78F2" w14:textId="77777777" w:rsidR="000F2F6B" w:rsidRPr="00D17B2B" w:rsidRDefault="0007388F" w:rsidP="000F2F6B">
      <w:pPr>
        <w:bidi w:val="0"/>
        <w:spacing w:line="276" w:lineRule="auto"/>
        <w:jc w:val="both"/>
        <w:rPr>
          <w:b/>
          <w:bCs/>
          <w:sz w:val="28"/>
          <w:szCs w:val="28"/>
        </w:rPr>
      </w:pPr>
      <w:r w:rsidRPr="00D17B2B">
        <w:rPr>
          <w:b/>
          <w:bCs/>
          <w:sz w:val="28"/>
          <w:szCs w:val="28"/>
        </w:rPr>
        <w:t xml:space="preserve">Unprecedented Increase in Prices Levels in </w:t>
      </w:r>
      <w:r w:rsidR="008F1119" w:rsidRPr="00D17B2B">
        <w:rPr>
          <w:b/>
          <w:bCs/>
          <w:sz w:val="28"/>
          <w:szCs w:val="28"/>
        </w:rPr>
        <w:t>Gaza Strip</w:t>
      </w:r>
    </w:p>
    <w:p w14:paraId="5D5C5936" w14:textId="125251D8" w:rsidR="000F2F6B" w:rsidRPr="00D17B2B" w:rsidRDefault="000F2F6B" w:rsidP="000F2F6B">
      <w:pPr>
        <w:bidi w:val="0"/>
        <w:spacing w:line="276" w:lineRule="auto"/>
        <w:jc w:val="both"/>
        <w:rPr>
          <w:b/>
          <w:bCs/>
          <w:sz w:val="26"/>
          <w:szCs w:val="26"/>
        </w:rPr>
      </w:pPr>
      <w:r w:rsidRPr="00D17B2B">
        <w:rPr>
          <w:sz w:val="26"/>
          <w:szCs w:val="26"/>
        </w:rPr>
        <w:t>At the level of prices in Palestine, the severe shortage of commodities entering the Gaza Strip, resulting from the ongoing Israeli occupation of the area, along with its subsequent repercussions on the West Bank and the regional situation's impact on the Gaza Strip, has led to a sharp increase in price levels in the Gaza Strip by more than 227%. Additionally, the consumer price index in the West Bank rose by 3%. This, in turn, caused a decline in the purchasing power of Palestinian consumers by 33% in 2024, with a 70% drop in Gaza Strip and a 3% decline in the West Bank.</w:t>
      </w:r>
    </w:p>
    <w:p w14:paraId="2B1A75F3" w14:textId="77777777" w:rsidR="001723C5" w:rsidRPr="001723C5" w:rsidRDefault="001723C5" w:rsidP="001723C5">
      <w:pPr>
        <w:pStyle w:val="NoSpacing"/>
        <w:bidi w:val="0"/>
        <w:jc w:val="both"/>
        <w:rPr>
          <w:rFonts w:ascii="Times New Roman" w:eastAsia="Times New Roman" w:hAnsi="Times New Roman" w:cs="Times New Roman"/>
          <w:sz w:val="24"/>
          <w:szCs w:val="24"/>
        </w:rPr>
      </w:pPr>
    </w:p>
    <w:p w14:paraId="58966233" w14:textId="63FDD931" w:rsidR="001723C5" w:rsidRPr="00D17B2B" w:rsidRDefault="007C2006" w:rsidP="001723C5">
      <w:pPr>
        <w:bidi w:val="0"/>
        <w:jc w:val="both"/>
        <w:rPr>
          <w:b/>
          <w:bCs/>
          <w:sz w:val="28"/>
          <w:szCs w:val="28"/>
        </w:rPr>
      </w:pPr>
      <w:proofErr w:type="spellStart"/>
      <w:r w:rsidRPr="00D17B2B">
        <w:rPr>
          <w:b/>
          <w:bCs/>
          <w:sz w:val="28"/>
          <w:szCs w:val="28"/>
        </w:rPr>
        <w:t>Che</w:t>
      </w:r>
      <w:r w:rsidR="001723C5" w:rsidRPr="00D17B2B">
        <w:rPr>
          <w:b/>
          <w:bCs/>
          <w:sz w:val="28"/>
          <w:szCs w:val="28"/>
        </w:rPr>
        <w:t>ques</w:t>
      </w:r>
      <w:proofErr w:type="spellEnd"/>
    </w:p>
    <w:p w14:paraId="50D95F03" w14:textId="315B5E5B" w:rsidR="000F2F6B" w:rsidRPr="00D17B2B" w:rsidRDefault="000F2F6B" w:rsidP="000F2F6B">
      <w:pPr>
        <w:bidi w:val="0"/>
        <w:jc w:val="both"/>
        <w:rPr>
          <w:sz w:val="26"/>
          <w:szCs w:val="26"/>
        </w:rPr>
      </w:pPr>
      <w:r w:rsidRPr="00D17B2B">
        <w:rPr>
          <w:sz w:val="26"/>
          <w:szCs w:val="26"/>
        </w:rPr>
        <w:t xml:space="preserve">The volume of circulated </w:t>
      </w:r>
      <w:proofErr w:type="spellStart"/>
      <w:r w:rsidRPr="00D17B2B">
        <w:rPr>
          <w:sz w:val="26"/>
          <w:szCs w:val="26"/>
        </w:rPr>
        <w:t>cheques</w:t>
      </w:r>
      <w:proofErr w:type="spellEnd"/>
      <w:r w:rsidRPr="00D17B2B">
        <w:rPr>
          <w:sz w:val="26"/>
          <w:szCs w:val="26"/>
        </w:rPr>
        <w:t xml:space="preserve"> in Palestine during 2023 amounted to approximately USD 24 </w:t>
      </w:r>
      <w:proofErr w:type="gramStart"/>
      <w:r w:rsidRPr="00D17B2B">
        <w:rPr>
          <w:sz w:val="26"/>
          <w:szCs w:val="26"/>
        </w:rPr>
        <w:t>billion</w:t>
      </w:r>
      <w:proofErr w:type="gramEnd"/>
      <w:r w:rsidRPr="00D17B2B">
        <w:rPr>
          <w:sz w:val="26"/>
          <w:szCs w:val="26"/>
        </w:rPr>
        <w:t xml:space="preserve">, while the value of returned </w:t>
      </w:r>
      <w:proofErr w:type="spellStart"/>
      <w:r w:rsidRPr="00D17B2B">
        <w:rPr>
          <w:sz w:val="26"/>
          <w:szCs w:val="26"/>
        </w:rPr>
        <w:t>cheques</w:t>
      </w:r>
      <w:proofErr w:type="spellEnd"/>
      <w:r w:rsidRPr="00D17B2B">
        <w:rPr>
          <w:sz w:val="26"/>
          <w:szCs w:val="26"/>
        </w:rPr>
        <w:t xml:space="preserve"> due to insufficient funds totaled around USD 1.5 billion. By the end of October 2024, the volume of circulated </w:t>
      </w:r>
      <w:proofErr w:type="spellStart"/>
      <w:r w:rsidRPr="00D17B2B">
        <w:rPr>
          <w:sz w:val="26"/>
          <w:szCs w:val="26"/>
        </w:rPr>
        <w:t>cheques</w:t>
      </w:r>
      <w:proofErr w:type="spellEnd"/>
      <w:r w:rsidRPr="00D17B2B">
        <w:rPr>
          <w:sz w:val="26"/>
          <w:szCs w:val="26"/>
        </w:rPr>
        <w:t xml:space="preserve"> had decreased to USD 17 </w:t>
      </w:r>
      <w:proofErr w:type="gramStart"/>
      <w:r w:rsidRPr="00D17B2B">
        <w:rPr>
          <w:sz w:val="26"/>
          <w:szCs w:val="26"/>
        </w:rPr>
        <w:t>billion</w:t>
      </w:r>
      <w:proofErr w:type="gramEnd"/>
      <w:r w:rsidRPr="00D17B2B">
        <w:rPr>
          <w:sz w:val="26"/>
          <w:szCs w:val="26"/>
        </w:rPr>
        <w:t xml:space="preserve">, while the value of returned </w:t>
      </w:r>
      <w:proofErr w:type="spellStart"/>
      <w:r w:rsidRPr="00D17B2B">
        <w:rPr>
          <w:sz w:val="26"/>
          <w:szCs w:val="26"/>
        </w:rPr>
        <w:t>cheques</w:t>
      </w:r>
      <w:proofErr w:type="spellEnd"/>
      <w:r w:rsidRPr="00D17B2B">
        <w:rPr>
          <w:sz w:val="26"/>
          <w:szCs w:val="26"/>
        </w:rPr>
        <w:t xml:space="preserve"> due to insufficient funds reached USD 1.4 billion. This indicates an increase in the percentage of returned </w:t>
      </w:r>
      <w:proofErr w:type="spellStart"/>
      <w:r w:rsidRPr="00D17B2B">
        <w:rPr>
          <w:sz w:val="26"/>
          <w:szCs w:val="26"/>
        </w:rPr>
        <w:lastRenderedPageBreak/>
        <w:t>cheques</w:t>
      </w:r>
      <w:proofErr w:type="spellEnd"/>
      <w:r w:rsidRPr="00D17B2B">
        <w:rPr>
          <w:sz w:val="26"/>
          <w:szCs w:val="26"/>
        </w:rPr>
        <w:t xml:space="preserve"> relative to the total </w:t>
      </w:r>
      <w:proofErr w:type="spellStart"/>
      <w:r w:rsidRPr="00D17B2B">
        <w:rPr>
          <w:sz w:val="26"/>
          <w:szCs w:val="26"/>
        </w:rPr>
        <w:t>cheques</w:t>
      </w:r>
      <w:proofErr w:type="spellEnd"/>
      <w:r w:rsidRPr="00D17B2B">
        <w:rPr>
          <w:sz w:val="26"/>
          <w:szCs w:val="26"/>
        </w:rPr>
        <w:t xml:space="preserve"> in circulation, rising from 6% in 2023 to 8% in 2024. The decline in the volume of </w:t>
      </w:r>
      <w:proofErr w:type="spellStart"/>
      <w:r w:rsidRPr="00D17B2B">
        <w:rPr>
          <w:sz w:val="26"/>
          <w:szCs w:val="26"/>
        </w:rPr>
        <w:t>cheques</w:t>
      </w:r>
      <w:proofErr w:type="spellEnd"/>
      <w:r w:rsidRPr="00D17B2B">
        <w:rPr>
          <w:sz w:val="26"/>
          <w:szCs w:val="26"/>
        </w:rPr>
        <w:t xml:space="preserve"> in circulation in 2024 reflects the severe contraction of the Palestinian economy and a reduction in liquidity levels.</w:t>
      </w:r>
    </w:p>
    <w:p w14:paraId="193F9D0E" w14:textId="71592920" w:rsidR="00C63A87" w:rsidRDefault="00C63A87" w:rsidP="00C63A87">
      <w:pPr>
        <w:bidi w:val="0"/>
        <w:jc w:val="both"/>
      </w:pPr>
    </w:p>
    <w:p w14:paraId="048BB387" w14:textId="234F4C77" w:rsidR="00C63A87" w:rsidRDefault="00C63A87" w:rsidP="00C63A87">
      <w:pPr>
        <w:bidi w:val="0"/>
        <w:jc w:val="both"/>
      </w:pPr>
    </w:p>
    <w:p w14:paraId="1738263E" w14:textId="77777777" w:rsidR="00C63A87" w:rsidRPr="001723C5" w:rsidRDefault="00C63A87" w:rsidP="00C63A87">
      <w:pPr>
        <w:bidi w:val="0"/>
        <w:jc w:val="both"/>
        <w:rPr>
          <w:rtl/>
        </w:rPr>
      </w:pPr>
    </w:p>
    <w:p w14:paraId="0A348989" w14:textId="27038B82" w:rsidR="00734758" w:rsidRPr="001F668E" w:rsidRDefault="00734758" w:rsidP="00194D5F">
      <w:pPr>
        <w:bidi w:val="0"/>
        <w:jc w:val="center"/>
        <w:rPr>
          <w:rFonts w:asciiTheme="majorBidi" w:hAnsiTheme="majorBidi" w:cstheme="majorBidi"/>
          <w:b/>
          <w:bCs/>
          <w:sz w:val="32"/>
          <w:szCs w:val="32"/>
        </w:rPr>
      </w:pPr>
      <w:r w:rsidRPr="001F668E">
        <w:rPr>
          <w:rFonts w:asciiTheme="majorBidi" w:hAnsiTheme="majorBidi" w:cstheme="majorBidi"/>
          <w:b/>
          <w:bCs/>
          <w:sz w:val="32"/>
          <w:szCs w:val="32"/>
        </w:rPr>
        <w:t xml:space="preserve">Economic Forecasts for </w:t>
      </w:r>
      <w:r w:rsidRPr="001F668E">
        <w:rPr>
          <w:rFonts w:asciiTheme="majorBidi" w:hAnsiTheme="majorBidi" w:cstheme="majorBidi"/>
          <w:b/>
          <w:bCs/>
          <w:sz w:val="32"/>
          <w:szCs w:val="32"/>
          <w:rtl/>
        </w:rPr>
        <w:t>202</w:t>
      </w:r>
      <w:r w:rsidRPr="001F668E">
        <w:rPr>
          <w:rFonts w:asciiTheme="majorBidi" w:hAnsiTheme="majorBidi" w:cstheme="majorBidi"/>
          <w:b/>
          <w:bCs/>
          <w:sz w:val="32"/>
          <w:szCs w:val="32"/>
        </w:rPr>
        <w:t>5</w:t>
      </w:r>
    </w:p>
    <w:p w14:paraId="686998AA" w14:textId="77777777" w:rsidR="00734758" w:rsidRPr="001F668E" w:rsidRDefault="00734758" w:rsidP="00194D5F">
      <w:pPr>
        <w:bidi w:val="0"/>
        <w:rPr>
          <w:rFonts w:cs="Simplified Arabic"/>
        </w:rPr>
      </w:pPr>
    </w:p>
    <w:p w14:paraId="4FB0C2B0" w14:textId="07D819CB" w:rsidR="00734758" w:rsidRPr="00D17B2B" w:rsidRDefault="00734758" w:rsidP="00A928E7">
      <w:pPr>
        <w:bidi w:val="0"/>
        <w:jc w:val="both"/>
        <w:rPr>
          <w:b/>
          <w:bCs/>
        </w:rPr>
      </w:pPr>
      <w:r w:rsidRPr="00D17B2B">
        <w:rPr>
          <w:b/>
          <w:bCs/>
        </w:rPr>
        <w:t xml:space="preserve">Those forecasts </w:t>
      </w:r>
      <w:proofErr w:type="gramStart"/>
      <w:r w:rsidRPr="00D17B2B">
        <w:rPr>
          <w:b/>
          <w:bCs/>
        </w:rPr>
        <w:t>were developed</w:t>
      </w:r>
      <w:proofErr w:type="gramEnd"/>
      <w:r w:rsidRPr="00D17B2B">
        <w:rPr>
          <w:b/>
          <w:bCs/>
        </w:rPr>
        <w:t xml:space="preserve"> based on various scenarios for Palestine, and in consultation with the Advisory Committee for Economic Statistics, which consists of local economists and academics, in addition to the Ministry of Finance and the Palestinian Monetary Authority. Each scenario took into consideration internal political, economic circumstances for </w:t>
      </w:r>
      <w:r w:rsidRPr="00D17B2B">
        <w:rPr>
          <w:b/>
          <w:bCs/>
          <w:rtl/>
        </w:rPr>
        <w:t>20</w:t>
      </w:r>
      <w:r w:rsidRPr="00D17B2B">
        <w:rPr>
          <w:b/>
          <w:bCs/>
        </w:rPr>
        <w:t xml:space="preserve">25, Israeli aggression </w:t>
      </w:r>
      <w:r w:rsidR="00A928E7" w:rsidRPr="00D17B2B">
        <w:rPr>
          <w:b/>
          <w:bCs/>
        </w:rPr>
        <w:t>against</w:t>
      </w:r>
      <w:r w:rsidRPr="00D17B2B">
        <w:rPr>
          <w:b/>
          <w:bCs/>
        </w:rPr>
        <w:t xml:space="preserve"> Gaza Strip, foreign aids, Israeli occupation measures against Palestine, the number of Palestinian employees in Israel and the economic and social variables. </w:t>
      </w:r>
    </w:p>
    <w:p w14:paraId="2DC4E58E" w14:textId="77777777" w:rsidR="00734758" w:rsidRPr="00D17B2B" w:rsidRDefault="00734758" w:rsidP="00194D5F">
      <w:pPr>
        <w:bidi w:val="0"/>
        <w:rPr>
          <w:b/>
          <w:bCs/>
          <w:rtl/>
        </w:rPr>
      </w:pPr>
    </w:p>
    <w:p w14:paraId="440A14AC" w14:textId="0881047C" w:rsidR="00734758" w:rsidRPr="00D17B2B" w:rsidRDefault="00734758" w:rsidP="004C42A9">
      <w:pPr>
        <w:bidi w:val="0"/>
        <w:jc w:val="lowKashida"/>
        <w:rPr>
          <w:b/>
          <w:bCs/>
          <w:sz w:val="28"/>
          <w:szCs w:val="28"/>
        </w:rPr>
      </w:pPr>
      <w:r w:rsidRPr="00D17B2B">
        <w:rPr>
          <w:b/>
          <w:bCs/>
          <w:sz w:val="28"/>
          <w:szCs w:val="28"/>
        </w:rPr>
        <w:t>First: Baseline Scenario:</w:t>
      </w:r>
    </w:p>
    <w:p w14:paraId="158BE84D" w14:textId="77777777" w:rsidR="001C2DF3" w:rsidRPr="00D17B2B" w:rsidRDefault="001C2DF3" w:rsidP="001C2DF3">
      <w:pPr>
        <w:bidi w:val="0"/>
        <w:jc w:val="both"/>
        <w:rPr>
          <w:b/>
          <w:bCs/>
          <w:sz w:val="26"/>
          <w:szCs w:val="26"/>
        </w:rPr>
      </w:pPr>
      <w:r w:rsidRPr="00D17B2B">
        <w:rPr>
          <w:b/>
          <w:bCs/>
          <w:sz w:val="26"/>
          <w:szCs w:val="26"/>
        </w:rPr>
        <w:t xml:space="preserve">This scenario </w:t>
      </w:r>
      <w:proofErr w:type="gramStart"/>
      <w:r w:rsidRPr="00D17B2B">
        <w:rPr>
          <w:b/>
          <w:bCs/>
          <w:sz w:val="26"/>
          <w:szCs w:val="26"/>
        </w:rPr>
        <w:t>is based</w:t>
      </w:r>
      <w:proofErr w:type="gramEnd"/>
      <w:r w:rsidRPr="00D17B2B">
        <w:rPr>
          <w:b/>
          <w:bCs/>
          <w:sz w:val="26"/>
          <w:szCs w:val="26"/>
        </w:rPr>
        <w:t xml:space="preserve"> on the assumption of the continuation of the political and economic situation in Palestine as it was during 2024, without having any prospect for resolving all life issues in Gaza Strip, along with a decline in the intensity of the Israeli occupation aggression against Gaza Strip up to its end. It is an extension of the current situation during the fourth quarter of 2024. According to this scenario, the Palestinian economy will continue to face severe restrictions on trade movement and crossings, along with the economic activities almost complete stop in Gaza Strip, </w:t>
      </w:r>
      <w:proofErr w:type="gramStart"/>
      <w:r w:rsidRPr="00D17B2B">
        <w:rPr>
          <w:b/>
          <w:bCs/>
          <w:sz w:val="26"/>
          <w:szCs w:val="26"/>
        </w:rPr>
        <w:t>as a result</w:t>
      </w:r>
      <w:proofErr w:type="gramEnd"/>
      <w:r w:rsidRPr="00D17B2B">
        <w:rPr>
          <w:b/>
          <w:bCs/>
          <w:sz w:val="26"/>
          <w:szCs w:val="26"/>
        </w:rPr>
        <w:t xml:space="preserve"> of the massive destruction caused by the Israeli aggression in addition to a significant disruption in the movement of the Palestinian labor into Israel. The features of this scenario are concentrated among a set of key assumptions, where this scenario assumes the following:</w:t>
      </w:r>
    </w:p>
    <w:p w14:paraId="4FE363AC" w14:textId="77777777" w:rsidR="00E101B0" w:rsidRPr="00D17B2B" w:rsidRDefault="00E101B0" w:rsidP="00E101B0">
      <w:pPr>
        <w:bidi w:val="0"/>
        <w:jc w:val="both"/>
        <w:rPr>
          <w:b/>
          <w:bCs/>
          <w:sz w:val="26"/>
          <w:szCs w:val="26"/>
          <w:rtl/>
        </w:rPr>
      </w:pPr>
    </w:p>
    <w:p w14:paraId="468904D0" w14:textId="6BC2E0D6" w:rsidR="007C2006" w:rsidRPr="00D17B2B" w:rsidRDefault="007C2006" w:rsidP="0036623D">
      <w:pPr>
        <w:pStyle w:val="ListParagraph"/>
        <w:numPr>
          <w:ilvl w:val="0"/>
          <w:numId w:val="2"/>
        </w:numPr>
        <w:bidi w:val="0"/>
        <w:jc w:val="both"/>
        <w:rPr>
          <w:sz w:val="26"/>
          <w:szCs w:val="26"/>
          <w:lang w:eastAsia="en-US"/>
        </w:rPr>
      </w:pPr>
      <w:r w:rsidRPr="00D17B2B">
        <w:rPr>
          <w:sz w:val="26"/>
          <w:szCs w:val="26"/>
          <w:lang w:eastAsia="en-US"/>
        </w:rPr>
        <w:t>The political and economic situation in Gaza Strip remain</w:t>
      </w:r>
      <w:r w:rsidR="001723C5" w:rsidRPr="00D17B2B">
        <w:rPr>
          <w:sz w:val="26"/>
          <w:szCs w:val="26"/>
          <w:lang w:eastAsia="en-US"/>
        </w:rPr>
        <w:t>s</w:t>
      </w:r>
      <w:r w:rsidRPr="00D17B2B">
        <w:rPr>
          <w:sz w:val="26"/>
          <w:szCs w:val="26"/>
          <w:lang w:eastAsia="en-US"/>
        </w:rPr>
        <w:t xml:space="preserve"> </w:t>
      </w:r>
      <w:r w:rsidR="008C7323" w:rsidRPr="00D17B2B">
        <w:rPr>
          <w:sz w:val="26"/>
          <w:szCs w:val="26"/>
          <w:lang w:eastAsia="en-US"/>
        </w:rPr>
        <w:t>unchanged</w:t>
      </w:r>
      <w:r w:rsidRPr="00D17B2B">
        <w:rPr>
          <w:sz w:val="26"/>
          <w:szCs w:val="26"/>
          <w:lang w:eastAsia="en-US"/>
        </w:rPr>
        <w:t xml:space="preserve">, with no political or economic </w:t>
      </w:r>
      <w:r w:rsidR="00B84EA1" w:rsidRPr="00D17B2B">
        <w:rPr>
          <w:sz w:val="26"/>
          <w:szCs w:val="26"/>
          <w:lang w:eastAsia="en-US"/>
        </w:rPr>
        <w:t xml:space="preserve">resolution to </w:t>
      </w:r>
      <w:r w:rsidRPr="00D17B2B">
        <w:rPr>
          <w:sz w:val="26"/>
          <w:szCs w:val="26"/>
          <w:lang w:eastAsia="en-US"/>
        </w:rPr>
        <w:t xml:space="preserve">vital issues in </w:t>
      </w:r>
      <w:r w:rsidR="00052A7D" w:rsidRPr="00D17B2B">
        <w:rPr>
          <w:sz w:val="26"/>
          <w:szCs w:val="26"/>
          <w:lang w:eastAsia="en-US"/>
        </w:rPr>
        <w:t xml:space="preserve">in the </w:t>
      </w:r>
      <w:proofErr w:type="gramStart"/>
      <w:r w:rsidR="00052A7D" w:rsidRPr="00D17B2B">
        <w:rPr>
          <w:sz w:val="26"/>
          <w:szCs w:val="26"/>
          <w:lang w:eastAsia="en-US"/>
        </w:rPr>
        <w:t>region</w:t>
      </w:r>
      <w:r w:rsidR="0036623D" w:rsidRPr="00D17B2B">
        <w:rPr>
          <w:sz w:val="26"/>
          <w:szCs w:val="26"/>
          <w:lang w:eastAsia="en-US"/>
        </w:rPr>
        <w:t>,</w:t>
      </w:r>
      <w:proofErr w:type="gramEnd"/>
      <w:r w:rsidR="0036623D" w:rsidRPr="00D17B2B">
        <w:rPr>
          <w:sz w:val="26"/>
          <w:szCs w:val="26"/>
          <w:lang w:eastAsia="en-US"/>
        </w:rPr>
        <w:t xml:space="preserve"> there is</w:t>
      </w:r>
      <w:r w:rsidRPr="00D17B2B">
        <w:rPr>
          <w:sz w:val="26"/>
          <w:szCs w:val="26"/>
          <w:lang w:eastAsia="en-US"/>
        </w:rPr>
        <w:t xml:space="preserve"> a </w:t>
      </w:r>
      <w:r w:rsidR="001723C5" w:rsidRPr="00D17B2B">
        <w:rPr>
          <w:sz w:val="26"/>
          <w:szCs w:val="26"/>
          <w:lang w:eastAsia="en-US"/>
        </w:rPr>
        <w:t>decline</w:t>
      </w:r>
      <w:r w:rsidRPr="00D17B2B">
        <w:rPr>
          <w:sz w:val="26"/>
          <w:szCs w:val="26"/>
          <w:lang w:eastAsia="en-US"/>
        </w:rPr>
        <w:t xml:space="preserve"> in the intensity of the Israeli occupation aggression against </w:t>
      </w:r>
      <w:r w:rsidR="001723C5" w:rsidRPr="00D17B2B">
        <w:rPr>
          <w:sz w:val="26"/>
          <w:szCs w:val="26"/>
          <w:lang w:eastAsia="en-US"/>
        </w:rPr>
        <w:t>Gaza</w:t>
      </w:r>
      <w:r w:rsidRPr="00D17B2B">
        <w:rPr>
          <w:sz w:val="26"/>
          <w:szCs w:val="26"/>
          <w:lang w:eastAsia="en-US"/>
        </w:rPr>
        <w:t xml:space="preserve"> Strip, </w:t>
      </w:r>
      <w:r w:rsidR="00052A7D" w:rsidRPr="00D17B2B">
        <w:rPr>
          <w:sz w:val="26"/>
          <w:szCs w:val="26"/>
          <w:lang w:eastAsia="en-US"/>
        </w:rPr>
        <w:t>representing</w:t>
      </w:r>
      <w:r w:rsidRPr="00D17B2B">
        <w:rPr>
          <w:sz w:val="26"/>
          <w:szCs w:val="26"/>
          <w:lang w:eastAsia="en-US"/>
        </w:rPr>
        <w:t xml:space="preserve"> an extension of the current </w:t>
      </w:r>
      <w:r w:rsidR="00052A7D" w:rsidRPr="00D17B2B">
        <w:rPr>
          <w:sz w:val="26"/>
          <w:szCs w:val="26"/>
          <w:lang w:eastAsia="en-US"/>
        </w:rPr>
        <w:t xml:space="preserve">circumstances observed in </w:t>
      </w:r>
      <w:r w:rsidRPr="00D17B2B">
        <w:rPr>
          <w:sz w:val="26"/>
          <w:szCs w:val="26"/>
          <w:lang w:eastAsia="en-US"/>
        </w:rPr>
        <w:t>the fourth quarter of 2024.</w:t>
      </w:r>
    </w:p>
    <w:p w14:paraId="12101F7E" w14:textId="59E477FD" w:rsidR="00C63A87" w:rsidRPr="00D17B2B" w:rsidRDefault="00C63A87" w:rsidP="00C63A87">
      <w:pPr>
        <w:pStyle w:val="ListParagraph"/>
        <w:numPr>
          <w:ilvl w:val="0"/>
          <w:numId w:val="2"/>
        </w:numPr>
        <w:bidi w:val="0"/>
        <w:jc w:val="both"/>
        <w:rPr>
          <w:sz w:val="26"/>
          <w:szCs w:val="26"/>
        </w:rPr>
      </w:pPr>
      <w:r w:rsidRPr="00D17B2B">
        <w:rPr>
          <w:sz w:val="26"/>
          <w:szCs w:val="26"/>
          <w:lang w:eastAsia="en-US"/>
        </w:rPr>
        <w:t>The Israeli occupation continues to impose closures between the West Bank governorates, restricting the movement of individuals and goods to and from Palestine. This includes a suspension of work permits for Palestinian workers in Israel and Israeli settlements, maintaining the minimum levels observed in 2024.</w:t>
      </w:r>
    </w:p>
    <w:p w14:paraId="3B758FD2" w14:textId="77777777" w:rsidR="00C63A87" w:rsidRPr="00D17B2B" w:rsidRDefault="00C63A87" w:rsidP="00C63A87">
      <w:pPr>
        <w:pStyle w:val="ListParagraph"/>
        <w:numPr>
          <w:ilvl w:val="0"/>
          <w:numId w:val="2"/>
        </w:numPr>
        <w:bidi w:val="0"/>
        <w:rPr>
          <w:sz w:val="26"/>
          <w:szCs w:val="26"/>
          <w:lang w:eastAsia="en-US"/>
        </w:rPr>
      </w:pPr>
      <w:r w:rsidRPr="00D17B2B">
        <w:rPr>
          <w:sz w:val="26"/>
          <w:szCs w:val="26"/>
          <w:lang w:eastAsia="en-US"/>
        </w:rPr>
        <w:t xml:space="preserve">The unjust deductions by the Israeli occupation from clearance revenues persist at the same levels as in 2024, negatively </w:t>
      </w:r>
      <w:proofErr w:type="gramStart"/>
      <w:r w:rsidRPr="00D17B2B">
        <w:rPr>
          <w:sz w:val="26"/>
          <w:szCs w:val="26"/>
          <w:lang w:eastAsia="en-US"/>
        </w:rPr>
        <w:t>impacting</w:t>
      </w:r>
      <w:proofErr w:type="gramEnd"/>
      <w:r w:rsidRPr="00D17B2B">
        <w:rPr>
          <w:sz w:val="26"/>
          <w:szCs w:val="26"/>
          <w:lang w:eastAsia="en-US"/>
        </w:rPr>
        <w:t xml:space="preserve"> the Palestinian Government's ability to meet its obligations to the public sector and private suppliers.</w:t>
      </w:r>
    </w:p>
    <w:p w14:paraId="6DB866C4" w14:textId="5D574177" w:rsidR="00C63A87" w:rsidRPr="00D17B2B" w:rsidRDefault="00C63A87" w:rsidP="00C63A87">
      <w:pPr>
        <w:pStyle w:val="ListParagraph"/>
        <w:numPr>
          <w:ilvl w:val="0"/>
          <w:numId w:val="2"/>
        </w:numPr>
        <w:bidi w:val="0"/>
        <w:rPr>
          <w:sz w:val="26"/>
          <w:szCs w:val="26"/>
          <w:lang w:eastAsia="en-US"/>
        </w:rPr>
      </w:pPr>
      <w:r w:rsidRPr="00D17B2B">
        <w:rPr>
          <w:sz w:val="26"/>
          <w:szCs w:val="26"/>
          <w:lang w:eastAsia="en-US"/>
        </w:rPr>
        <w:t>A decrease in income and value-added tax revenues (both local and clearance) occurs due to the dismissal of most Palestinian employees working in Israel and Israeli settlements, as well as the ongoing economic recession.</w:t>
      </w:r>
    </w:p>
    <w:p w14:paraId="5DB34BA9" w14:textId="77777777" w:rsidR="00C63A87" w:rsidRPr="00D17B2B" w:rsidRDefault="00C63A87" w:rsidP="00C63A87">
      <w:pPr>
        <w:pStyle w:val="ListParagraph"/>
        <w:numPr>
          <w:ilvl w:val="0"/>
          <w:numId w:val="2"/>
        </w:numPr>
        <w:bidi w:val="0"/>
        <w:rPr>
          <w:sz w:val="26"/>
          <w:szCs w:val="26"/>
          <w:lang w:eastAsia="en-US"/>
        </w:rPr>
      </w:pPr>
      <w:r w:rsidRPr="00D17B2B">
        <w:rPr>
          <w:sz w:val="26"/>
          <w:szCs w:val="26"/>
          <w:lang w:eastAsia="en-US"/>
        </w:rPr>
        <w:t>External aid supporting the Palestinian budget and society remains consistent with its levels in 2024.</w:t>
      </w:r>
    </w:p>
    <w:p w14:paraId="61F794FF" w14:textId="77777777" w:rsidR="00C63A87" w:rsidRPr="00D17B2B" w:rsidRDefault="00C63A87" w:rsidP="00C63A87">
      <w:pPr>
        <w:pStyle w:val="ListParagraph"/>
        <w:numPr>
          <w:ilvl w:val="0"/>
          <w:numId w:val="2"/>
        </w:numPr>
        <w:bidi w:val="0"/>
        <w:spacing w:before="100" w:beforeAutospacing="1" w:after="100" w:afterAutospacing="1"/>
        <w:rPr>
          <w:sz w:val="26"/>
          <w:szCs w:val="26"/>
          <w:lang w:eastAsia="en-US"/>
        </w:rPr>
      </w:pPr>
      <w:r w:rsidRPr="00D17B2B">
        <w:rPr>
          <w:sz w:val="26"/>
          <w:szCs w:val="26"/>
          <w:lang w:eastAsia="en-US"/>
        </w:rPr>
        <w:lastRenderedPageBreak/>
        <w:t>The implementation of externally funded development projects continues as planned.</w:t>
      </w:r>
    </w:p>
    <w:p w14:paraId="6A7CB0A8" w14:textId="77777777" w:rsidR="00734758" w:rsidRPr="00D17B2B" w:rsidRDefault="00734758" w:rsidP="00194D5F">
      <w:pPr>
        <w:pStyle w:val="ListParagraph"/>
        <w:bidi w:val="0"/>
        <w:jc w:val="both"/>
        <w:rPr>
          <w:sz w:val="26"/>
          <w:szCs w:val="26"/>
        </w:rPr>
      </w:pPr>
    </w:p>
    <w:p w14:paraId="0877CE4C" w14:textId="77777777" w:rsidR="00C63A87" w:rsidRPr="00D17B2B" w:rsidRDefault="00A2442F" w:rsidP="00C63A87">
      <w:pPr>
        <w:bidi w:val="0"/>
        <w:rPr>
          <w:b/>
          <w:bCs/>
          <w:sz w:val="28"/>
          <w:szCs w:val="28"/>
        </w:rPr>
      </w:pPr>
      <w:r w:rsidRPr="00D17B2B">
        <w:rPr>
          <w:b/>
          <w:bCs/>
          <w:sz w:val="28"/>
          <w:szCs w:val="28"/>
        </w:rPr>
        <w:t>Baseline Scenario Expectations:</w:t>
      </w:r>
    </w:p>
    <w:p w14:paraId="001AEC74" w14:textId="5AEE7127" w:rsidR="00C63A87" w:rsidRPr="00D17B2B" w:rsidRDefault="00C63A87" w:rsidP="00C63A87">
      <w:pPr>
        <w:bidi w:val="0"/>
        <w:rPr>
          <w:b/>
          <w:bCs/>
          <w:sz w:val="26"/>
          <w:szCs w:val="26"/>
        </w:rPr>
      </w:pPr>
      <w:r w:rsidRPr="00D17B2B">
        <w:rPr>
          <w:sz w:val="26"/>
          <w:szCs w:val="26"/>
        </w:rPr>
        <w:t xml:space="preserve">Based on this scenario, GDP </w:t>
      </w:r>
      <w:proofErr w:type="gramStart"/>
      <w:r w:rsidRPr="00D17B2B">
        <w:rPr>
          <w:sz w:val="26"/>
          <w:szCs w:val="26"/>
        </w:rPr>
        <w:t>is expected</w:t>
      </w:r>
      <w:proofErr w:type="gramEnd"/>
      <w:r w:rsidRPr="00D17B2B">
        <w:rPr>
          <w:sz w:val="26"/>
          <w:szCs w:val="26"/>
        </w:rPr>
        <w:t xml:space="preserve"> to stabilize at 0.6% in 2025 compared to 2024, leading to a decline of 1.7% in per capita GDP. Additionally, gross consumption (private and public) </w:t>
      </w:r>
      <w:proofErr w:type="gramStart"/>
      <w:r w:rsidRPr="00D17B2B">
        <w:rPr>
          <w:sz w:val="26"/>
          <w:szCs w:val="26"/>
        </w:rPr>
        <w:t>is projected</w:t>
      </w:r>
      <w:proofErr w:type="gramEnd"/>
      <w:r w:rsidRPr="00D17B2B">
        <w:rPr>
          <w:sz w:val="26"/>
          <w:szCs w:val="26"/>
        </w:rPr>
        <w:t xml:space="preserve"> to increase by 6.7% compared to 2024.</w:t>
      </w:r>
    </w:p>
    <w:p w14:paraId="7CCFFE48" w14:textId="77777777" w:rsidR="00C63A87" w:rsidRPr="00D17B2B" w:rsidRDefault="00C63A87" w:rsidP="00C63A87">
      <w:pPr>
        <w:pStyle w:val="NormalWeb"/>
        <w:rPr>
          <w:sz w:val="26"/>
          <w:szCs w:val="26"/>
        </w:rPr>
      </w:pPr>
      <w:r w:rsidRPr="00D17B2B">
        <w:rPr>
          <w:sz w:val="26"/>
          <w:szCs w:val="26"/>
        </w:rPr>
        <w:t xml:space="preserve">At the level of economic activities, the value added of industrial activities </w:t>
      </w:r>
      <w:proofErr w:type="gramStart"/>
      <w:r w:rsidRPr="00D17B2B">
        <w:rPr>
          <w:sz w:val="26"/>
          <w:szCs w:val="26"/>
        </w:rPr>
        <w:t>is expected</w:t>
      </w:r>
      <w:proofErr w:type="gramEnd"/>
      <w:r w:rsidRPr="00D17B2B">
        <w:rPr>
          <w:sz w:val="26"/>
          <w:szCs w:val="26"/>
        </w:rPr>
        <w:t xml:space="preserve"> to decrease by 8.0%, construction activities by 3.3%, and service activities by 1.4%. In contrast, the value added of agricultural activities </w:t>
      </w:r>
      <w:proofErr w:type="gramStart"/>
      <w:r w:rsidRPr="00D17B2B">
        <w:rPr>
          <w:sz w:val="26"/>
          <w:szCs w:val="26"/>
        </w:rPr>
        <w:t>is anticipated</w:t>
      </w:r>
      <w:proofErr w:type="gramEnd"/>
      <w:r w:rsidRPr="00D17B2B">
        <w:rPr>
          <w:sz w:val="26"/>
          <w:szCs w:val="26"/>
        </w:rPr>
        <w:t xml:space="preserve"> to increase by 6.2% during 2025 compared to 2024.</w:t>
      </w:r>
    </w:p>
    <w:p w14:paraId="083872B4" w14:textId="0B314926" w:rsidR="00C63A87" w:rsidRPr="00D17B2B" w:rsidRDefault="00C63A87" w:rsidP="00C63A87">
      <w:pPr>
        <w:pStyle w:val="NormalWeb"/>
        <w:rPr>
          <w:sz w:val="26"/>
          <w:szCs w:val="26"/>
        </w:rPr>
      </w:pPr>
      <w:bookmarkStart w:id="0" w:name="_GoBack"/>
      <w:r w:rsidRPr="00D17B2B">
        <w:rPr>
          <w:b/>
          <w:bCs/>
          <w:sz w:val="26"/>
          <w:szCs w:val="26"/>
        </w:rPr>
        <w:t>Work and Workers:</w:t>
      </w:r>
      <w:r w:rsidRPr="00D17B2B">
        <w:rPr>
          <w:sz w:val="26"/>
          <w:szCs w:val="26"/>
        </w:rPr>
        <w:t xml:space="preserve"> </w:t>
      </w:r>
      <w:bookmarkEnd w:id="0"/>
      <w:r w:rsidRPr="00D17B2B">
        <w:rPr>
          <w:sz w:val="26"/>
          <w:szCs w:val="26"/>
        </w:rPr>
        <w:t xml:space="preserve">The unemployment rate </w:t>
      </w:r>
      <w:proofErr w:type="gramStart"/>
      <w:r w:rsidRPr="00D17B2B">
        <w:rPr>
          <w:sz w:val="26"/>
          <w:szCs w:val="26"/>
        </w:rPr>
        <w:t>is expected</w:t>
      </w:r>
      <w:proofErr w:type="gramEnd"/>
      <w:r w:rsidRPr="00D17B2B">
        <w:rPr>
          <w:sz w:val="26"/>
          <w:szCs w:val="26"/>
        </w:rPr>
        <w:t xml:space="preserve"> to reach 49.2% in 2025.</w:t>
      </w:r>
    </w:p>
    <w:p w14:paraId="30BD2F19" w14:textId="77777777" w:rsidR="00CB0EB8" w:rsidRPr="00D17B2B" w:rsidRDefault="00AB65B2" w:rsidP="00CB0EB8">
      <w:pPr>
        <w:bidi w:val="0"/>
        <w:rPr>
          <w:b/>
          <w:bCs/>
          <w:sz w:val="28"/>
          <w:szCs w:val="28"/>
        </w:rPr>
      </w:pPr>
      <w:r w:rsidRPr="00D17B2B">
        <w:rPr>
          <w:b/>
          <w:bCs/>
          <w:sz w:val="28"/>
          <w:szCs w:val="28"/>
        </w:rPr>
        <w:t xml:space="preserve">Second: Recovery and Reconstruction Scenario:  </w:t>
      </w:r>
    </w:p>
    <w:p w14:paraId="61A13C52" w14:textId="58DCFC05" w:rsidR="00CB0EB8" w:rsidRPr="00D17B2B" w:rsidRDefault="00CB0EB8" w:rsidP="00CB0EB8">
      <w:pPr>
        <w:bidi w:val="0"/>
        <w:rPr>
          <w:b/>
          <w:bCs/>
          <w:sz w:val="26"/>
          <w:szCs w:val="26"/>
        </w:rPr>
      </w:pPr>
      <w:r w:rsidRPr="00D17B2B">
        <w:rPr>
          <w:b/>
          <w:bCs/>
          <w:sz w:val="26"/>
          <w:szCs w:val="26"/>
        </w:rPr>
        <w:t xml:space="preserve">This scenario is based on the assumption that the Israeli aggression against the Gaza Strip, along with all associated procedures in the West Bank, will </w:t>
      </w:r>
      <w:proofErr w:type="gramStart"/>
      <w:r w:rsidRPr="00D17B2B">
        <w:rPr>
          <w:b/>
          <w:bCs/>
          <w:sz w:val="26"/>
          <w:szCs w:val="26"/>
        </w:rPr>
        <w:t>come to an end</w:t>
      </w:r>
      <w:proofErr w:type="gramEnd"/>
      <w:r w:rsidRPr="00D17B2B">
        <w:rPr>
          <w:b/>
          <w:bCs/>
          <w:sz w:val="26"/>
          <w:szCs w:val="26"/>
        </w:rPr>
        <w:t xml:space="preserve">. Additionally, it assumes the gradual return of the political and economic situation to its state before the Israeli aggression against the Gaza Strip, ensuring the availability of basic living necessities in the region. This scenario also encompasses the restoration of the economic situation in the West Bank to its pre-October 7, 2023, conditions. The key features of this scenario </w:t>
      </w:r>
      <w:proofErr w:type="gramStart"/>
      <w:r w:rsidRPr="00D17B2B">
        <w:rPr>
          <w:b/>
          <w:bCs/>
          <w:sz w:val="26"/>
          <w:szCs w:val="26"/>
        </w:rPr>
        <w:t>are based</w:t>
      </w:r>
      <w:proofErr w:type="gramEnd"/>
      <w:r w:rsidRPr="00D17B2B">
        <w:rPr>
          <w:b/>
          <w:bCs/>
          <w:sz w:val="26"/>
          <w:szCs w:val="26"/>
        </w:rPr>
        <w:t xml:space="preserve"> on the following assumptions:</w:t>
      </w:r>
    </w:p>
    <w:p w14:paraId="60457DAE" w14:textId="77777777" w:rsidR="00CB0EB8" w:rsidRPr="00D17B2B" w:rsidRDefault="00CB0EB8" w:rsidP="00CB0EB8">
      <w:pPr>
        <w:bidi w:val="0"/>
        <w:jc w:val="both"/>
        <w:rPr>
          <w:b/>
          <w:bCs/>
          <w:sz w:val="26"/>
          <w:szCs w:val="26"/>
        </w:rPr>
      </w:pPr>
    </w:p>
    <w:p w14:paraId="1AD50F49" w14:textId="20041205" w:rsidR="00F56EEE" w:rsidRPr="00D17B2B" w:rsidRDefault="00F56EEE" w:rsidP="00B84EA1">
      <w:pPr>
        <w:pStyle w:val="ListParagraph"/>
        <w:numPr>
          <w:ilvl w:val="0"/>
          <w:numId w:val="8"/>
        </w:numPr>
        <w:bidi w:val="0"/>
        <w:jc w:val="both"/>
        <w:rPr>
          <w:sz w:val="26"/>
          <w:szCs w:val="26"/>
        </w:rPr>
      </w:pPr>
      <w:r w:rsidRPr="00D17B2B">
        <w:rPr>
          <w:sz w:val="26"/>
          <w:szCs w:val="26"/>
        </w:rPr>
        <w:t xml:space="preserve">Mitigation of restrictions imposed by the Israeli occupation on the governorates of the West Bank and Gaza Strip, including facilitations </w:t>
      </w:r>
      <w:r w:rsidR="00CB0EB8" w:rsidRPr="00D17B2B">
        <w:rPr>
          <w:sz w:val="26"/>
          <w:szCs w:val="26"/>
        </w:rPr>
        <w:t>of</w:t>
      </w:r>
      <w:r w:rsidRPr="00D17B2B">
        <w:rPr>
          <w:sz w:val="26"/>
          <w:szCs w:val="26"/>
        </w:rPr>
        <w:t xml:space="preserve"> the movement of individuals and goods to and from Palestine. In </w:t>
      </w:r>
      <w:r w:rsidR="001E0939" w:rsidRPr="00D17B2B">
        <w:rPr>
          <w:sz w:val="26"/>
          <w:szCs w:val="26"/>
        </w:rPr>
        <w:t>addition,</w:t>
      </w:r>
      <w:r w:rsidRPr="00D17B2B">
        <w:rPr>
          <w:sz w:val="26"/>
          <w:szCs w:val="26"/>
        </w:rPr>
        <w:t xml:space="preserve"> </w:t>
      </w:r>
      <w:r w:rsidR="00CB0EB8" w:rsidRPr="00D17B2B">
        <w:rPr>
          <w:sz w:val="26"/>
          <w:szCs w:val="26"/>
        </w:rPr>
        <w:t xml:space="preserve">there is a </w:t>
      </w:r>
      <w:r w:rsidRPr="00D17B2B">
        <w:rPr>
          <w:sz w:val="26"/>
          <w:szCs w:val="26"/>
        </w:rPr>
        <w:t xml:space="preserve">gradual return of workers to work in Israel and Israeli settlements. </w:t>
      </w:r>
    </w:p>
    <w:p w14:paraId="1E925E26" w14:textId="77777777" w:rsidR="00CB0EB8" w:rsidRPr="00D17B2B" w:rsidRDefault="00CB0EB8" w:rsidP="00B84EA1">
      <w:pPr>
        <w:pStyle w:val="ListParagraph"/>
        <w:numPr>
          <w:ilvl w:val="0"/>
          <w:numId w:val="8"/>
        </w:numPr>
        <w:bidi w:val="0"/>
        <w:spacing w:before="100" w:beforeAutospacing="1" w:after="100" w:afterAutospacing="1"/>
        <w:jc w:val="both"/>
        <w:rPr>
          <w:sz w:val="26"/>
          <w:szCs w:val="26"/>
          <w:lang w:eastAsia="en-US"/>
        </w:rPr>
      </w:pPr>
      <w:r w:rsidRPr="00D17B2B">
        <w:rPr>
          <w:sz w:val="26"/>
          <w:szCs w:val="26"/>
          <w:lang w:eastAsia="en-US"/>
        </w:rPr>
        <w:t>An increase in external aid to support the reconstruction of the Gaza Strip, including the inflow of essential in-kind and cash inputs needed to rebuild and restore infrastructure. This also includes the provision of immediate aid to facilitate a gradual recovery of production throughout 2025.</w:t>
      </w:r>
    </w:p>
    <w:p w14:paraId="50AAE007" w14:textId="77777777" w:rsidR="00CB0EB8" w:rsidRPr="00D17B2B" w:rsidRDefault="00CB0EB8" w:rsidP="00B84EA1">
      <w:pPr>
        <w:pStyle w:val="NormalWeb"/>
        <w:numPr>
          <w:ilvl w:val="0"/>
          <w:numId w:val="8"/>
        </w:numPr>
        <w:jc w:val="both"/>
        <w:rPr>
          <w:sz w:val="26"/>
          <w:szCs w:val="26"/>
        </w:rPr>
      </w:pPr>
      <w:r w:rsidRPr="00D17B2B">
        <w:rPr>
          <w:sz w:val="26"/>
          <w:szCs w:val="26"/>
        </w:rPr>
        <w:t xml:space="preserve">Continuation of clearance revenue transfers by the Israeli occupation, using the same methods as prior to the aggression against the Gaza Strip. Additionally, the retransfer of previously deducted and withheld clearance revenues by the Israeli occupation during recent months. This is expected to positively </w:t>
      </w:r>
      <w:proofErr w:type="gramStart"/>
      <w:r w:rsidRPr="00D17B2B">
        <w:rPr>
          <w:sz w:val="26"/>
          <w:szCs w:val="26"/>
        </w:rPr>
        <w:t>impact</w:t>
      </w:r>
      <w:proofErr w:type="gramEnd"/>
      <w:r w:rsidRPr="00D17B2B">
        <w:rPr>
          <w:sz w:val="26"/>
          <w:szCs w:val="26"/>
        </w:rPr>
        <w:t xml:space="preserve"> the government’s ability to meet its obligations to public sector employees and private sector suppliers.</w:t>
      </w:r>
    </w:p>
    <w:p w14:paraId="716B752B" w14:textId="77777777" w:rsidR="00CB0EB8" w:rsidRPr="00D17B2B" w:rsidRDefault="00CB0EB8" w:rsidP="00B84EA1">
      <w:pPr>
        <w:pStyle w:val="NormalWeb"/>
        <w:numPr>
          <w:ilvl w:val="0"/>
          <w:numId w:val="8"/>
        </w:numPr>
        <w:jc w:val="both"/>
        <w:rPr>
          <w:sz w:val="26"/>
          <w:szCs w:val="26"/>
        </w:rPr>
      </w:pPr>
      <w:r w:rsidRPr="00D17B2B">
        <w:rPr>
          <w:sz w:val="26"/>
          <w:szCs w:val="26"/>
        </w:rPr>
        <w:t>An increase in banking sector profits driven by a rise in credit facilities resulting from an improved economic situation.</w:t>
      </w:r>
    </w:p>
    <w:p w14:paraId="1A4F7278" w14:textId="302F721C" w:rsidR="00CB0EB8" w:rsidRPr="00D17B2B" w:rsidRDefault="00CB0EB8" w:rsidP="00B84EA1">
      <w:pPr>
        <w:pStyle w:val="NormalWeb"/>
        <w:numPr>
          <w:ilvl w:val="0"/>
          <w:numId w:val="8"/>
        </w:numPr>
        <w:jc w:val="both"/>
        <w:rPr>
          <w:sz w:val="26"/>
          <w:szCs w:val="26"/>
        </w:rPr>
      </w:pPr>
      <w:r w:rsidRPr="00D17B2B">
        <w:rPr>
          <w:sz w:val="26"/>
          <w:szCs w:val="26"/>
        </w:rPr>
        <w:t>A gradual rise in income and value-added tax revenues (both local and clearance) as economic conditions and reconstruction efforts improve, contributing to the recovery of the Palestinian economy.</w:t>
      </w:r>
    </w:p>
    <w:p w14:paraId="74E727AD" w14:textId="7C786FCD" w:rsidR="00CB0EB8" w:rsidRPr="00D17B2B" w:rsidRDefault="00CB0EB8" w:rsidP="00B84EA1">
      <w:pPr>
        <w:pStyle w:val="NormalWeb"/>
        <w:numPr>
          <w:ilvl w:val="0"/>
          <w:numId w:val="8"/>
        </w:numPr>
        <w:jc w:val="both"/>
        <w:rPr>
          <w:sz w:val="26"/>
          <w:szCs w:val="26"/>
        </w:rPr>
      </w:pPr>
      <w:r w:rsidRPr="00D17B2B">
        <w:rPr>
          <w:sz w:val="26"/>
          <w:szCs w:val="26"/>
        </w:rPr>
        <w:t xml:space="preserve">A breakthrough in the political situation in the Gaza Strip, marked by the formulation of an agreement to end the Israeli occupation's aggression. This will </w:t>
      </w:r>
      <w:r w:rsidRPr="00D17B2B">
        <w:rPr>
          <w:sz w:val="26"/>
          <w:szCs w:val="26"/>
        </w:rPr>
        <w:lastRenderedPageBreak/>
        <w:t xml:space="preserve">enable the gradual return of essential relief, health, and </w:t>
      </w:r>
      <w:proofErr w:type="gramStart"/>
      <w:r w:rsidRPr="00D17B2B">
        <w:rPr>
          <w:sz w:val="26"/>
          <w:szCs w:val="26"/>
        </w:rPr>
        <w:t>basic necessities</w:t>
      </w:r>
      <w:proofErr w:type="gramEnd"/>
      <w:r w:rsidRPr="00D17B2B">
        <w:rPr>
          <w:sz w:val="26"/>
          <w:szCs w:val="26"/>
        </w:rPr>
        <w:t xml:space="preserve"> to the Gaza Strip.</w:t>
      </w:r>
    </w:p>
    <w:p w14:paraId="6BAEE2A3" w14:textId="77777777" w:rsidR="00A42B9F" w:rsidRPr="00D17B2B" w:rsidRDefault="00A42B9F" w:rsidP="00194D5F">
      <w:pPr>
        <w:pStyle w:val="ListParagraph"/>
        <w:bidi w:val="0"/>
        <w:jc w:val="both"/>
        <w:rPr>
          <w:sz w:val="26"/>
          <w:szCs w:val="26"/>
          <w:rtl/>
        </w:rPr>
      </w:pPr>
    </w:p>
    <w:p w14:paraId="0BF366AE" w14:textId="77777777" w:rsidR="00B84EA1" w:rsidRPr="00D17B2B" w:rsidRDefault="00D347B6" w:rsidP="00B84EA1">
      <w:pPr>
        <w:bidi w:val="0"/>
        <w:jc w:val="both"/>
        <w:rPr>
          <w:b/>
          <w:bCs/>
          <w:sz w:val="28"/>
          <w:szCs w:val="28"/>
        </w:rPr>
      </w:pPr>
      <w:r w:rsidRPr="00D17B2B">
        <w:rPr>
          <w:b/>
          <w:bCs/>
          <w:sz w:val="28"/>
          <w:szCs w:val="28"/>
        </w:rPr>
        <w:t>Recovery and Reconstruction Scenario Expectation:</w:t>
      </w:r>
    </w:p>
    <w:p w14:paraId="65266176" w14:textId="6A834E75" w:rsidR="00B84EA1" w:rsidRPr="00D17B2B" w:rsidRDefault="00B84EA1" w:rsidP="00B84EA1">
      <w:pPr>
        <w:bidi w:val="0"/>
        <w:jc w:val="both"/>
        <w:rPr>
          <w:sz w:val="26"/>
          <w:szCs w:val="26"/>
        </w:rPr>
      </w:pPr>
      <w:r w:rsidRPr="00D17B2B">
        <w:rPr>
          <w:sz w:val="26"/>
          <w:szCs w:val="26"/>
        </w:rPr>
        <w:t xml:space="preserve">Based on this scenario, GDP </w:t>
      </w:r>
      <w:proofErr w:type="gramStart"/>
      <w:r w:rsidRPr="00D17B2B">
        <w:rPr>
          <w:sz w:val="26"/>
          <w:szCs w:val="26"/>
        </w:rPr>
        <w:t>is expected</w:t>
      </w:r>
      <w:proofErr w:type="gramEnd"/>
      <w:r w:rsidRPr="00D17B2B">
        <w:rPr>
          <w:sz w:val="26"/>
          <w:szCs w:val="26"/>
        </w:rPr>
        <w:t xml:space="preserve"> to increase by 19.6% in 2025 compared to 2024, resulting in a 16.9% increase in per capita GDP. Additionally, gross consumption (both private and public) </w:t>
      </w:r>
      <w:proofErr w:type="gramStart"/>
      <w:r w:rsidRPr="00D17B2B">
        <w:rPr>
          <w:sz w:val="26"/>
          <w:szCs w:val="26"/>
        </w:rPr>
        <w:t>is anticipated</w:t>
      </w:r>
      <w:proofErr w:type="gramEnd"/>
      <w:r w:rsidRPr="00D17B2B">
        <w:rPr>
          <w:sz w:val="26"/>
          <w:szCs w:val="26"/>
        </w:rPr>
        <w:t xml:space="preserve"> to rise by 24.6% compared to 2024.</w:t>
      </w:r>
    </w:p>
    <w:p w14:paraId="4A65DE68" w14:textId="77777777" w:rsidR="00B84EA1" w:rsidRPr="00D17B2B" w:rsidRDefault="00B84EA1" w:rsidP="00B84EA1">
      <w:pPr>
        <w:bidi w:val="0"/>
        <w:jc w:val="both"/>
        <w:rPr>
          <w:b/>
          <w:bCs/>
          <w:sz w:val="26"/>
          <w:szCs w:val="26"/>
        </w:rPr>
      </w:pPr>
    </w:p>
    <w:p w14:paraId="5954657B" w14:textId="25BF283E" w:rsidR="00B84EA1" w:rsidRPr="00D17B2B" w:rsidRDefault="00B84EA1" w:rsidP="00B84EA1">
      <w:pPr>
        <w:bidi w:val="0"/>
        <w:jc w:val="both"/>
        <w:rPr>
          <w:sz w:val="26"/>
          <w:szCs w:val="26"/>
        </w:rPr>
      </w:pPr>
      <w:r w:rsidRPr="00D17B2B">
        <w:rPr>
          <w:sz w:val="26"/>
          <w:szCs w:val="26"/>
        </w:rPr>
        <w:t xml:space="preserve">At the level of economic activities, the value added of construction activities </w:t>
      </w:r>
      <w:proofErr w:type="gramStart"/>
      <w:r w:rsidRPr="00D17B2B">
        <w:rPr>
          <w:sz w:val="26"/>
          <w:szCs w:val="26"/>
        </w:rPr>
        <w:t>is projected</w:t>
      </w:r>
      <w:proofErr w:type="gramEnd"/>
      <w:r w:rsidRPr="00D17B2B">
        <w:rPr>
          <w:sz w:val="26"/>
          <w:szCs w:val="26"/>
        </w:rPr>
        <w:t xml:space="preserve"> to grow by 74.2%, agricultural activities by 58.0%, services activities by 7.7%, and industrial activities by 1.9% in 2025 compared to 2024.</w:t>
      </w:r>
    </w:p>
    <w:p w14:paraId="3177AA7E" w14:textId="77777777" w:rsidR="00B84EA1" w:rsidRPr="00D17B2B" w:rsidRDefault="00B84EA1" w:rsidP="00B84EA1">
      <w:pPr>
        <w:bidi w:val="0"/>
        <w:jc w:val="both"/>
        <w:rPr>
          <w:sz w:val="26"/>
          <w:szCs w:val="26"/>
        </w:rPr>
      </w:pPr>
    </w:p>
    <w:p w14:paraId="53F867AF" w14:textId="7226906B" w:rsidR="004E0569" w:rsidRPr="00D17B2B" w:rsidRDefault="004E0569" w:rsidP="00194D5F">
      <w:pPr>
        <w:bidi w:val="0"/>
        <w:jc w:val="both"/>
        <w:rPr>
          <w:sz w:val="26"/>
          <w:szCs w:val="26"/>
        </w:rPr>
      </w:pPr>
      <w:r w:rsidRPr="00D17B2B">
        <w:rPr>
          <w:b/>
          <w:bCs/>
          <w:sz w:val="26"/>
          <w:szCs w:val="26"/>
        </w:rPr>
        <w:t>Work and Workers:</w:t>
      </w:r>
      <w:r w:rsidRPr="00D17B2B">
        <w:rPr>
          <w:sz w:val="26"/>
          <w:szCs w:val="26"/>
        </w:rPr>
        <w:t xml:space="preserve"> The unemployment rate </w:t>
      </w:r>
      <w:proofErr w:type="gramStart"/>
      <w:r w:rsidRPr="00D17B2B">
        <w:rPr>
          <w:sz w:val="26"/>
          <w:szCs w:val="26"/>
        </w:rPr>
        <w:t>is expected</w:t>
      </w:r>
      <w:proofErr w:type="gramEnd"/>
      <w:r w:rsidRPr="00D17B2B">
        <w:rPr>
          <w:sz w:val="26"/>
          <w:szCs w:val="26"/>
        </w:rPr>
        <w:t xml:space="preserve"> to decline to reach 43.3% during 2025 compared to 51.2% during 2024.</w:t>
      </w:r>
    </w:p>
    <w:p w14:paraId="4C7F406C" w14:textId="65022AD2" w:rsidR="009A2441" w:rsidRPr="00D17B2B" w:rsidRDefault="009A2441" w:rsidP="009A2441">
      <w:pPr>
        <w:bidi w:val="0"/>
        <w:jc w:val="both"/>
        <w:rPr>
          <w:sz w:val="26"/>
          <w:szCs w:val="26"/>
        </w:rPr>
      </w:pPr>
    </w:p>
    <w:p w14:paraId="78FD4B9D" w14:textId="393DB7F4" w:rsidR="00743B3E" w:rsidRPr="00D17B2B" w:rsidRDefault="00743B3E" w:rsidP="00194D5F">
      <w:pPr>
        <w:bidi w:val="0"/>
        <w:rPr>
          <w:b/>
          <w:bCs/>
          <w:sz w:val="28"/>
          <w:szCs w:val="28"/>
          <w:rtl/>
        </w:rPr>
      </w:pPr>
      <w:r w:rsidRPr="00D17B2B">
        <w:rPr>
          <w:b/>
          <w:bCs/>
          <w:sz w:val="28"/>
          <w:szCs w:val="28"/>
        </w:rPr>
        <w:t>Third: The Pessimistic Scenario</w:t>
      </w:r>
    </w:p>
    <w:p w14:paraId="3EEDE483" w14:textId="7951D117" w:rsidR="0067025E" w:rsidRPr="00D17B2B" w:rsidRDefault="00B84EA1" w:rsidP="00B84EA1">
      <w:pPr>
        <w:bidi w:val="0"/>
        <w:ind w:left="71"/>
        <w:jc w:val="both"/>
        <w:rPr>
          <w:b/>
          <w:bCs/>
          <w:sz w:val="26"/>
          <w:szCs w:val="26"/>
          <w:rtl/>
        </w:rPr>
      </w:pPr>
      <w:r w:rsidRPr="00D17B2B">
        <w:rPr>
          <w:b/>
          <w:bCs/>
          <w:sz w:val="26"/>
          <w:szCs w:val="26"/>
        </w:rPr>
        <w:t xml:space="preserve">This scenario </w:t>
      </w:r>
      <w:proofErr w:type="gramStart"/>
      <w:r w:rsidRPr="00D17B2B">
        <w:rPr>
          <w:b/>
          <w:bCs/>
          <w:sz w:val="26"/>
          <w:szCs w:val="26"/>
        </w:rPr>
        <w:t>is based</w:t>
      </w:r>
      <w:proofErr w:type="gramEnd"/>
      <w:r w:rsidRPr="00D17B2B">
        <w:rPr>
          <w:b/>
          <w:bCs/>
          <w:sz w:val="26"/>
          <w:szCs w:val="26"/>
        </w:rPr>
        <w:t xml:space="preserve"> on a further deterioration of the political and economic situation in the State of Palestine, along with the continuation of Israeli aggression against the Gaza Strip and the West Bank until the end of 2025. The features of this scenario </w:t>
      </w:r>
      <w:proofErr w:type="gramStart"/>
      <w:r w:rsidRPr="00D17B2B">
        <w:rPr>
          <w:b/>
          <w:bCs/>
          <w:sz w:val="26"/>
          <w:szCs w:val="26"/>
        </w:rPr>
        <w:t>are based</w:t>
      </w:r>
      <w:proofErr w:type="gramEnd"/>
      <w:r w:rsidRPr="00D17B2B">
        <w:rPr>
          <w:b/>
          <w:bCs/>
          <w:sz w:val="26"/>
          <w:szCs w:val="26"/>
        </w:rPr>
        <w:t xml:space="preserve"> on a range of assumptions, including:</w:t>
      </w:r>
    </w:p>
    <w:p w14:paraId="39EE16F5" w14:textId="3A0F54F8" w:rsidR="0067025E" w:rsidRPr="00D17B2B" w:rsidRDefault="0067025E" w:rsidP="00194D5F">
      <w:pPr>
        <w:bidi w:val="0"/>
        <w:jc w:val="both"/>
        <w:rPr>
          <w:b/>
          <w:bCs/>
          <w:sz w:val="26"/>
          <w:szCs w:val="26"/>
          <w:rtl/>
          <w:lang w:val="fr-CH"/>
        </w:rPr>
      </w:pPr>
    </w:p>
    <w:p w14:paraId="107C5839" w14:textId="65509091" w:rsidR="00B84EA1" w:rsidRPr="00D17B2B" w:rsidRDefault="00B84EA1" w:rsidP="00194D5F">
      <w:pPr>
        <w:pStyle w:val="ListParagraph"/>
        <w:numPr>
          <w:ilvl w:val="0"/>
          <w:numId w:val="6"/>
        </w:numPr>
        <w:bidi w:val="0"/>
        <w:jc w:val="both"/>
        <w:rPr>
          <w:sz w:val="26"/>
          <w:szCs w:val="26"/>
        </w:rPr>
      </w:pPr>
      <w:r w:rsidRPr="00D17B2B">
        <w:rPr>
          <w:sz w:val="26"/>
          <w:szCs w:val="26"/>
        </w:rPr>
        <w:t xml:space="preserve">Imposing further closures and restrictions by the Israeli occupation on the movement of individuals and goods between the governorates of the West Bank and Gaza Strip, including the near-complete closure of crossings. Work permits for workers in Israel and Israeli settlements are </w:t>
      </w:r>
      <w:proofErr w:type="gramStart"/>
      <w:r w:rsidRPr="00D17B2B">
        <w:rPr>
          <w:sz w:val="26"/>
          <w:szCs w:val="26"/>
        </w:rPr>
        <w:t>suspended,</w:t>
      </w:r>
      <w:proofErr w:type="gramEnd"/>
      <w:r w:rsidRPr="00D17B2B">
        <w:rPr>
          <w:sz w:val="26"/>
          <w:szCs w:val="26"/>
        </w:rPr>
        <w:t xml:space="preserve"> and Israeli invasions of West Bank governorates result in the destruction of infrastructure, including water, electricity, and telecommunications lines. This destruction interrupts the educational process at all levels and causes the closure of an increasing number of economic establishments.</w:t>
      </w:r>
    </w:p>
    <w:p w14:paraId="5EC6E75C" w14:textId="585C4E38" w:rsidR="00B84EA1" w:rsidRPr="00D17B2B" w:rsidRDefault="00B84EA1" w:rsidP="00B84EA1">
      <w:pPr>
        <w:pStyle w:val="ListParagraph"/>
        <w:numPr>
          <w:ilvl w:val="0"/>
          <w:numId w:val="6"/>
        </w:numPr>
        <w:bidi w:val="0"/>
        <w:jc w:val="both"/>
        <w:rPr>
          <w:sz w:val="26"/>
          <w:szCs w:val="26"/>
        </w:rPr>
      </w:pPr>
      <w:r w:rsidRPr="00D17B2B">
        <w:rPr>
          <w:sz w:val="26"/>
          <w:szCs w:val="26"/>
        </w:rPr>
        <w:t>The continuation of unjust deductions by the Israeli occupation from the clearance revenues, maintaining the same level as in 2024. This will negatively affect the government’s ability to fulfill its obligations to the public sector and private suppliers.</w:t>
      </w:r>
    </w:p>
    <w:p w14:paraId="2D938026" w14:textId="77777777" w:rsidR="00B84EA1" w:rsidRPr="00D17B2B" w:rsidRDefault="00B84EA1" w:rsidP="00B84EA1">
      <w:pPr>
        <w:pStyle w:val="NormalWeb"/>
        <w:numPr>
          <w:ilvl w:val="0"/>
          <w:numId w:val="6"/>
        </w:numPr>
        <w:rPr>
          <w:sz w:val="26"/>
          <w:szCs w:val="26"/>
        </w:rPr>
      </w:pPr>
      <w:r w:rsidRPr="00D17B2B">
        <w:rPr>
          <w:sz w:val="26"/>
          <w:szCs w:val="26"/>
        </w:rPr>
        <w:t>A significant decrease in income and value-added tax revenues (local and clearance) due to repeated Israeli invasions of Palestinian governorates and the destruction of factory and establishment infrastructure.</w:t>
      </w:r>
    </w:p>
    <w:p w14:paraId="6E7CB90E" w14:textId="77777777" w:rsidR="00B84EA1" w:rsidRPr="00D17B2B" w:rsidRDefault="00B84EA1" w:rsidP="00B84EA1">
      <w:pPr>
        <w:pStyle w:val="ListParagraph"/>
        <w:numPr>
          <w:ilvl w:val="0"/>
          <w:numId w:val="6"/>
        </w:numPr>
        <w:bidi w:val="0"/>
        <w:jc w:val="both"/>
        <w:rPr>
          <w:sz w:val="26"/>
          <w:szCs w:val="26"/>
        </w:rPr>
      </w:pPr>
      <w:r w:rsidRPr="00D17B2B">
        <w:rPr>
          <w:sz w:val="26"/>
          <w:szCs w:val="26"/>
        </w:rPr>
        <w:t xml:space="preserve">The level of external aid to support the Palestinian budget remains at minimal levels, as it was in 2024, along with a minimal flow of humanitarian aid to the Gaza Strip </w:t>
      </w:r>
    </w:p>
    <w:p w14:paraId="449806E2" w14:textId="77777777" w:rsidR="00B84EA1" w:rsidRPr="00D17B2B" w:rsidRDefault="00B84EA1" w:rsidP="00B84EA1">
      <w:pPr>
        <w:pStyle w:val="ListParagraph"/>
        <w:numPr>
          <w:ilvl w:val="0"/>
          <w:numId w:val="6"/>
        </w:numPr>
        <w:bidi w:val="0"/>
        <w:jc w:val="both"/>
        <w:rPr>
          <w:sz w:val="26"/>
          <w:szCs w:val="26"/>
        </w:rPr>
      </w:pPr>
      <w:r w:rsidRPr="00D17B2B">
        <w:rPr>
          <w:sz w:val="26"/>
          <w:szCs w:val="26"/>
        </w:rPr>
        <w:t>A complete suspension of development projects, along with reduced support for small businesses and microenterprises.</w:t>
      </w:r>
    </w:p>
    <w:p w14:paraId="06CB1441" w14:textId="2BADC62A" w:rsidR="00B84EA1" w:rsidRPr="00D17B2B" w:rsidRDefault="00B84EA1" w:rsidP="00B84EA1">
      <w:pPr>
        <w:pStyle w:val="ListParagraph"/>
        <w:numPr>
          <w:ilvl w:val="0"/>
          <w:numId w:val="6"/>
        </w:numPr>
        <w:bidi w:val="0"/>
        <w:jc w:val="both"/>
        <w:rPr>
          <w:sz w:val="26"/>
          <w:szCs w:val="26"/>
        </w:rPr>
      </w:pPr>
      <w:r w:rsidRPr="00D17B2B">
        <w:rPr>
          <w:sz w:val="26"/>
          <w:szCs w:val="26"/>
        </w:rPr>
        <w:t>The imposition of additional restrictions on the banking sector due to the Israeli occupation’s practices affecting banking relations between the two sides.</w:t>
      </w:r>
    </w:p>
    <w:p w14:paraId="6657FD0C" w14:textId="77777777" w:rsidR="00B84EA1" w:rsidRPr="00D17B2B" w:rsidRDefault="00B84EA1" w:rsidP="00B84EA1">
      <w:pPr>
        <w:bidi w:val="0"/>
        <w:jc w:val="both"/>
        <w:rPr>
          <w:sz w:val="26"/>
          <w:szCs w:val="26"/>
        </w:rPr>
      </w:pPr>
    </w:p>
    <w:p w14:paraId="40D5CC72" w14:textId="27137DA8" w:rsidR="00743B3E" w:rsidRPr="00D17B2B" w:rsidRDefault="00743B3E" w:rsidP="00194D5F">
      <w:pPr>
        <w:bidi w:val="0"/>
        <w:jc w:val="both"/>
        <w:rPr>
          <w:sz w:val="26"/>
          <w:szCs w:val="26"/>
        </w:rPr>
      </w:pPr>
    </w:p>
    <w:p w14:paraId="1B577501" w14:textId="77777777" w:rsidR="00B84EA1" w:rsidRPr="00D17B2B" w:rsidRDefault="00743B3E" w:rsidP="00B84EA1">
      <w:pPr>
        <w:bidi w:val="0"/>
        <w:jc w:val="both"/>
        <w:rPr>
          <w:b/>
          <w:bCs/>
          <w:sz w:val="28"/>
          <w:szCs w:val="28"/>
        </w:rPr>
      </w:pPr>
      <w:r w:rsidRPr="00D17B2B">
        <w:rPr>
          <w:b/>
          <w:bCs/>
          <w:sz w:val="28"/>
          <w:szCs w:val="28"/>
        </w:rPr>
        <w:lastRenderedPageBreak/>
        <w:t>The Pessimistic Scenario Expectations: </w:t>
      </w:r>
    </w:p>
    <w:p w14:paraId="0CF34346" w14:textId="4B905EEB" w:rsidR="00B84EA1" w:rsidRPr="00D17B2B" w:rsidRDefault="00B84EA1" w:rsidP="00B84EA1">
      <w:pPr>
        <w:bidi w:val="0"/>
        <w:jc w:val="both"/>
        <w:rPr>
          <w:sz w:val="26"/>
          <w:szCs w:val="26"/>
        </w:rPr>
      </w:pPr>
      <w:r w:rsidRPr="00D17B2B">
        <w:rPr>
          <w:sz w:val="26"/>
          <w:szCs w:val="26"/>
        </w:rPr>
        <w:t xml:space="preserve">Based on this scenario, GDP </w:t>
      </w:r>
      <w:proofErr w:type="gramStart"/>
      <w:r w:rsidRPr="00D17B2B">
        <w:rPr>
          <w:sz w:val="26"/>
          <w:szCs w:val="26"/>
        </w:rPr>
        <w:t>is expected</w:t>
      </w:r>
      <w:proofErr w:type="gramEnd"/>
      <w:r w:rsidRPr="00D17B2B">
        <w:rPr>
          <w:sz w:val="26"/>
          <w:szCs w:val="26"/>
        </w:rPr>
        <w:t xml:space="preserve"> to contract by 5.5% in 2025, along with a decrease of 7.6% in per capita GDP. Additionally, gross consumption (private and public) </w:t>
      </w:r>
      <w:proofErr w:type="gramStart"/>
      <w:r w:rsidRPr="00D17B2B">
        <w:rPr>
          <w:sz w:val="26"/>
          <w:szCs w:val="26"/>
        </w:rPr>
        <w:t>is anticipated</w:t>
      </w:r>
      <w:proofErr w:type="gramEnd"/>
      <w:r w:rsidRPr="00D17B2B">
        <w:rPr>
          <w:sz w:val="26"/>
          <w:szCs w:val="26"/>
        </w:rPr>
        <w:t xml:space="preserve"> to rise by 1.2% compared to 2024.</w:t>
      </w:r>
    </w:p>
    <w:p w14:paraId="7C963F60" w14:textId="77777777" w:rsidR="00B84EA1" w:rsidRPr="00D17B2B" w:rsidRDefault="00B84EA1" w:rsidP="00B84EA1">
      <w:pPr>
        <w:bidi w:val="0"/>
        <w:jc w:val="both"/>
        <w:rPr>
          <w:b/>
          <w:bCs/>
          <w:sz w:val="26"/>
          <w:szCs w:val="26"/>
        </w:rPr>
      </w:pPr>
    </w:p>
    <w:p w14:paraId="021A3D78" w14:textId="6B6888BA" w:rsidR="00B84EA1" w:rsidRPr="00D17B2B" w:rsidRDefault="00B84EA1" w:rsidP="00B84EA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09" w:lineRule="atLeast"/>
        <w:jc w:val="lowKashida"/>
        <w:rPr>
          <w:sz w:val="26"/>
          <w:szCs w:val="26"/>
        </w:rPr>
      </w:pPr>
      <w:r w:rsidRPr="00D17B2B">
        <w:rPr>
          <w:sz w:val="26"/>
          <w:szCs w:val="26"/>
        </w:rPr>
        <w:t xml:space="preserve">At the level of economic activities, the value added of construction activities </w:t>
      </w:r>
      <w:proofErr w:type="gramStart"/>
      <w:r w:rsidRPr="00D17B2B">
        <w:rPr>
          <w:sz w:val="26"/>
          <w:szCs w:val="26"/>
        </w:rPr>
        <w:t>is projected</w:t>
      </w:r>
      <w:proofErr w:type="gramEnd"/>
      <w:r w:rsidRPr="00D17B2B">
        <w:rPr>
          <w:sz w:val="26"/>
          <w:szCs w:val="26"/>
        </w:rPr>
        <w:t xml:space="preserve"> to decrease by 21.4%, industrial activities by 14.8%, services activities by 6.6%, and agricultural activities by 5.9% in 2025 compared to 2024.</w:t>
      </w:r>
    </w:p>
    <w:p w14:paraId="6266A942" w14:textId="11A369E6" w:rsidR="002F4604" w:rsidRPr="00D17B2B" w:rsidRDefault="002F4604" w:rsidP="00194D5F">
      <w:pPr>
        <w:bidi w:val="0"/>
        <w:jc w:val="both"/>
        <w:rPr>
          <w:sz w:val="26"/>
          <w:szCs w:val="26"/>
          <w:rtl/>
        </w:rPr>
      </w:pPr>
    </w:p>
    <w:p w14:paraId="6E45A6F5" w14:textId="1C0BE0E8" w:rsidR="00743B3E" w:rsidRPr="00D17B2B" w:rsidRDefault="00743B3E" w:rsidP="00194D5F">
      <w:pPr>
        <w:bidi w:val="0"/>
        <w:jc w:val="both"/>
        <w:rPr>
          <w:sz w:val="26"/>
          <w:szCs w:val="26"/>
        </w:rPr>
      </w:pPr>
      <w:r w:rsidRPr="00D17B2B">
        <w:rPr>
          <w:b/>
          <w:bCs/>
          <w:sz w:val="26"/>
          <w:szCs w:val="26"/>
        </w:rPr>
        <w:t>Work and workers:</w:t>
      </w:r>
      <w:r w:rsidRPr="00D17B2B">
        <w:rPr>
          <w:sz w:val="26"/>
          <w:szCs w:val="26"/>
        </w:rPr>
        <w:t xml:space="preserve"> The unemployment rates </w:t>
      </w:r>
      <w:proofErr w:type="gramStart"/>
      <w:r w:rsidRPr="00D17B2B">
        <w:rPr>
          <w:sz w:val="26"/>
          <w:szCs w:val="26"/>
        </w:rPr>
        <w:t>are expected</w:t>
      </w:r>
      <w:proofErr w:type="gramEnd"/>
      <w:r w:rsidRPr="00D17B2B">
        <w:rPr>
          <w:sz w:val="26"/>
          <w:szCs w:val="26"/>
        </w:rPr>
        <w:t xml:space="preserve"> to exceed 53% in 2025.</w:t>
      </w:r>
    </w:p>
    <w:p w14:paraId="0122F3AD" w14:textId="77777777" w:rsidR="00743B3E" w:rsidRPr="00D17B2B" w:rsidRDefault="00743B3E" w:rsidP="00194D5F">
      <w:pPr>
        <w:bidi w:val="0"/>
        <w:jc w:val="both"/>
        <w:rPr>
          <w:rFonts w:ascii="Simplified Arabic" w:hAnsi="Simplified Arabic" w:cs="Simplified Arabic"/>
          <w:sz w:val="26"/>
          <w:szCs w:val="26"/>
          <w:rtl/>
        </w:rPr>
      </w:pPr>
    </w:p>
    <w:p w14:paraId="09697155" w14:textId="77777777" w:rsidR="00743B3E" w:rsidRPr="00D17B2B" w:rsidRDefault="00743B3E" w:rsidP="00194D5F">
      <w:pPr>
        <w:bidi w:val="0"/>
        <w:jc w:val="both"/>
        <w:rPr>
          <w:rFonts w:ascii="Simplified Arabic" w:hAnsi="Simplified Arabic" w:cs="Simplified Arabic"/>
          <w:sz w:val="26"/>
          <w:szCs w:val="26"/>
          <w:rtl/>
        </w:rPr>
      </w:pPr>
    </w:p>
    <w:p w14:paraId="2F6A08C9" w14:textId="77777777" w:rsidR="003A478E" w:rsidRPr="00D17B2B" w:rsidRDefault="003A478E" w:rsidP="00194D5F">
      <w:pPr>
        <w:bidi w:val="0"/>
        <w:ind w:left="71"/>
        <w:jc w:val="both"/>
        <w:rPr>
          <w:rFonts w:cs="Simplified Arabic"/>
          <w:sz w:val="26"/>
          <w:szCs w:val="26"/>
          <w:lang w:val="fr-CH"/>
        </w:rPr>
      </w:pPr>
    </w:p>
    <w:p w14:paraId="11DFD52A" w14:textId="77777777" w:rsidR="003A478E" w:rsidRPr="001F668E" w:rsidRDefault="003A478E" w:rsidP="00194D5F">
      <w:pPr>
        <w:bidi w:val="0"/>
        <w:ind w:left="71"/>
        <w:jc w:val="both"/>
        <w:rPr>
          <w:rFonts w:cs="Simplified Arabic"/>
          <w:lang w:val="fr-CH"/>
        </w:rPr>
      </w:pPr>
    </w:p>
    <w:p w14:paraId="530161CB" w14:textId="77777777" w:rsidR="003A478E" w:rsidRPr="001F668E" w:rsidRDefault="003A478E" w:rsidP="00194D5F">
      <w:pPr>
        <w:bidi w:val="0"/>
        <w:ind w:left="71"/>
        <w:jc w:val="both"/>
        <w:rPr>
          <w:rFonts w:cs="Simplified Arabic"/>
          <w:lang w:val="fr-CH"/>
        </w:rPr>
      </w:pPr>
    </w:p>
    <w:p w14:paraId="77118D69" w14:textId="77777777" w:rsidR="003A478E" w:rsidRPr="001F668E" w:rsidRDefault="003A478E" w:rsidP="00194D5F">
      <w:pPr>
        <w:bidi w:val="0"/>
        <w:ind w:left="71"/>
        <w:jc w:val="both"/>
        <w:rPr>
          <w:rFonts w:cs="Simplified Arabic"/>
          <w:lang w:val="fr-CH"/>
        </w:rPr>
      </w:pPr>
    </w:p>
    <w:p w14:paraId="776AE370" w14:textId="77777777" w:rsidR="003A478E" w:rsidRPr="001F668E" w:rsidRDefault="003A478E" w:rsidP="00194D5F">
      <w:pPr>
        <w:bidi w:val="0"/>
        <w:ind w:left="71"/>
        <w:jc w:val="both"/>
        <w:rPr>
          <w:rFonts w:cs="Simplified Arabic"/>
          <w:lang w:val="fr-CH"/>
        </w:rPr>
      </w:pPr>
    </w:p>
    <w:p w14:paraId="0B108DC0" w14:textId="77777777" w:rsidR="003A478E" w:rsidRPr="001F668E" w:rsidRDefault="003A478E" w:rsidP="00194D5F">
      <w:pPr>
        <w:bidi w:val="0"/>
        <w:ind w:left="71"/>
        <w:jc w:val="both"/>
        <w:rPr>
          <w:rFonts w:cs="Simplified Arabic"/>
          <w:lang w:val="fr-CH"/>
        </w:rPr>
      </w:pPr>
    </w:p>
    <w:p w14:paraId="151AC410" w14:textId="77777777" w:rsidR="003A478E" w:rsidRPr="001F668E" w:rsidRDefault="003A478E" w:rsidP="00194D5F">
      <w:pPr>
        <w:bidi w:val="0"/>
        <w:ind w:left="71"/>
        <w:jc w:val="both"/>
        <w:rPr>
          <w:rFonts w:cs="Simplified Arabic"/>
          <w:lang w:val="fr-CH"/>
        </w:rPr>
      </w:pPr>
    </w:p>
    <w:p w14:paraId="3EE04DF7" w14:textId="77777777" w:rsidR="003A478E" w:rsidRPr="001F668E" w:rsidRDefault="003A478E" w:rsidP="00194D5F">
      <w:pPr>
        <w:bidi w:val="0"/>
        <w:ind w:left="71"/>
        <w:jc w:val="both"/>
        <w:rPr>
          <w:rFonts w:cs="Simplified Arabic"/>
          <w:lang w:val="fr-CH"/>
        </w:rPr>
      </w:pPr>
    </w:p>
    <w:sectPr w:rsidR="003A478E" w:rsidRPr="001F668E" w:rsidSect="00DF5E7B">
      <w:headerReference w:type="default" r:id="rId12"/>
      <w:footerReference w:type="even" r:id="rId13"/>
      <w:footerReference w:type="default" r:id="rId14"/>
      <w:pgSz w:w="11906" w:h="16838"/>
      <w:pgMar w:top="1418"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B70C6" w14:textId="77777777" w:rsidR="00B95DBD" w:rsidRDefault="00B95DBD">
      <w:r>
        <w:separator/>
      </w:r>
    </w:p>
  </w:endnote>
  <w:endnote w:type="continuationSeparator" w:id="0">
    <w:p w14:paraId="032A9A74" w14:textId="77777777" w:rsidR="00B95DBD" w:rsidRDefault="00B9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B832" w14:textId="77777777" w:rsidR="00EF779D" w:rsidRDefault="005238C6">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14:paraId="080F2332" w14:textId="77777777" w:rsidR="00EF779D" w:rsidRDefault="00EF779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3F5C" w14:textId="18CD661A" w:rsidR="00EF779D" w:rsidRDefault="005238C6">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D17B2B">
      <w:rPr>
        <w:rStyle w:val="PageNumber"/>
        <w:noProof/>
        <w:rtl/>
      </w:rPr>
      <w:t>5</w:t>
    </w:r>
    <w:r>
      <w:rPr>
        <w:rStyle w:val="PageNumber"/>
        <w:rtl/>
      </w:rPr>
      <w:fldChar w:fldCharType="end"/>
    </w:r>
  </w:p>
  <w:p w14:paraId="44D360F2" w14:textId="77777777" w:rsidR="00EF779D" w:rsidRDefault="00EF779D">
    <w:pPr>
      <w:pStyle w:val="Footer"/>
      <w:framePr w:wrap="around" w:vAnchor="text" w:hAnchor="margin" w:xAlign="center" w:y="1"/>
      <w:rPr>
        <w:rStyle w:val="PageNumber"/>
        <w:rtl/>
      </w:rPr>
    </w:pPr>
  </w:p>
  <w:p w14:paraId="7C3B0A6A" w14:textId="77777777" w:rsidR="00EF779D" w:rsidRDefault="00EF779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3DB9F" w14:textId="77777777" w:rsidR="00B95DBD" w:rsidRDefault="00B95DBD">
      <w:r>
        <w:separator/>
      </w:r>
    </w:p>
  </w:footnote>
  <w:footnote w:type="continuationSeparator" w:id="0">
    <w:p w14:paraId="0C49ACA3" w14:textId="77777777" w:rsidR="00B95DBD" w:rsidRDefault="00B95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F54C2" w14:textId="5F28F56C" w:rsidR="006C15E4" w:rsidRPr="00734758" w:rsidRDefault="006C15E4" w:rsidP="00734758">
    <w:pPr>
      <w:pStyle w:val="Header"/>
      <w:rPr>
        <w:rFonts w:cs="Simplified Arabic" w:hint="cs"/>
        <w:sz w:val="18"/>
        <w:szCs w:val="18"/>
        <w:rtl/>
      </w:rPr>
    </w:pPr>
  </w:p>
  <w:p w14:paraId="15333A5F" w14:textId="77777777" w:rsidR="00EF779D" w:rsidRPr="003B34D5" w:rsidRDefault="00EF779D" w:rsidP="003B34D5">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64D5"/>
    <w:multiLevelType w:val="hybridMultilevel"/>
    <w:tmpl w:val="400208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7C98"/>
    <w:multiLevelType w:val="hybridMultilevel"/>
    <w:tmpl w:val="3CBA3C16"/>
    <w:lvl w:ilvl="0" w:tplc="CD62E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5542D"/>
    <w:multiLevelType w:val="hybridMultilevel"/>
    <w:tmpl w:val="19AE91D4"/>
    <w:lvl w:ilvl="0" w:tplc="CCB6F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17A9A"/>
    <w:multiLevelType w:val="hybridMultilevel"/>
    <w:tmpl w:val="8B8AC522"/>
    <w:lvl w:ilvl="0" w:tplc="8586D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416EC"/>
    <w:multiLevelType w:val="hybridMultilevel"/>
    <w:tmpl w:val="0F20C0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46471"/>
    <w:multiLevelType w:val="hybridMultilevel"/>
    <w:tmpl w:val="400208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20EC2"/>
    <w:multiLevelType w:val="hybridMultilevel"/>
    <w:tmpl w:val="40020886"/>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7BE1679"/>
    <w:multiLevelType w:val="hybridMultilevel"/>
    <w:tmpl w:val="3CBA3C16"/>
    <w:lvl w:ilvl="0" w:tplc="CD62E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8"/>
  </w:num>
  <w:num w:numId="7">
    <w:abstractNumId w:val="6"/>
  </w:num>
  <w:num w:numId="8">
    <w:abstractNumId w:val="7"/>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ar-SA" w:vendorID="64" w:dllVersion="6" w:nlCheck="1" w:checkStyle="0"/>
  <w:activeWritingStyle w:appName="MSWord" w:lang="ar-JO" w:vendorID="64" w:dllVersion="6" w:nlCheck="1" w:checkStyle="0"/>
  <w:activeWritingStyle w:appName="MSWord" w:lang="en-US" w:vendorID="64" w:dllVersion="6" w:nlCheck="1" w:checkStyle="1"/>
  <w:activeWritingStyle w:appName="MSWord" w:lang="en-US" w:vendorID="64" w:dllVersion="131078" w:nlCheck="1" w:checkStyle="0"/>
  <w:activeWritingStyle w:appName="MSWord" w:lang="ar-SA" w:vendorID="64" w:dllVersion="131078" w:nlCheck="1" w:checkStyle="0"/>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EE"/>
    <w:rsid w:val="000016C3"/>
    <w:rsid w:val="000025F6"/>
    <w:rsid w:val="000029E0"/>
    <w:rsid w:val="00003234"/>
    <w:rsid w:val="000032C2"/>
    <w:rsid w:val="00003758"/>
    <w:rsid w:val="00003C5A"/>
    <w:rsid w:val="00004EBE"/>
    <w:rsid w:val="000062CB"/>
    <w:rsid w:val="00006393"/>
    <w:rsid w:val="0000683C"/>
    <w:rsid w:val="00006B0D"/>
    <w:rsid w:val="00006D99"/>
    <w:rsid w:val="00010EE8"/>
    <w:rsid w:val="000111FB"/>
    <w:rsid w:val="00011403"/>
    <w:rsid w:val="00011BF2"/>
    <w:rsid w:val="0001220E"/>
    <w:rsid w:val="00012A8E"/>
    <w:rsid w:val="000131C2"/>
    <w:rsid w:val="00013714"/>
    <w:rsid w:val="00013731"/>
    <w:rsid w:val="00013B07"/>
    <w:rsid w:val="00014CBC"/>
    <w:rsid w:val="000152D0"/>
    <w:rsid w:val="00015497"/>
    <w:rsid w:val="00015CB6"/>
    <w:rsid w:val="00017585"/>
    <w:rsid w:val="00017BBE"/>
    <w:rsid w:val="00020672"/>
    <w:rsid w:val="00020CB1"/>
    <w:rsid w:val="000214B1"/>
    <w:rsid w:val="00021CA9"/>
    <w:rsid w:val="0002232F"/>
    <w:rsid w:val="000235FD"/>
    <w:rsid w:val="00023956"/>
    <w:rsid w:val="000242DA"/>
    <w:rsid w:val="00025413"/>
    <w:rsid w:val="00025539"/>
    <w:rsid w:val="00026736"/>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40C4C"/>
    <w:rsid w:val="00040D25"/>
    <w:rsid w:val="00042336"/>
    <w:rsid w:val="00042B02"/>
    <w:rsid w:val="00043A12"/>
    <w:rsid w:val="00043C12"/>
    <w:rsid w:val="0004417D"/>
    <w:rsid w:val="00044A39"/>
    <w:rsid w:val="00044CAB"/>
    <w:rsid w:val="000452C8"/>
    <w:rsid w:val="00045833"/>
    <w:rsid w:val="00045AE3"/>
    <w:rsid w:val="0004665E"/>
    <w:rsid w:val="000468B6"/>
    <w:rsid w:val="00046A9D"/>
    <w:rsid w:val="00046B78"/>
    <w:rsid w:val="00046DAC"/>
    <w:rsid w:val="00051926"/>
    <w:rsid w:val="00051C6B"/>
    <w:rsid w:val="00052012"/>
    <w:rsid w:val="000520A9"/>
    <w:rsid w:val="00052A7D"/>
    <w:rsid w:val="00054413"/>
    <w:rsid w:val="000545A4"/>
    <w:rsid w:val="00054992"/>
    <w:rsid w:val="0005544E"/>
    <w:rsid w:val="00055506"/>
    <w:rsid w:val="00055EEF"/>
    <w:rsid w:val="00055F4A"/>
    <w:rsid w:val="00056D45"/>
    <w:rsid w:val="00056E18"/>
    <w:rsid w:val="000571BC"/>
    <w:rsid w:val="0005779E"/>
    <w:rsid w:val="00057BB9"/>
    <w:rsid w:val="00061451"/>
    <w:rsid w:val="000616D3"/>
    <w:rsid w:val="00061750"/>
    <w:rsid w:val="00061BD2"/>
    <w:rsid w:val="00061C82"/>
    <w:rsid w:val="00063D31"/>
    <w:rsid w:val="00063F48"/>
    <w:rsid w:val="0006476D"/>
    <w:rsid w:val="000649EA"/>
    <w:rsid w:val="00064CEB"/>
    <w:rsid w:val="00065A13"/>
    <w:rsid w:val="00065B9A"/>
    <w:rsid w:val="00065ED4"/>
    <w:rsid w:val="000673DE"/>
    <w:rsid w:val="00067616"/>
    <w:rsid w:val="00067D3B"/>
    <w:rsid w:val="0007193B"/>
    <w:rsid w:val="00071B7A"/>
    <w:rsid w:val="000721E4"/>
    <w:rsid w:val="00072492"/>
    <w:rsid w:val="0007261F"/>
    <w:rsid w:val="00072639"/>
    <w:rsid w:val="00072C8F"/>
    <w:rsid w:val="00072DF9"/>
    <w:rsid w:val="00072FDA"/>
    <w:rsid w:val="0007388F"/>
    <w:rsid w:val="00073903"/>
    <w:rsid w:val="000742CE"/>
    <w:rsid w:val="000747FE"/>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317F"/>
    <w:rsid w:val="000943BD"/>
    <w:rsid w:val="0009472A"/>
    <w:rsid w:val="00095893"/>
    <w:rsid w:val="0009593F"/>
    <w:rsid w:val="00096464"/>
    <w:rsid w:val="00097863"/>
    <w:rsid w:val="0009791C"/>
    <w:rsid w:val="000A086E"/>
    <w:rsid w:val="000A0995"/>
    <w:rsid w:val="000A0A7F"/>
    <w:rsid w:val="000A0E84"/>
    <w:rsid w:val="000A12B8"/>
    <w:rsid w:val="000A15E0"/>
    <w:rsid w:val="000A1760"/>
    <w:rsid w:val="000A2332"/>
    <w:rsid w:val="000A2ADD"/>
    <w:rsid w:val="000A2EF0"/>
    <w:rsid w:val="000A35B1"/>
    <w:rsid w:val="000A3B0E"/>
    <w:rsid w:val="000A4616"/>
    <w:rsid w:val="000A4B62"/>
    <w:rsid w:val="000A5A95"/>
    <w:rsid w:val="000A5BA2"/>
    <w:rsid w:val="000A679F"/>
    <w:rsid w:val="000A7179"/>
    <w:rsid w:val="000A7986"/>
    <w:rsid w:val="000B0589"/>
    <w:rsid w:val="000B0D14"/>
    <w:rsid w:val="000B1F5F"/>
    <w:rsid w:val="000B229C"/>
    <w:rsid w:val="000B240A"/>
    <w:rsid w:val="000B25C6"/>
    <w:rsid w:val="000B330C"/>
    <w:rsid w:val="000B3543"/>
    <w:rsid w:val="000B36B1"/>
    <w:rsid w:val="000B3B02"/>
    <w:rsid w:val="000B3FA7"/>
    <w:rsid w:val="000B4B3C"/>
    <w:rsid w:val="000B4D6B"/>
    <w:rsid w:val="000B52BE"/>
    <w:rsid w:val="000B6CC8"/>
    <w:rsid w:val="000B6E39"/>
    <w:rsid w:val="000B7238"/>
    <w:rsid w:val="000B7297"/>
    <w:rsid w:val="000B7E18"/>
    <w:rsid w:val="000C0BB9"/>
    <w:rsid w:val="000C1986"/>
    <w:rsid w:val="000C223B"/>
    <w:rsid w:val="000C2636"/>
    <w:rsid w:val="000C32DB"/>
    <w:rsid w:val="000C3562"/>
    <w:rsid w:val="000C4C97"/>
    <w:rsid w:val="000C501B"/>
    <w:rsid w:val="000C5B9F"/>
    <w:rsid w:val="000C67A5"/>
    <w:rsid w:val="000C6B61"/>
    <w:rsid w:val="000D0056"/>
    <w:rsid w:val="000D0843"/>
    <w:rsid w:val="000D198C"/>
    <w:rsid w:val="000D1D31"/>
    <w:rsid w:val="000D1F26"/>
    <w:rsid w:val="000D25EA"/>
    <w:rsid w:val="000D32C0"/>
    <w:rsid w:val="000D567A"/>
    <w:rsid w:val="000D5C3A"/>
    <w:rsid w:val="000D637F"/>
    <w:rsid w:val="000D63BE"/>
    <w:rsid w:val="000D6C53"/>
    <w:rsid w:val="000D7580"/>
    <w:rsid w:val="000D75D2"/>
    <w:rsid w:val="000D797C"/>
    <w:rsid w:val="000E0BDD"/>
    <w:rsid w:val="000E10AC"/>
    <w:rsid w:val="000E11F7"/>
    <w:rsid w:val="000E1750"/>
    <w:rsid w:val="000E2710"/>
    <w:rsid w:val="000E2C93"/>
    <w:rsid w:val="000E3661"/>
    <w:rsid w:val="000E4045"/>
    <w:rsid w:val="000E4153"/>
    <w:rsid w:val="000E4A96"/>
    <w:rsid w:val="000E4C66"/>
    <w:rsid w:val="000E4DE5"/>
    <w:rsid w:val="000E5446"/>
    <w:rsid w:val="000F0624"/>
    <w:rsid w:val="000F0791"/>
    <w:rsid w:val="000F2B6D"/>
    <w:rsid w:val="000F2C19"/>
    <w:rsid w:val="000F2F6B"/>
    <w:rsid w:val="000F313C"/>
    <w:rsid w:val="000F3933"/>
    <w:rsid w:val="000F3947"/>
    <w:rsid w:val="000F3F8F"/>
    <w:rsid w:val="000F485B"/>
    <w:rsid w:val="000F48BF"/>
    <w:rsid w:val="000F5CD6"/>
    <w:rsid w:val="000F6B62"/>
    <w:rsid w:val="000F739C"/>
    <w:rsid w:val="000F7998"/>
    <w:rsid w:val="000F79E7"/>
    <w:rsid w:val="000F7D78"/>
    <w:rsid w:val="000F7F22"/>
    <w:rsid w:val="00101EF1"/>
    <w:rsid w:val="001021B8"/>
    <w:rsid w:val="00103148"/>
    <w:rsid w:val="0010320B"/>
    <w:rsid w:val="0010431D"/>
    <w:rsid w:val="0010461A"/>
    <w:rsid w:val="0010473F"/>
    <w:rsid w:val="00104A74"/>
    <w:rsid w:val="00106D72"/>
    <w:rsid w:val="001101C4"/>
    <w:rsid w:val="001104DD"/>
    <w:rsid w:val="00110BAB"/>
    <w:rsid w:val="00112BF2"/>
    <w:rsid w:val="001131CE"/>
    <w:rsid w:val="00113259"/>
    <w:rsid w:val="00113560"/>
    <w:rsid w:val="00114017"/>
    <w:rsid w:val="00114032"/>
    <w:rsid w:val="00114ADF"/>
    <w:rsid w:val="001162FC"/>
    <w:rsid w:val="0011645A"/>
    <w:rsid w:val="00117115"/>
    <w:rsid w:val="0011769C"/>
    <w:rsid w:val="00117A8D"/>
    <w:rsid w:val="00117D76"/>
    <w:rsid w:val="00117DB3"/>
    <w:rsid w:val="00120007"/>
    <w:rsid w:val="00121464"/>
    <w:rsid w:val="00121C35"/>
    <w:rsid w:val="00121C80"/>
    <w:rsid w:val="00121FE8"/>
    <w:rsid w:val="001226FA"/>
    <w:rsid w:val="00122D9D"/>
    <w:rsid w:val="00122F78"/>
    <w:rsid w:val="001236CF"/>
    <w:rsid w:val="00123BA9"/>
    <w:rsid w:val="00124AC3"/>
    <w:rsid w:val="00125DDE"/>
    <w:rsid w:val="00126B52"/>
    <w:rsid w:val="0012742E"/>
    <w:rsid w:val="001278BE"/>
    <w:rsid w:val="00127E98"/>
    <w:rsid w:val="001310D1"/>
    <w:rsid w:val="00131263"/>
    <w:rsid w:val="00131671"/>
    <w:rsid w:val="001324C2"/>
    <w:rsid w:val="00132815"/>
    <w:rsid w:val="001328DD"/>
    <w:rsid w:val="00132BB3"/>
    <w:rsid w:val="00132CCF"/>
    <w:rsid w:val="00133D34"/>
    <w:rsid w:val="001342C0"/>
    <w:rsid w:val="00134389"/>
    <w:rsid w:val="00134915"/>
    <w:rsid w:val="00135541"/>
    <w:rsid w:val="00135820"/>
    <w:rsid w:val="00135ADD"/>
    <w:rsid w:val="00136762"/>
    <w:rsid w:val="00136B0A"/>
    <w:rsid w:val="00140645"/>
    <w:rsid w:val="00141128"/>
    <w:rsid w:val="001415A2"/>
    <w:rsid w:val="00142061"/>
    <w:rsid w:val="001422DC"/>
    <w:rsid w:val="00142F43"/>
    <w:rsid w:val="00142FED"/>
    <w:rsid w:val="00143168"/>
    <w:rsid w:val="0014379B"/>
    <w:rsid w:val="00143A1E"/>
    <w:rsid w:val="001445B4"/>
    <w:rsid w:val="00144772"/>
    <w:rsid w:val="001447DB"/>
    <w:rsid w:val="00145ED2"/>
    <w:rsid w:val="001478A9"/>
    <w:rsid w:val="00147F32"/>
    <w:rsid w:val="001503F2"/>
    <w:rsid w:val="001505AB"/>
    <w:rsid w:val="0015085C"/>
    <w:rsid w:val="00150D7B"/>
    <w:rsid w:val="00150D88"/>
    <w:rsid w:val="0015102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1575"/>
    <w:rsid w:val="00172174"/>
    <w:rsid w:val="001721EE"/>
    <w:rsid w:val="00172306"/>
    <w:rsid w:val="001723C5"/>
    <w:rsid w:val="00172A37"/>
    <w:rsid w:val="00172AD1"/>
    <w:rsid w:val="00172E99"/>
    <w:rsid w:val="0017323E"/>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938"/>
    <w:rsid w:val="00181F8F"/>
    <w:rsid w:val="00182829"/>
    <w:rsid w:val="00182D68"/>
    <w:rsid w:val="00182F72"/>
    <w:rsid w:val="00183262"/>
    <w:rsid w:val="001836F2"/>
    <w:rsid w:val="0018452B"/>
    <w:rsid w:val="001849DE"/>
    <w:rsid w:val="00184B0A"/>
    <w:rsid w:val="00184F4B"/>
    <w:rsid w:val="00185EFA"/>
    <w:rsid w:val="00187B01"/>
    <w:rsid w:val="001909B4"/>
    <w:rsid w:val="00190DA4"/>
    <w:rsid w:val="00192AD3"/>
    <w:rsid w:val="00192CEC"/>
    <w:rsid w:val="0019325D"/>
    <w:rsid w:val="00193B3E"/>
    <w:rsid w:val="00193E5F"/>
    <w:rsid w:val="00193EDA"/>
    <w:rsid w:val="00193F57"/>
    <w:rsid w:val="0019453A"/>
    <w:rsid w:val="00194605"/>
    <w:rsid w:val="00194D5F"/>
    <w:rsid w:val="00195968"/>
    <w:rsid w:val="00197187"/>
    <w:rsid w:val="001979A2"/>
    <w:rsid w:val="001A010E"/>
    <w:rsid w:val="001A201A"/>
    <w:rsid w:val="001A2914"/>
    <w:rsid w:val="001A2F70"/>
    <w:rsid w:val="001A33AF"/>
    <w:rsid w:val="001A40E5"/>
    <w:rsid w:val="001A4B9B"/>
    <w:rsid w:val="001A4D0F"/>
    <w:rsid w:val="001A5B9E"/>
    <w:rsid w:val="001A6232"/>
    <w:rsid w:val="001A7050"/>
    <w:rsid w:val="001A7593"/>
    <w:rsid w:val="001A765B"/>
    <w:rsid w:val="001A788D"/>
    <w:rsid w:val="001A7C00"/>
    <w:rsid w:val="001B0219"/>
    <w:rsid w:val="001B051E"/>
    <w:rsid w:val="001B2339"/>
    <w:rsid w:val="001B3BC4"/>
    <w:rsid w:val="001B4665"/>
    <w:rsid w:val="001B4B97"/>
    <w:rsid w:val="001B4F4E"/>
    <w:rsid w:val="001B501C"/>
    <w:rsid w:val="001B5055"/>
    <w:rsid w:val="001B538C"/>
    <w:rsid w:val="001B569F"/>
    <w:rsid w:val="001B5775"/>
    <w:rsid w:val="001B595B"/>
    <w:rsid w:val="001B5D00"/>
    <w:rsid w:val="001B7478"/>
    <w:rsid w:val="001C0200"/>
    <w:rsid w:val="001C0279"/>
    <w:rsid w:val="001C085A"/>
    <w:rsid w:val="001C1100"/>
    <w:rsid w:val="001C16E4"/>
    <w:rsid w:val="001C1AEA"/>
    <w:rsid w:val="001C2086"/>
    <w:rsid w:val="001C2909"/>
    <w:rsid w:val="001C2B90"/>
    <w:rsid w:val="001C2BD1"/>
    <w:rsid w:val="001C2DF3"/>
    <w:rsid w:val="001C33C1"/>
    <w:rsid w:val="001C35B2"/>
    <w:rsid w:val="001C4043"/>
    <w:rsid w:val="001C4693"/>
    <w:rsid w:val="001C5108"/>
    <w:rsid w:val="001C5199"/>
    <w:rsid w:val="001C567B"/>
    <w:rsid w:val="001C5B6C"/>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6CA2"/>
    <w:rsid w:val="001D70E8"/>
    <w:rsid w:val="001D731D"/>
    <w:rsid w:val="001D7CEB"/>
    <w:rsid w:val="001E03D1"/>
    <w:rsid w:val="001E08F8"/>
    <w:rsid w:val="001E090C"/>
    <w:rsid w:val="001E0939"/>
    <w:rsid w:val="001E155C"/>
    <w:rsid w:val="001E177C"/>
    <w:rsid w:val="001E197E"/>
    <w:rsid w:val="001E1C30"/>
    <w:rsid w:val="001E2077"/>
    <w:rsid w:val="001E23F9"/>
    <w:rsid w:val="001E2427"/>
    <w:rsid w:val="001E2F08"/>
    <w:rsid w:val="001E30C8"/>
    <w:rsid w:val="001E35AD"/>
    <w:rsid w:val="001E4126"/>
    <w:rsid w:val="001E51E7"/>
    <w:rsid w:val="001E52F7"/>
    <w:rsid w:val="001E58AA"/>
    <w:rsid w:val="001E59BB"/>
    <w:rsid w:val="001E5EA5"/>
    <w:rsid w:val="001E6081"/>
    <w:rsid w:val="001E60BB"/>
    <w:rsid w:val="001E74DA"/>
    <w:rsid w:val="001E76B2"/>
    <w:rsid w:val="001E7A37"/>
    <w:rsid w:val="001F0565"/>
    <w:rsid w:val="001F0BC4"/>
    <w:rsid w:val="001F166A"/>
    <w:rsid w:val="001F24F6"/>
    <w:rsid w:val="001F3528"/>
    <w:rsid w:val="001F3856"/>
    <w:rsid w:val="001F3E75"/>
    <w:rsid w:val="001F4B16"/>
    <w:rsid w:val="001F4C53"/>
    <w:rsid w:val="001F4D44"/>
    <w:rsid w:val="001F59A8"/>
    <w:rsid w:val="001F5B5D"/>
    <w:rsid w:val="001F668E"/>
    <w:rsid w:val="001F676C"/>
    <w:rsid w:val="001F7DFA"/>
    <w:rsid w:val="001F7F33"/>
    <w:rsid w:val="00200DBD"/>
    <w:rsid w:val="00201127"/>
    <w:rsid w:val="002016D9"/>
    <w:rsid w:val="00201F44"/>
    <w:rsid w:val="00202B95"/>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D08"/>
    <w:rsid w:val="0021415E"/>
    <w:rsid w:val="00214398"/>
    <w:rsid w:val="00214828"/>
    <w:rsid w:val="00214ABD"/>
    <w:rsid w:val="00214B0B"/>
    <w:rsid w:val="00214E29"/>
    <w:rsid w:val="002154FB"/>
    <w:rsid w:val="00215670"/>
    <w:rsid w:val="00216751"/>
    <w:rsid w:val="00216BEE"/>
    <w:rsid w:val="00216FCB"/>
    <w:rsid w:val="002170F6"/>
    <w:rsid w:val="00217DC2"/>
    <w:rsid w:val="002217A1"/>
    <w:rsid w:val="00221EB0"/>
    <w:rsid w:val="00222334"/>
    <w:rsid w:val="00223F9C"/>
    <w:rsid w:val="00224BBF"/>
    <w:rsid w:val="00226961"/>
    <w:rsid w:val="00227340"/>
    <w:rsid w:val="00227474"/>
    <w:rsid w:val="00230128"/>
    <w:rsid w:val="0023125B"/>
    <w:rsid w:val="002316DA"/>
    <w:rsid w:val="0023292A"/>
    <w:rsid w:val="00232B58"/>
    <w:rsid w:val="00232DB7"/>
    <w:rsid w:val="00233080"/>
    <w:rsid w:val="00233610"/>
    <w:rsid w:val="00233DEC"/>
    <w:rsid w:val="002342D3"/>
    <w:rsid w:val="002349D7"/>
    <w:rsid w:val="0023544E"/>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1FA"/>
    <w:rsid w:val="00246282"/>
    <w:rsid w:val="0024645D"/>
    <w:rsid w:val="0024795E"/>
    <w:rsid w:val="0025009F"/>
    <w:rsid w:val="00250A77"/>
    <w:rsid w:val="002510F9"/>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205"/>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0909"/>
    <w:rsid w:val="00271488"/>
    <w:rsid w:val="002722B2"/>
    <w:rsid w:val="002738E2"/>
    <w:rsid w:val="00273BAE"/>
    <w:rsid w:val="0027433C"/>
    <w:rsid w:val="002752AE"/>
    <w:rsid w:val="0027579D"/>
    <w:rsid w:val="0027587A"/>
    <w:rsid w:val="00276162"/>
    <w:rsid w:val="00276F9B"/>
    <w:rsid w:val="00277215"/>
    <w:rsid w:val="00277937"/>
    <w:rsid w:val="00277EB1"/>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475"/>
    <w:rsid w:val="00287D12"/>
    <w:rsid w:val="002903CD"/>
    <w:rsid w:val="00291F13"/>
    <w:rsid w:val="00291F97"/>
    <w:rsid w:val="002927B1"/>
    <w:rsid w:val="002928FC"/>
    <w:rsid w:val="00293A0E"/>
    <w:rsid w:val="00293E5C"/>
    <w:rsid w:val="00294677"/>
    <w:rsid w:val="00294A9E"/>
    <w:rsid w:val="002953EA"/>
    <w:rsid w:val="002953F7"/>
    <w:rsid w:val="00296797"/>
    <w:rsid w:val="00296961"/>
    <w:rsid w:val="00296CF6"/>
    <w:rsid w:val="002971DD"/>
    <w:rsid w:val="00297B43"/>
    <w:rsid w:val="00297EFA"/>
    <w:rsid w:val="002A0A15"/>
    <w:rsid w:val="002A29B5"/>
    <w:rsid w:val="002A38FB"/>
    <w:rsid w:val="002A3A6F"/>
    <w:rsid w:val="002A3D77"/>
    <w:rsid w:val="002A3DA2"/>
    <w:rsid w:val="002A4CD9"/>
    <w:rsid w:val="002A545B"/>
    <w:rsid w:val="002A593B"/>
    <w:rsid w:val="002A5BA0"/>
    <w:rsid w:val="002A61C0"/>
    <w:rsid w:val="002A6B04"/>
    <w:rsid w:val="002A6DDC"/>
    <w:rsid w:val="002A6E6B"/>
    <w:rsid w:val="002A6E82"/>
    <w:rsid w:val="002A709D"/>
    <w:rsid w:val="002A7410"/>
    <w:rsid w:val="002B05B0"/>
    <w:rsid w:val="002B1856"/>
    <w:rsid w:val="002B364A"/>
    <w:rsid w:val="002B3864"/>
    <w:rsid w:val="002B3A9B"/>
    <w:rsid w:val="002B3D62"/>
    <w:rsid w:val="002B495F"/>
    <w:rsid w:val="002B5115"/>
    <w:rsid w:val="002B5568"/>
    <w:rsid w:val="002B57F2"/>
    <w:rsid w:val="002B6585"/>
    <w:rsid w:val="002B6822"/>
    <w:rsid w:val="002B68C3"/>
    <w:rsid w:val="002B7AB5"/>
    <w:rsid w:val="002B7F29"/>
    <w:rsid w:val="002C0CB9"/>
    <w:rsid w:val="002C1760"/>
    <w:rsid w:val="002C291D"/>
    <w:rsid w:val="002C2B82"/>
    <w:rsid w:val="002C2EBA"/>
    <w:rsid w:val="002C2F5E"/>
    <w:rsid w:val="002C3607"/>
    <w:rsid w:val="002C3842"/>
    <w:rsid w:val="002C3FA4"/>
    <w:rsid w:val="002C54BD"/>
    <w:rsid w:val="002C5A1B"/>
    <w:rsid w:val="002C5E15"/>
    <w:rsid w:val="002D0A9A"/>
    <w:rsid w:val="002D0BF6"/>
    <w:rsid w:val="002D0DE9"/>
    <w:rsid w:val="002D0F6D"/>
    <w:rsid w:val="002D0F8E"/>
    <w:rsid w:val="002D34C1"/>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6A"/>
    <w:rsid w:val="002E5EA3"/>
    <w:rsid w:val="002E744A"/>
    <w:rsid w:val="002E7B94"/>
    <w:rsid w:val="002E7DB5"/>
    <w:rsid w:val="002F130E"/>
    <w:rsid w:val="002F1703"/>
    <w:rsid w:val="002F376B"/>
    <w:rsid w:val="002F39FE"/>
    <w:rsid w:val="002F3BDB"/>
    <w:rsid w:val="002F3DD5"/>
    <w:rsid w:val="002F455C"/>
    <w:rsid w:val="002F4604"/>
    <w:rsid w:val="002F47A7"/>
    <w:rsid w:val="002F4A31"/>
    <w:rsid w:val="002F5404"/>
    <w:rsid w:val="002F5D3E"/>
    <w:rsid w:val="002F6E99"/>
    <w:rsid w:val="002F73B7"/>
    <w:rsid w:val="002F7E3F"/>
    <w:rsid w:val="00300336"/>
    <w:rsid w:val="00300FA7"/>
    <w:rsid w:val="00302A6D"/>
    <w:rsid w:val="00303DDC"/>
    <w:rsid w:val="003044FC"/>
    <w:rsid w:val="00304895"/>
    <w:rsid w:val="00304A2D"/>
    <w:rsid w:val="003058A8"/>
    <w:rsid w:val="00305984"/>
    <w:rsid w:val="00305FC1"/>
    <w:rsid w:val="0030650B"/>
    <w:rsid w:val="00306B2B"/>
    <w:rsid w:val="00306C66"/>
    <w:rsid w:val="00306D81"/>
    <w:rsid w:val="00306E7F"/>
    <w:rsid w:val="0030724F"/>
    <w:rsid w:val="0031065D"/>
    <w:rsid w:val="00311132"/>
    <w:rsid w:val="003115D1"/>
    <w:rsid w:val="003115F0"/>
    <w:rsid w:val="0031242E"/>
    <w:rsid w:val="003126B6"/>
    <w:rsid w:val="00313437"/>
    <w:rsid w:val="00313655"/>
    <w:rsid w:val="00313AAD"/>
    <w:rsid w:val="00313C8E"/>
    <w:rsid w:val="00314AC4"/>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D5A"/>
    <w:rsid w:val="003315B6"/>
    <w:rsid w:val="00331C5C"/>
    <w:rsid w:val="00332756"/>
    <w:rsid w:val="00332995"/>
    <w:rsid w:val="00332BE0"/>
    <w:rsid w:val="00332F5B"/>
    <w:rsid w:val="00333373"/>
    <w:rsid w:val="00334737"/>
    <w:rsid w:val="00334B1F"/>
    <w:rsid w:val="00335254"/>
    <w:rsid w:val="003353FD"/>
    <w:rsid w:val="00335971"/>
    <w:rsid w:val="00336671"/>
    <w:rsid w:val="00336A99"/>
    <w:rsid w:val="00336AC8"/>
    <w:rsid w:val="00337D04"/>
    <w:rsid w:val="00337DB3"/>
    <w:rsid w:val="00340BB8"/>
    <w:rsid w:val="00341182"/>
    <w:rsid w:val="003424B1"/>
    <w:rsid w:val="00342780"/>
    <w:rsid w:val="00343D54"/>
    <w:rsid w:val="00343DBE"/>
    <w:rsid w:val="00345791"/>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664B"/>
    <w:rsid w:val="00357880"/>
    <w:rsid w:val="00357D83"/>
    <w:rsid w:val="00360684"/>
    <w:rsid w:val="0036077E"/>
    <w:rsid w:val="00360A3C"/>
    <w:rsid w:val="00360C8C"/>
    <w:rsid w:val="00361133"/>
    <w:rsid w:val="00361E9F"/>
    <w:rsid w:val="003621F0"/>
    <w:rsid w:val="00362B17"/>
    <w:rsid w:val="00364124"/>
    <w:rsid w:val="00364785"/>
    <w:rsid w:val="00365489"/>
    <w:rsid w:val="00365D32"/>
    <w:rsid w:val="00366236"/>
    <w:rsid w:val="0036623D"/>
    <w:rsid w:val="0036710F"/>
    <w:rsid w:val="00367859"/>
    <w:rsid w:val="003679D7"/>
    <w:rsid w:val="003705D1"/>
    <w:rsid w:val="00370A34"/>
    <w:rsid w:val="00371A5E"/>
    <w:rsid w:val="003728E0"/>
    <w:rsid w:val="00372D2C"/>
    <w:rsid w:val="00372E8E"/>
    <w:rsid w:val="00372F55"/>
    <w:rsid w:val="00373421"/>
    <w:rsid w:val="00374602"/>
    <w:rsid w:val="003753D4"/>
    <w:rsid w:val="003761D5"/>
    <w:rsid w:val="00377E5C"/>
    <w:rsid w:val="00377EBC"/>
    <w:rsid w:val="00380069"/>
    <w:rsid w:val="00380259"/>
    <w:rsid w:val="00380FC9"/>
    <w:rsid w:val="0038176C"/>
    <w:rsid w:val="00381BB3"/>
    <w:rsid w:val="00381EFD"/>
    <w:rsid w:val="003821B9"/>
    <w:rsid w:val="0038220C"/>
    <w:rsid w:val="003825B1"/>
    <w:rsid w:val="003828CE"/>
    <w:rsid w:val="003831F3"/>
    <w:rsid w:val="00384854"/>
    <w:rsid w:val="00385105"/>
    <w:rsid w:val="0038531E"/>
    <w:rsid w:val="00385CDA"/>
    <w:rsid w:val="00385EB3"/>
    <w:rsid w:val="00385ED9"/>
    <w:rsid w:val="00385FDD"/>
    <w:rsid w:val="00386888"/>
    <w:rsid w:val="00387392"/>
    <w:rsid w:val="0038753D"/>
    <w:rsid w:val="00387B2D"/>
    <w:rsid w:val="003902E5"/>
    <w:rsid w:val="00390B9D"/>
    <w:rsid w:val="003911BA"/>
    <w:rsid w:val="00391765"/>
    <w:rsid w:val="00391BAD"/>
    <w:rsid w:val="00391D32"/>
    <w:rsid w:val="00391F83"/>
    <w:rsid w:val="00392319"/>
    <w:rsid w:val="00392BA6"/>
    <w:rsid w:val="00392C4B"/>
    <w:rsid w:val="00393635"/>
    <w:rsid w:val="00393828"/>
    <w:rsid w:val="00393D8E"/>
    <w:rsid w:val="003942DD"/>
    <w:rsid w:val="003961EB"/>
    <w:rsid w:val="003963F8"/>
    <w:rsid w:val="00396AC5"/>
    <w:rsid w:val="003A03BE"/>
    <w:rsid w:val="003A0463"/>
    <w:rsid w:val="003A0B28"/>
    <w:rsid w:val="003A122F"/>
    <w:rsid w:val="003A1274"/>
    <w:rsid w:val="003A2463"/>
    <w:rsid w:val="003A2BAA"/>
    <w:rsid w:val="003A478E"/>
    <w:rsid w:val="003A4997"/>
    <w:rsid w:val="003A49FD"/>
    <w:rsid w:val="003A4C20"/>
    <w:rsid w:val="003A4D3C"/>
    <w:rsid w:val="003A50A3"/>
    <w:rsid w:val="003A5C55"/>
    <w:rsid w:val="003A6D0C"/>
    <w:rsid w:val="003A6E72"/>
    <w:rsid w:val="003A7017"/>
    <w:rsid w:val="003A7082"/>
    <w:rsid w:val="003A736C"/>
    <w:rsid w:val="003A745B"/>
    <w:rsid w:val="003A74BF"/>
    <w:rsid w:val="003A7BCA"/>
    <w:rsid w:val="003A7BEB"/>
    <w:rsid w:val="003A7C9A"/>
    <w:rsid w:val="003B02F8"/>
    <w:rsid w:val="003B15AD"/>
    <w:rsid w:val="003B22BA"/>
    <w:rsid w:val="003B2782"/>
    <w:rsid w:val="003B2B7A"/>
    <w:rsid w:val="003B34D5"/>
    <w:rsid w:val="003B4539"/>
    <w:rsid w:val="003B4658"/>
    <w:rsid w:val="003B6119"/>
    <w:rsid w:val="003B7904"/>
    <w:rsid w:val="003B7BFD"/>
    <w:rsid w:val="003C0089"/>
    <w:rsid w:val="003C06D9"/>
    <w:rsid w:val="003C1054"/>
    <w:rsid w:val="003C170B"/>
    <w:rsid w:val="003C1E82"/>
    <w:rsid w:val="003C2261"/>
    <w:rsid w:val="003C2E00"/>
    <w:rsid w:val="003C3EC5"/>
    <w:rsid w:val="003C4185"/>
    <w:rsid w:val="003C4F5A"/>
    <w:rsid w:val="003C5A40"/>
    <w:rsid w:val="003C76E4"/>
    <w:rsid w:val="003D19E2"/>
    <w:rsid w:val="003D259C"/>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ADB"/>
    <w:rsid w:val="003E44DC"/>
    <w:rsid w:val="003E4741"/>
    <w:rsid w:val="003E49BA"/>
    <w:rsid w:val="003E4CED"/>
    <w:rsid w:val="003E5D9D"/>
    <w:rsid w:val="003E6D26"/>
    <w:rsid w:val="003E6DAF"/>
    <w:rsid w:val="003E7652"/>
    <w:rsid w:val="003F0280"/>
    <w:rsid w:val="003F028D"/>
    <w:rsid w:val="003F04E2"/>
    <w:rsid w:val="003F1149"/>
    <w:rsid w:val="003F13B1"/>
    <w:rsid w:val="003F1513"/>
    <w:rsid w:val="003F16C2"/>
    <w:rsid w:val="003F1C66"/>
    <w:rsid w:val="003F245B"/>
    <w:rsid w:val="003F2497"/>
    <w:rsid w:val="003F323F"/>
    <w:rsid w:val="003F3C0B"/>
    <w:rsid w:val="003F3E8E"/>
    <w:rsid w:val="003F4CA3"/>
    <w:rsid w:val="003F553D"/>
    <w:rsid w:val="003F5654"/>
    <w:rsid w:val="003F5DC5"/>
    <w:rsid w:val="003F5FA9"/>
    <w:rsid w:val="003F72F3"/>
    <w:rsid w:val="003F7485"/>
    <w:rsid w:val="004000DA"/>
    <w:rsid w:val="004000E6"/>
    <w:rsid w:val="0040138A"/>
    <w:rsid w:val="004014A0"/>
    <w:rsid w:val="00401843"/>
    <w:rsid w:val="0040306A"/>
    <w:rsid w:val="004032E2"/>
    <w:rsid w:val="004047FE"/>
    <w:rsid w:val="0040486C"/>
    <w:rsid w:val="00404AA1"/>
    <w:rsid w:val="004066E9"/>
    <w:rsid w:val="00407003"/>
    <w:rsid w:val="004071F7"/>
    <w:rsid w:val="00407822"/>
    <w:rsid w:val="00410C05"/>
    <w:rsid w:val="0041127B"/>
    <w:rsid w:val="00411B70"/>
    <w:rsid w:val="00411FE0"/>
    <w:rsid w:val="00411FF0"/>
    <w:rsid w:val="0041207E"/>
    <w:rsid w:val="00414762"/>
    <w:rsid w:val="00414A9B"/>
    <w:rsid w:val="004158B0"/>
    <w:rsid w:val="00415AE3"/>
    <w:rsid w:val="00416655"/>
    <w:rsid w:val="00416774"/>
    <w:rsid w:val="00417280"/>
    <w:rsid w:val="00420EFD"/>
    <w:rsid w:val="004217FA"/>
    <w:rsid w:val="00421A5D"/>
    <w:rsid w:val="00421EE2"/>
    <w:rsid w:val="00422A03"/>
    <w:rsid w:val="004244B4"/>
    <w:rsid w:val="00425F40"/>
    <w:rsid w:val="00426083"/>
    <w:rsid w:val="00426113"/>
    <w:rsid w:val="004267F6"/>
    <w:rsid w:val="004268C9"/>
    <w:rsid w:val="00427DCF"/>
    <w:rsid w:val="00427F7D"/>
    <w:rsid w:val="00430D8F"/>
    <w:rsid w:val="00430EC4"/>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A48"/>
    <w:rsid w:val="00437B01"/>
    <w:rsid w:val="0044051C"/>
    <w:rsid w:val="004412E3"/>
    <w:rsid w:val="00442693"/>
    <w:rsid w:val="00442AB3"/>
    <w:rsid w:val="00442D10"/>
    <w:rsid w:val="00442DBB"/>
    <w:rsid w:val="00442EE4"/>
    <w:rsid w:val="00443A70"/>
    <w:rsid w:val="004448E4"/>
    <w:rsid w:val="00445122"/>
    <w:rsid w:val="0044588F"/>
    <w:rsid w:val="00445E69"/>
    <w:rsid w:val="00446E93"/>
    <w:rsid w:val="00447613"/>
    <w:rsid w:val="0044776D"/>
    <w:rsid w:val="00447A02"/>
    <w:rsid w:val="004503FB"/>
    <w:rsid w:val="0045041F"/>
    <w:rsid w:val="004505FE"/>
    <w:rsid w:val="00450793"/>
    <w:rsid w:val="004510AD"/>
    <w:rsid w:val="0045142B"/>
    <w:rsid w:val="004519C1"/>
    <w:rsid w:val="004539B5"/>
    <w:rsid w:val="0045464E"/>
    <w:rsid w:val="00454727"/>
    <w:rsid w:val="0045477F"/>
    <w:rsid w:val="00454847"/>
    <w:rsid w:val="00454F1C"/>
    <w:rsid w:val="00455448"/>
    <w:rsid w:val="0045548B"/>
    <w:rsid w:val="0045580B"/>
    <w:rsid w:val="00455D63"/>
    <w:rsid w:val="00456615"/>
    <w:rsid w:val="00456D0B"/>
    <w:rsid w:val="00457826"/>
    <w:rsid w:val="004612AA"/>
    <w:rsid w:val="00461A54"/>
    <w:rsid w:val="00461EEA"/>
    <w:rsid w:val="004624AA"/>
    <w:rsid w:val="00462C6C"/>
    <w:rsid w:val="0046342C"/>
    <w:rsid w:val="004635B3"/>
    <w:rsid w:val="004636E6"/>
    <w:rsid w:val="0046554A"/>
    <w:rsid w:val="00465892"/>
    <w:rsid w:val="00466A51"/>
    <w:rsid w:val="00467827"/>
    <w:rsid w:val="004679AB"/>
    <w:rsid w:val="00470B87"/>
    <w:rsid w:val="00473903"/>
    <w:rsid w:val="0047405D"/>
    <w:rsid w:val="00475343"/>
    <w:rsid w:val="00476EDC"/>
    <w:rsid w:val="004771F8"/>
    <w:rsid w:val="00477489"/>
    <w:rsid w:val="00477798"/>
    <w:rsid w:val="0047782C"/>
    <w:rsid w:val="00480055"/>
    <w:rsid w:val="00480579"/>
    <w:rsid w:val="0048128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010"/>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4802"/>
    <w:rsid w:val="004B510A"/>
    <w:rsid w:val="004B51F6"/>
    <w:rsid w:val="004B5883"/>
    <w:rsid w:val="004B5C1E"/>
    <w:rsid w:val="004B5D05"/>
    <w:rsid w:val="004B64B4"/>
    <w:rsid w:val="004B7673"/>
    <w:rsid w:val="004B7FEE"/>
    <w:rsid w:val="004C0324"/>
    <w:rsid w:val="004C0DC5"/>
    <w:rsid w:val="004C0E61"/>
    <w:rsid w:val="004C0EEC"/>
    <w:rsid w:val="004C1112"/>
    <w:rsid w:val="004C1729"/>
    <w:rsid w:val="004C2098"/>
    <w:rsid w:val="004C318D"/>
    <w:rsid w:val="004C42A9"/>
    <w:rsid w:val="004C5810"/>
    <w:rsid w:val="004C5E56"/>
    <w:rsid w:val="004C661B"/>
    <w:rsid w:val="004C6920"/>
    <w:rsid w:val="004C6ADF"/>
    <w:rsid w:val="004C6C87"/>
    <w:rsid w:val="004C721C"/>
    <w:rsid w:val="004C72F9"/>
    <w:rsid w:val="004C747C"/>
    <w:rsid w:val="004D0D84"/>
    <w:rsid w:val="004D1054"/>
    <w:rsid w:val="004D16AD"/>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0290"/>
    <w:rsid w:val="004E056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E77F6"/>
    <w:rsid w:val="004F0797"/>
    <w:rsid w:val="004F08C7"/>
    <w:rsid w:val="004F101B"/>
    <w:rsid w:val="004F18D6"/>
    <w:rsid w:val="004F1D4B"/>
    <w:rsid w:val="004F20DE"/>
    <w:rsid w:val="004F2C0C"/>
    <w:rsid w:val="004F3079"/>
    <w:rsid w:val="004F33D8"/>
    <w:rsid w:val="004F428C"/>
    <w:rsid w:val="004F439F"/>
    <w:rsid w:val="004F532B"/>
    <w:rsid w:val="004F578E"/>
    <w:rsid w:val="004F6AE8"/>
    <w:rsid w:val="004F7132"/>
    <w:rsid w:val="004F7541"/>
    <w:rsid w:val="004F7B3A"/>
    <w:rsid w:val="00500131"/>
    <w:rsid w:val="005002F4"/>
    <w:rsid w:val="005009BC"/>
    <w:rsid w:val="00501561"/>
    <w:rsid w:val="00502335"/>
    <w:rsid w:val="00502362"/>
    <w:rsid w:val="005030D2"/>
    <w:rsid w:val="00504B9F"/>
    <w:rsid w:val="0050524E"/>
    <w:rsid w:val="00505489"/>
    <w:rsid w:val="0050698C"/>
    <w:rsid w:val="005069DB"/>
    <w:rsid w:val="005071E0"/>
    <w:rsid w:val="005072FA"/>
    <w:rsid w:val="0051094D"/>
    <w:rsid w:val="00510977"/>
    <w:rsid w:val="00510CBE"/>
    <w:rsid w:val="00510E6F"/>
    <w:rsid w:val="00511583"/>
    <w:rsid w:val="00511FBD"/>
    <w:rsid w:val="005141BA"/>
    <w:rsid w:val="0051592C"/>
    <w:rsid w:val="00516991"/>
    <w:rsid w:val="00516B28"/>
    <w:rsid w:val="00520433"/>
    <w:rsid w:val="00521162"/>
    <w:rsid w:val="00521B1D"/>
    <w:rsid w:val="00521B96"/>
    <w:rsid w:val="00522DCF"/>
    <w:rsid w:val="005233D0"/>
    <w:rsid w:val="005233FA"/>
    <w:rsid w:val="005238C6"/>
    <w:rsid w:val="00523E08"/>
    <w:rsid w:val="00523E38"/>
    <w:rsid w:val="00524284"/>
    <w:rsid w:val="00524E0C"/>
    <w:rsid w:val="005261BF"/>
    <w:rsid w:val="005269FC"/>
    <w:rsid w:val="00526A7B"/>
    <w:rsid w:val="00526C1F"/>
    <w:rsid w:val="00527056"/>
    <w:rsid w:val="00527515"/>
    <w:rsid w:val="00530D11"/>
    <w:rsid w:val="005322A0"/>
    <w:rsid w:val="0053270D"/>
    <w:rsid w:val="00533739"/>
    <w:rsid w:val="0053388C"/>
    <w:rsid w:val="00533C4F"/>
    <w:rsid w:val="00533D70"/>
    <w:rsid w:val="005355A0"/>
    <w:rsid w:val="0053566F"/>
    <w:rsid w:val="00535797"/>
    <w:rsid w:val="00535FF0"/>
    <w:rsid w:val="005379F8"/>
    <w:rsid w:val="00537E16"/>
    <w:rsid w:val="005414F0"/>
    <w:rsid w:val="005420C8"/>
    <w:rsid w:val="0054255C"/>
    <w:rsid w:val="005425B4"/>
    <w:rsid w:val="0054293E"/>
    <w:rsid w:val="00544AB7"/>
    <w:rsid w:val="005464BB"/>
    <w:rsid w:val="00546BBC"/>
    <w:rsid w:val="00547C16"/>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2663"/>
    <w:rsid w:val="00564638"/>
    <w:rsid w:val="0056475A"/>
    <w:rsid w:val="00564D56"/>
    <w:rsid w:val="00565F3F"/>
    <w:rsid w:val="005660C3"/>
    <w:rsid w:val="00566949"/>
    <w:rsid w:val="00566CAF"/>
    <w:rsid w:val="005672CD"/>
    <w:rsid w:val="00567BA8"/>
    <w:rsid w:val="00571DD7"/>
    <w:rsid w:val="00575AC5"/>
    <w:rsid w:val="00576186"/>
    <w:rsid w:val="00576581"/>
    <w:rsid w:val="00576B8A"/>
    <w:rsid w:val="00576E8A"/>
    <w:rsid w:val="00577379"/>
    <w:rsid w:val="005774A7"/>
    <w:rsid w:val="005778CB"/>
    <w:rsid w:val="005801C3"/>
    <w:rsid w:val="00580992"/>
    <w:rsid w:val="00580A60"/>
    <w:rsid w:val="005827E4"/>
    <w:rsid w:val="005828E1"/>
    <w:rsid w:val="00583BB3"/>
    <w:rsid w:val="00584EB9"/>
    <w:rsid w:val="005850C2"/>
    <w:rsid w:val="0058539E"/>
    <w:rsid w:val="0058577E"/>
    <w:rsid w:val="00585F98"/>
    <w:rsid w:val="00586032"/>
    <w:rsid w:val="0058642A"/>
    <w:rsid w:val="005879E9"/>
    <w:rsid w:val="00590669"/>
    <w:rsid w:val="00591D43"/>
    <w:rsid w:val="00592414"/>
    <w:rsid w:val="005929D3"/>
    <w:rsid w:val="005935BA"/>
    <w:rsid w:val="005936CA"/>
    <w:rsid w:val="0059458B"/>
    <w:rsid w:val="00594977"/>
    <w:rsid w:val="00594FE2"/>
    <w:rsid w:val="00596912"/>
    <w:rsid w:val="005A01CB"/>
    <w:rsid w:val="005A054C"/>
    <w:rsid w:val="005A0CE4"/>
    <w:rsid w:val="005A181E"/>
    <w:rsid w:val="005A1D36"/>
    <w:rsid w:val="005A1EA6"/>
    <w:rsid w:val="005A23AD"/>
    <w:rsid w:val="005A2418"/>
    <w:rsid w:val="005A255E"/>
    <w:rsid w:val="005A2CAC"/>
    <w:rsid w:val="005A3144"/>
    <w:rsid w:val="005A3342"/>
    <w:rsid w:val="005A6261"/>
    <w:rsid w:val="005A6290"/>
    <w:rsid w:val="005A6D42"/>
    <w:rsid w:val="005A724F"/>
    <w:rsid w:val="005A7927"/>
    <w:rsid w:val="005A7BD8"/>
    <w:rsid w:val="005A7DEF"/>
    <w:rsid w:val="005A7EB5"/>
    <w:rsid w:val="005B0657"/>
    <w:rsid w:val="005B0873"/>
    <w:rsid w:val="005B12C3"/>
    <w:rsid w:val="005B1870"/>
    <w:rsid w:val="005B19A6"/>
    <w:rsid w:val="005B1A8D"/>
    <w:rsid w:val="005B1AC7"/>
    <w:rsid w:val="005B1BB7"/>
    <w:rsid w:val="005B2376"/>
    <w:rsid w:val="005B2674"/>
    <w:rsid w:val="005B3FD6"/>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774"/>
    <w:rsid w:val="005C38EF"/>
    <w:rsid w:val="005C4197"/>
    <w:rsid w:val="005C503B"/>
    <w:rsid w:val="005C51C8"/>
    <w:rsid w:val="005C544A"/>
    <w:rsid w:val="005C5B26"/>
    <w:rsid w:val="005C5CBF"/>
    <w:rsid w:val="005C5CC2"/>
    <w:rsid w:val="005C60A4"/>
    <w:rsid w:val="005C6250"/>
    <w:rsid w:val="005C777C"/>
    <w:rsid w:val="005C7AE2"/>
    <w:rsid w:val="005C7B95"/>
    <w:rsid w:val="005C7C4B"/>
    <w:rsid w:val="005D024D"/>
    <w:rsid w:val="005D0A5D"/>
    <w:rsid w:val="005D0A5F"/>
    <w:rsid w:val="005D0A78"/>
    <w:rsid w:val="005D1A88"/>
    <w:rsid w:val="005D1D95"/>
    <w:rsid w:val="005D2587"/>
    <w:rsid w:val="005D27F2"/>
    <w:rsid w:val="005D3B7D"/>
    <w:rsid w:val="005D55BC"/>
    <w:rsid w:val="005D5911"/>
    <w:rsid w:val="005D630D"/>
    <w:rsid w:val="005D6CC8"/>
    <w:rsid w:val="005D78D8"/>
    <w:rsid w:val="005D7AC3"/>
    <w:rsid w:val="005E0134"/>
    <w:rsid w:val="005E0C21"/>
    <w:rsid w:val="005E16AC"/>
    <w:rsid w:val="005E1859"/>
    <w:rsid w:val="005E1D72"/>
    <w:rsid w:val="005E28E6"/>
    <w:rsid w:val="005E2CDC"/>
    <w:rsid w:val="005E3782"/>
    <w:rsid w:val="005E3B36"/>
    <w:rsid w:val="005E5FBD"/>
    <w:rsid w:val="005E674A"/>
    <w:rsid w:val="005E73E0"/>
    <w:rsid w:val="005E7498"/>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3DC1"/>
    <w:rsid w:val="00603FAD"/>
    <w:rsid w:val="0060479A"/>
    <w:rsid w:val="006048C4"/>
    <w:rsid w:val="00605193"/>
    <w:rsid w:val="006052B7"/>
    <w:rsid w:val="00605332"/>
    <w:rsid w:val="0060549B"/>
    <w:rsid w:val="00605AEC"/>
    <w:rsid w:val="00605E6B"/>
    <w:rsid w:val="00605FF1"/>
    <w:rsid w:val="006063A5"/>
    <w:rsid w:val="006069A4"/>
    <w:rsid w:val="006070E7"/>
    <w:rsid w:val="00607CB3"/>
    <w:rsid w:val="00610248"/>
    <w:rsid w:val="00610589"/>
    <w:rsid w:val="00610B6A"/>
    <w:rsid w:val="00610C99"/>
    <w:rsid w:val="00610FF3"/>
    <w:rsid w:val="00611688"/>
    <w:rsid w:val="00612033"/>
    <w:rsid w:val="00612318"/>
    <w:rsid w:val="00612929"/>
    <w:rsid w:val="00613914"/>
    <w:rsid w:val="00613D39"/>
    <w:rsid w:val="00613F7F"/>
    <w:rsid w:val="0061420B"/>
    <w:rsid w:val="00614636"/>
    <w:rsid w:val="00614665"/>
    <w:rsid w:val="00614EA0"/>
    <w:rsid w:val="00615480"/>
    <w:rsid w:val="00615942"/>
    <w:rsid w:val="00615EC6"/>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F79"/>
    <w:rsid w:val="006324AD"/>
    <w:rsid w:val="00632EBD"/>
    <w:rsid w:val="00633072"/>
    <w:rsid w:val="00633182"/>
    <w:rsid w:val="00633584"/>
    <w:rsid w:val="00633F2E"/>
    <w:rsid w:val="006341F7"/>
    <w:rsid w:val="00634360"/>
    <w:rsid w:val="00636246"/>
    <w:rsid w:val="0063626D"/>
    <w:rsid w:val="00637241"/>
    <w:rsid w:val="006377B6"/>
    <w:rsid w:val="00637AA7"/>
    <w:rsid w:val="00640907"/>
    <w:rsid w:val="0064092E"/>
    <w:rsid w:val="006409E8"/>
    <w:rsid w:val="00640CDF"/>
    <w:rsid w:val="006412F2"/>
    <w:rsid w:val="0064131F"/>
    <w:rsid w:val="00641368"/>
    <w:rsid w:val="00641A49"/>
    <w:rsid w:val="00641F1E"/>
    <w:rsid w:val="0064250E"/>
    <w:rsid w:val="0064251F"/>
    <w:rsid w:val="00642BD9"/>
    <w:rsid w:val="0064381C"/>
    <w:rsid w:val="006447A5"/>
    <w:rsid w:val="00644A16"/>
    <w:rsid w:val="00645D0C"/>
    <w:rsid w:val="006467C5"/>
    <w:rsid w:val="00646D48"/>
    <w:rsid w:val="006476D8"/>
    <w:rsid w:val="00650174"/>
    <w:rsid w:val="00650661"/>
    <w:rsid w:val="006507B6"/>
    <w:rsid w:val="0065268A"/>
    <w:rsid w:val="00652A56"/>
    <w:rsid w:val="0065351D"/>
    <w:rsid w:val="0065386A"/>
    <w:rsid w:val="00653897"/>
    <w:rsid w:val="006541C8"/>
    <w:rsid w:val="00655EF8"/>
    <w:rsid w:val="00655F0E"/>
    <w:rsid w:val="0065645C"/>
    <w:rsid w:val="006571B5"/>
    <w:rsid w:val="00657302"/>
    <w:rsid w:val="006603AD"/>
    <w:rsid w:val="00660A97"/>
    <w:rsid w:val="00661970"/>
    <w:rsid w:val="00661A8D"/>
    <w:rsid w:val="0066224A"/>
    <w:rsid w:val="00662A35"/>
    <w:rsid w:val="00664A40"/>
    <w:rsid w:val="00664D4F"/>
    <w:rsid w:val="00664DC7"/>
    <w:rsid w:val="00666344"/>
    <w:rsid w:val="00666AA0"/>
    <w:rsid w:val="00666DAE"/>
    <w:rsid w:val="00666F7B"/>
    <w:rsid w:val="00667868"/>
    <w:rsid w:val="00667C90"/>
    <w:rsid w:val="00667CB7"/>
    <w:rsid w:val="00670111"/>
    <w:rsid w:val="0067025E"/>
    <w:rsid w:val="006703AB"/>
    <w:rsid w:val="0067057E"/>
    <w:rsid w:val="0067099C"/>
    <w:rsid w:val="006714F3"/>
    <w:rsid w:val="00671ABB"/>
    <w:rsid w:val="00671B21"/>
    <w:rsid w:val="00671CEC"/>
    <w:rsid w:val="00671FCA"/>
    <w:rsid w:val="006721A4"/>
    <w:rsid w:val="00672322"/>
    <w:rsid w:val="0067273B"/>
    <w:rsid w:val="006728AE"/>
    <w:rsid w:val="00672EE4"/>
    <w:rsid w:val="00672EE5"/>
    <w:rsid w:val="006731B7"/>
    <w:rsid w:val="00673A35"/>
    <w:rsid w:val="00674280"/>
    <w:rsid w:val="006748EF"/>
    <w:rsid w:val="00674AF7"/>
    <w:rsid w:val="00674E2C"/>
    <w:rsid w:val="00676B43"/>
    <w:rsid w:val="00677042"/>
    <w:rsid w:val="00680024"/>
    <w:rsid w:val="00682276"/>
    <w:rsid w:val="0068312E"/>
    <w:rsid w:val="00683ABC"/>
    <w:rsid w:val="00684F40"/>
    <w:rsid w:val="006853F7"/>
    <w:rsid w:val="006859F6"/>
    <w:rsid w:val="00685F42"/>
    <w:rsid w:val="0068684A"/>
    <w:rsid w:val="00686A6F"/>
    <w:rsid w:val="00686EB4"/>
    <w:rsid w:val="0068727E"/>
    <w:rsid w:val="00687C6E"/>
    <w:rsid w:val="00687C98"/>
    <w:rsid w:val="006907F2"/>
    <w:rsid w:val="00690B06"/>
    <w:rsid w:val="00690B6F"/>
    <w:rsid w:val="006916CE"/>
    <w:rsid w:val="00691B3A"/>
    <w:rsid w:val="0069245E"/>
    <w:rsid w:val="00692DA9"/>
    <w:rsid w:val="006935DE"/>
    <w:rsid w:val="00693E1B"/>
    <w:rsid w:val="00693EE9"/>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7320"/>
    <w:rsid w:val="006A7E25"/>
    <w:rsid w:val="006B0B0B"/>
    <w:rsid w:val="006B136B"/>
    <w:rsid w:val="006B18F4"/>
    <w:rsid w:val="006B21AB"/>
    <w:rsid w:val="006B23FF"/>
    <w:rsid w:val="006B2FDE"/>
    <w:rsid w:val="006B4B4F"/>
    <w:rsid w:val="006B5322"/>
    <w:rsid w:val="006B5494"/>
    <w:rsid w:val="006B5F77"/>
    <w:rsid w:val="006B6161"/>
    <w:rsid w:val="006B6AB9"/>
    <w:rsid w:val="006B6C60"/>
    <w:rsid w:val="006B6F69"/>
    <w:rsid w:val="006B76F3"/>
    <w:rsid w:val="006B7C56"/>
    <w:rsid w:val="006C0C1E"/>
    <w:rsid w:val="006C149B"/>
    <w:rsid w:val="006C15E4"/>
    <w:rsid w:val="006C17C4"/>
    <w:rsid w:val="006C19F4"/>
    <w:rsid w:val="006C3124"/>
    <w:rsid w:val="006C3A4B"/>
    <w:rsid w:val="006C4CA3"/>
    <w:rsid w:val="006C5441"/>
    <w:rsid w:val="006C5475"/>
    <w:rsid w:val="006C643F"/>
    <w:rsid w:val="006C6E30"/>
    <w:rsid w:val="006D0B67"/>
    <w:rsid w:val="006D0CA1"/>
    <w:rsid w:val="006D1581"/>
    <w:rsid w:val="006D22E9"/>
    <w:rsid w:val="006D2D8B"/>
    <w:rsid w:val="006D308F"/>
    <w:rsid w:val="006D38A0"/>
    <w:rsid w:val="006D4A81"/>
    <w:rsid w:val="006D5A80"/>
    <w:rsid w:val="006D5DE9"/>
    <w:rsid w:val="006D5F8F"/>
    <w:rsid w:val="006D61F8"/>
    <w:rsid w:val="006D746C"/>
    <w:rsid w:val="006D7E89"/>
    <w:rsid w:val="006E015F"/>
    <w:rsid w:val="006E0F52"/>
    <w:rsid w:val="006E1897"/>
    <w:rsid w:val="006E1B6D"/>
    <w:rsid w:val="006E1DE1"/>
    <w:rsid w:val="006E2205"/>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CCE"/>
    <w:rsid w:val="006F34C9"/>
    <w:rsid w:val="006F3905"/>
    <w:rsid w:val="006F459D"/>
    <w:rsid w:val="006F5154"/>
    <w:rsid w:val="006F5222"/>
    <w:rsid w:val="006F5807"/>
    <w:rsid w:val="006F592D"/>
    <w:rsid w:val="006F63FE"/>
    <w:rsid w:val="006F6ADF"/>
    <w:rsid w:val="006F727D"/>
    <w:rsid w:val="006F7ACD"/>
    <w:rsid w:val="00700760"/>
    <w:rsid w:val="0070093C"/>
    <w:rsid w:val="0070147D"/>
    <w:rsid w:val="00701862"/>
    <w:rsid w:val="00702EE0"/>
    <w:rsid w:val="007034B6"/>
    <w:rsid w:val="00703B0F"/>
    <w:rsid w:val="00704D9F"/>
    <w:rsid w:val="00704E57"/>
    <w:rsid w:val="0070594E"/>
    <w:rsid w:val="00705CAE"/>
    <w:rsid w:val="00706368"/>
    <w:rsid w:val="007065CA"/>
    <w:rsid w:val="007071D3"/>
    <w:rsid w:val="007073EC"/>
    <w:rsid w:val="00707411"/>
    <w:rsid w:val="00710D8B"/>
    <w:rsid w:val="00711247"/>
    <w:rsid w:val="0071163D"/>
    <w:rsid w:val="00711AE7"/>
    <w:rsid w:val="00712734"/>
    <w:rsid w:val="00712A3A"/>
    <w:rsid w:val="00712AD9"/>
    <w:rsid w:val="00712D8A"/>
    <w:rsid w:val="007134CC"/>
    <w:rsid w:val="00713534"/>
    <w:rsid w:val="007141A6"/>
    <w:rsid w:val="0071442B"/>
    <w:rsid w:val="00714C20"/>
    <w:rsid w:val="00715084"/>
    <w:rsid w:val="00716E1C"/>
    <w:rsid w:val="00720139"/>
    <w:rsid w:val="0072065A"/>
    <w:rsid w:val="0072171D"/>
    <w:rsid w:val="00721864"/>
    <w:rsid w:val="00721969"/>
    <w:rsid w:val="00721DCB"/>
    <w:rsid w:val="00721E19"/>
    <w:rsid w:val="00721E3F"/>
    <w:rsid w:val="00721EAF"/>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0B93"/>
    <w:rsid w:val="007318C3"/>
    <w:rsid w:val="00731ABB"/>
    <w:rsid w:val="00732010"/>
    <w:rsid w:val="0073204A"/>
    <w:rsid w:val="00732475"/>
    <w:rsid w:val="00732FEF"/>
    <w:rsid w:val="00733C87"/>
    <w:rsid w:val="0073433D"/>
    <w:rsid w:val="00734758"/>
    <w:rsid w:val="00735854"/>
    <w:rsid w:val="00735A66"/>
    <w:rsid w:val="00735BAD"/>
    <w:rsid w:val="00735CDE"/>
    <w:rsid w:val="00735D67"/>
    <w:rsid w:val="0073652A"/>
    <w:rsid w:val="00737ABA"/>
    <w:rsid w:val="00740751"/>
    <w:rsid w:val="007408AE"/>
    <w:rsid w:val="00740B0A"/>
    <w:rsid w:val="0074140C"/>
    <w:rsid w:val="00741471"/>
    <w:rsid w:val="00741880"/>
    <w:rsid w:val="00741F37"/>
    <w:rsid w:val="00742CA0"/>
    <w:rsid w:val="00743847"/>
    <w:rsid w:val="0074393A"/>
    <w:rsid w:val="00743B21"/>
    <w:rsid w:val="00743B3E"/>
    <w:rsid w:val="00743ED3"/>
    <w:rsid w:val="00743FCD"/>
    <w:rsid w:val="00744774"/>
    <w:rsid w:val="00744914"/>
    <w:rsid w:val="00744C10"/>
    <w:rsid w:val="007462E1"/>
    <w:rsid w:val="00746440"/>
    <w:rsid w:val="007465FC"/>
    <w:rsid w:val="00747577"/>
    <w:rsid w:val="007478D5"/>
    <w:rsid w:val="007479ED"/>
    <w:rsid w:val="00747E25"/>
    <w:rsid w:val="007508CB"/>
    <w:rsid w:val="00751C65"/>
    <w:rsid w:val="00751E30"/>
    <w:rsid w:val="007545B3"/>
    <w:rsid w:val="007547C7"/>
    <w:rsid w:val="00754B84"/>
    <w:rsid w:val="00755873"/>
    <w:rsid w:val="00756842"/>
    <w:rsid w:val="00756B87"/>
    <w:rsid w:val="00756CEB"/>
    <w:rsid w:val="007573CE"/>
    <w:rsid w:val="00757772"/>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0381"/>
    <w:rsid w:val="00773A30"/>
    <w:rsid w:val="00774BE0"/>
    <w:rsid w:val="00774E6A"/>
    <w:rsid w:val="00774F22"/>
    <w:rsid w:val="0077542A"/>
    <w:rsid w:val="0077563B"/>
    <w:rsid w:val="007760E6"/>
    <w:rsid w:val="00776604"/>
    <w:rsid w:val="00776B5C"/>
    <w:rsid w:val="00777B0F"/>
    <w:rsid w:val="007801AB"/>
    <w:rsid w:val="007807B9"/>
    <w:rsid w:val="00780A57"/>
    <w:rsid w:val="00781C9F"/>
    <w:rsid w:val="00781F54"/>
    <w:rsid w:val="0078214D"/>
    <w:rsid w:val="00782ABD"/>
    <w:rsid w:val="0078378D"/>
    <w:rsid w:val="00783B43"/>
    <w:rsid w:val="00783E2E"/>
    <w:rsid w:val="00784116"/>
    <w:rsid w:val="00784528"/>
    <w:rsid w:val="00784D69"/>
    <w:rsid w:val="0078508F"/>
    <w:rsid w:val="007858FD"/>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312A"/>
    <w:rsid w:val="007A3790"/>
    <w:rsid w:val="007A40DA"/>
    <w:rsid w:val="007A4ACE"/>
    <w:rsid w:val="007A52E7"/>
    <w:rsid w:val="007A57D9"/>
    <w:rsid w:val="007A5B41"/>
    <w:rsid w:val="007A6348"/>
    <w:rsid w:val="007A66C0"/>
    <w:rsid w:val="007A719B"/>
    <w:rsid w:val="007A7D7C"/>
    <w:rsid w:val="007B03BD"/>
    <w:rsid w:val="007B06F5"/>
    <w:rsid w:val="007B0938"/>
    <w:rsid w:val="007B0B6A"/>
    <w:rsid w:val="007B24C1"/>
    <w:rsid w:val="007B39E5"/>
    <w:rsid w:val="007B3CA6"/>
    <w:rsid w:val="007B430C"/>
    <w:rsid w:val="007B450D"/>
    <w:rsid w:val="007B5042"/>
    <w:rsid w:val="007B51AB"/>
    <w:rsid w:val="007B52C4"/>
    <w:rsid w:val="007B7234"/>
    <w:rsid w:val="007B753B"/>
    <w:rsid w:val="007B7AC5"/>
    <w:rsid w:val="007B7D56"/>
    <w:rsid w:val="007B7EAA"/>
    <w:rsid w:val="007C0138"/>
    <w:rsid w:val="007C10A3"/>
    <w:rsid w:val="007C143E"/>
    <w:rsid w:val="007C1452"/>
    <w:rsid w:val="007C2006"/>
    <w:rsid w:val="007C281E"/>
    <w:rsid w:val="007C28C5"/>
    <w:rsid w:val="007C2AD8"/>
    <w:rsid w:val="007C4555"/>
    <w:rsid w:val="007C4731"/>
    <w:rsid w:val="007C4DA8"/>
    <w:rsid w:val="007C517F"/>
    <w:rsid w:val="007C57E2"/>
    <w:rsid w:val="007C65B9"/>
    <w:rsid w:val="007C70E7"/>
    <w:rsid w:val="007D0688"/>
    <w:rsid w:val="007D10C5"/>
    <w:rsid w:val="007D13CC"/>
    <w:rsid w:val="007D1A01"/>
    <w:rsid w:val="007D1BF3"/>
    <w:rsid w:val="007D3752"/>
    <w:rsid w:val="007D3822"/>
    <w:rsid w:val="007D4424"/>
    <w:rsid w:val="007D469A"/>
    <w:rsid w:val="007D4867"/>
    <w:rsid w:val="007D4B25"/>
    <w:rsid w:val="007D507D"/>
    <w:rsid w:val="007D56C4"/>
    <w:rsid w:val="007D58EE"/>
    <w:rsid w:val="007D5A48"/>
    <w:rsid w:val="007D6175"/>
    <w:rsid w:val="007D62DA"/>
    <w:rsid w:val="007D6B68"/>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F48"/>
    <w:rsid w:val="007F4809"/>
    <w:rsid w:val="007F5878"/>
    <w:rsid w:val="007F5B8F"/>
    <w:rsid w:val="007F63DA"/>
    <w:rsid w:val="007F6455"/>
    <w:rsid w:val="007F6DE9"/>
    <w:rsid w:val="007F7DA0"/>
    <w:rsid w:val="007F7F6B"/>
    <w:rsid w:val="0080057B"/>
    <w:rsid w:val="00801670"/>
    <w:rsid w:val="00801A71"/>
    <w:rsid w:val="0080349B"/>
    <w:rsid w:val="008036B6"/>
    <w:rsid w:val="00804B77"/>
    <w:rsid w:val="008057D0"/>
    <w:rsid w:val="00805AF7"/>
    <w:rsid w:val="00807947"/>
    <w:rsid w:val="00807CEA"/>
    <w:rsid w:val="008107AF"/>
    <w:rsid w:val="00810AB5"/>
    <w:rsid w:val="00810E57"/>
    <w:rsid w:val="0081105A"/>
    <w:rsid w:val="008117BF"/>
    <w:rsid w:val="00811F52"/>
    <w:rsid w:val="0081234C"/>
    <w:rsid w:val="00812E82"/>
    <w:rsid w:val="0081368E"/>
    <w:rsid w:val="00813D20"/>
    <w:rsid w:val="0081451D"/>
    <w:rsid w:val="008148D8"/>
    <w:rsid w:val="00815785"/>
    <w:rsid w:val="0081655B"/>
    <w:rsid w:val="008171F6"/>
    <w:rsid w:val="008172CD"/>
    <w:rsid w:val="008200AB"/>
    <w:rsid w:val="00820515"/>
    <w:rsid w:val="00820844"/>
    <w:rsid w:val="00820D09"/>
    <w:rsid w:val="00822805"/>
    <w:rsid w:val="00822B8B"/>
    <w:rsid w:val="00823094"/>
    <w:rsid w:val="008233B7"/>
    <w:rsid w:val="00823F1B"/>
    <w:rsid w:val="00824369"/>
    <w:rsid w:val="00825111"/>
    <w:rsid w:val="008262F9"/>
    <w:rsid w:val="00826526"/>
    <w:rsid w:val="00830948"/>
    <w:rsid w:val="00831349"/>
    <w:rsid w:val="00832207"/>
    <w:rsid w:val="00832295"/>
    <w:rsid w:val="00832D66"/>
    <w:rsid w:val="00834849"/>
    <w:rsid w:val="008352DF"/>
    <w:rsid w:val="00835A16"/>
    <w:rsid w:val="008364B5"/>
    <w:rsid w:val="008373CB"/>
    <w:rsid w:val="00837904"/>
    <w:rsid w:val="00837D72"/>
    <w:rsid w:val="0084019F"/>
    <w:rsid w:val="008411A6"/>
    <w:rsid w:val="00841C4C"/>
    <w:rsid w:val="00843FDC"/>
    <w:rsid w:val="0084402B"/>
    <w:rsid w:val="008442B6"/>
    <w:rsid w:val="00844A15"/>
    <w:rsid w:val="00844BF7"/>
    <w:rsid w:val="00844EA8"/>
    <w:rsid w:val="0084566F"/>
    <w:rsid w:val="00846538"/>
    <w:rsid w:val="008465B3"/>
    <w:rsid w:val="00846A97"/>
    <w:rsid w:val="00847677"/>
    <w:rsid w:val="008477AF"/>
    <w:rsid w:val="00847C39"/>
    <w:rsid w:val="0085043C"/>
    <w:rsid w:val="008508A6"/>
    <w:rsid w:val="00851412"/>
    <w:rsid w:val="00853654"/>
    <w:rsid w:val="00853D79"/>
    <w:rsid w:val="00854969"/>
    <w:rsid w:val="00854AE7"/>
    <w:rsid w:val="0085577F"/>
    <w:rsid w:val="0085614F"/>
    <w:rsid w:val="00856274"/>
    <w:rsid w:val="008565D3"/>
    <w:rsid w:val="00857103"/>
    <w:rsid w:val="008575F0"/>
    <w:rsid w:val="0086035A"/>
    <w:rsid w:val="008604BA"/>
    <w:rsid w:val="00860AD6"/>
    <w:rsid w:val="008612A4"/>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36EF"/>
    <w:rsid w:val="00875078"/>
    <w:rsid w:val="00875844"/>
    <w:rsid w:val="00875F72"/>
    <w:rsid w:val="008761FF"/>
    <w:rsid w:val="00876B8A"/>
    <w:rsid w:val="0087704D"/>
    <w:rsid w:val="00877288"/>
    <w:rsid w:val="008805D5"/>
    <w:rsid w:val="00881319"/>
    <w:rsid w:val="0088179F"/>
    <w:rsid w:val="008833FF"/>
    <w:rsid w:val="00884786"/>
    <w:rsid w:val="00884B11"/>
    <w:rsid w:val="00885585"/>
    <w:rsid w:val="008864C7"/>
    <w:rsid w:val="008879C2"/>
    <w:rsid w:val="00890A51"/>
    <w:rsid w:val="00890C9B"/>
    <w:rsid w:val="0089115D"/>
    <w:rsid w:val="008918CA"/>
    <w:rsid w:val="00891946"/>
    <w:rsid w:val="00891B17"/>
    <w:rsid w:val="00892891"/>
    <w:rsid w:val="00893C49"/>
    <w:rsid w:val="00894E15"/>
    <w:rsid w:val="008950B5"/>
    <w:rsid w:val="00896B02"/>
    <w:rsid w:val="00896C92"/>
    <w:rsid w:val="00896CDE"/>
    <w:rsid w:val="00896E89"/>
    <w:rsid w:val="00897728"/>
    <w:rsid w:val="00897AA3"/>
    <w:rsid w:val="008A0586"/>
    <w:rsid w:val="008A072D"/>
    <w:rsid w:val="008A0C74"/>
    <w:rsid w:val="008A1014"/>
    <w:rsid w:val="008A14E9"/>
    <w:rsid w:val="008A1DFA"/>
    <w:rsid w:val="008A35E4"/>
    <w:rsid w:val="008A37BB"/>
    <w:rsid w:val="008A3FF2"/>
    <w:rsid w:val="008A45A1"/>
    <w:rsid w:val="008A4E02"/>
    <w:rsid w:val="008A534C"/>
    <w:rsid w:val="008A5EDF"/>
    <w:rsid w:val="008A62A7"/>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BF8"/>
    <w:rsid w:val="008C2C02"/>
    <w:rsid w:val="008C3F65"/>
    <w:rsid w:val="008C4388"/>
    <w:rsid w:val="008C4D2E"/>
    <w:rsid w:val="008C4D2F"/>
    <w:rsid w:val="008C500D"/>
    <w:rsid w:val="008C5AA4"/>
    <w:rsid w:val="008C5D94"/>
    <w:rsid w:val="008C6839"/>
    <w:rsid w:val="008C7080"/>
    <w:rsid w:val="008C7323"/>
    <w:rsid w:val="008C7451"/>
    <w:rsid w:val="008C74B6"/>
    <w:rsid w:val="008D05CC"/>
    <w:rsid w:val="008D086E"/>
    <w:rsid w:val="008D09CD"/>
    <w:rsid w:val="008D18C5"/>
    <w:rsid w:val="008D2867"/>
    <w:rsid w:val="008D2C47"/>
    <w:rsid w:val="008D2D93"/>
    <w:rsid w:val="008D4D21"/>
    <w:rsid w:val="008D4F05"/>
    <w:rsid w:val="008D5B34"/>
    <w:rsid w:val="008D5C6D"/>
    <w:rsid w:val="008D696C"/>
    <w:rsid w:val="008D6B1F"/>
    <w:rsid w:val="008D6DD1"/>
    <w:rsid w:val="008D716B"/>
    <w:rsid w:val="008D7763"/>
    <w:rsid w:val="008E01B2"/>
    <w:rsid w:val="008E0D92"/>
    <w:rsid w:val="008E2A23"/>
    <w:rsid w:val="008E2B02"/>
    <w:rsid w:val="008E3547"/>
    <w:rsid w:val="008E3553"/>
    <w:rsid w:val="008E4651"/>
    <w:rsid w:val="008E4C15"/>
    <w:rsid w:val="008E5035"/>
    <w:rsid w:val="008E59A9"/>
    <w:rsid w:val="008E6125"/>
    <w:rsid w:val="008E6152"/>
    <w:rsid w:val="008E65A5"/>
    <w:rsid w:val="008E6A69"/>
    <w:rsid w:val="008E7EA0"/>
    <w:rsid w:val="008F0FAB"/>
    <w:rsid w:val="008F1119"/>
    <w:rsid w:val="008F1167"/>
    <w:rsid w:val="008F197C"/>
    <w:rsid w:val="008F1C30"/>
    <w:rsid w:val="008F21D7"/>
    <w:rsid w:val="008F467B"/>
    <w:rsid w:val="008F4BDF"/>
    <w:rsid w:val="008F51DE"/>
    <w:rsid w:val="008F51FA"/>
    <w:rsid w:val="008F5B99"/>
    <w:rsid w:val="008F5BCA"/>
    <w:rsid w:val="008F6DBD"/>
    <w:rsid w:val="008F701A"/>
    <w:rsid w:val="008F7464"/>
    <w:rsid w:val="008F7D9C"/>
    <w:rsid w:val="009001F2"/>
    <w:rsid w:val="009024EE"/>
    <w:rsid w:val="00903F86"/>
    <w:rsid w:val="00903FEA"/>
    <w:rsid w:val="00904100"/>
    <w:rsid w:val="00904561"/>
    <w:rsid w:val="009054EE"/>
    <w:rsid w:val="009061BD"/>
    <w:rsid w:val="00906E13"/>
    <w:rsid w:val="00906E73"/>
    <w:rsid w:val="00907441"/>
    <w:rsid w:val="0090746A"/>
    <w:rsid w:val="00907AC6"/>
    <w:rsid w:val="009109C1"/>
    <w:rsid w:val="00910C18"/>
    <w:rsid w:val="00910EA4"/>
    <w:rsid w:val="00911254"/>
    <w:rsid w:val="00911946"/>
    <w:rsid w:val="009129B8"/>
    <w:rsid w:val="009130FC"/>
    <w:rsid w:val="0091373B"/>
    <w:rsid w:val="00913EB6"/>
    <w:rsid w:val="0091463F"/>
    <w:rsid w:val="00914D5E"/>
    <w:rsid w:val="00915112"/>
    <w:rsid w:val="00915266"/>
    <w:rsid w:val="00915577"/>
    <w:rsid w:val="00916528"/>
    <w:rsid w:val="00917237"/>
    <w:rsid w:val="0091739B"/>
    <w:rsid w:val="0091745F"/>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334C"/>
    <w:rsid w:val="0093444B"/>
    <w:rsid w:val="009346A8"/>
    <w:rsid w:val="00934945"/>
    <w:rsid w:val="0093592F"/>
    <w:rsid w:val="00936090"/>
    <w:rsid w:val="0093623F"/>
    <w:rsid w:val="009362DC"/>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63F6"/>
    <w:rsid w:val="009475E7"/>
    <w:rsid w:val="00947753"/>
    <w:rsid w:val="00947AA0"/>
    <w:rsid w:val="009509A8"/>
    <w:rsid w:val="00950DA5"/>
    <w:rsid w:val="00951062"/>
    <w:rsid w:val="009514DF"/>
    <w:rsid w:val="0095168C"/>
    <w:rsid w:val="009516E9"/>
    <w:rsid w:val="009531A8"/>
    <w:rsid w:val="0095332E"/>
    <w:rsid w:val="00953902"/>
    <w:rsid w:val="00953AB5"/>
    <w:rsid w:val="00953DB5"/>
    <w:rsid w:val="00954078"/>
    <w:rsid w:val="00956224"/>
    <w:rsid w:val="009562D1"/>
    <w:rsid w:val="00956633"/>
    <w:rsid w:val="00957CAA"/>
    <w:rsid w:val="00957E5F"/>
    <w:rsid w:val="00957FBB"/>
    <w:rsid w:val="0096023D"/>
    <w:rsid w:val="0096068E"/>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C8C"/>
    <w:rsid w:val="00973167"/>
    <w:rsid w:val="009736A9"/>
    <w:rsid w:val="00973A1C"/>
    <w:rsid w:val="00973DBA"/>
    <w:rsid w:val="00973E6C"/>
    <w:rsid w:val="009745F5"/>
    <w:rsid w:val="009749F7"/>
    <w:rsid w:val="0097569E"/>
    <w:rsid w:val="00975BC3"/>
    <w:rsid w:val="00976423"/>
    <w:rsid w:val="0097648C"/>
    <w:rsid w:val="00976A45"/>
    <w:rsid w:val="00976FD5"/>
    <w:rsid w:val="0097746E"/>
    <w:rsid w:val="0098081F"/>
    <w:rsid w:val="00980A97"/>
    <w:rsid w:val="0098378D"/>
    <w:rsid w:val="00983BE8"/>
    <w:rsid w:val="009849A4"/>
    <w:rsid w:val="00985D03"/>
    <w:rsid w:val="00985D28"/>
    <w:rsid w:val="0098614F"/>
    <w:rsid w:val="00986385"/>
    <w:rsid w:val="00986E9F"/>
    <w:rsid w:val="009875DF"/>
    <w:rsid w:val="00987612"/>
    <w:rsid w:val="009876B3"/>
    <w:rsid w:val="00991054"/>
    <w:rsid w:val="00991D37"/>
    <w:rsid w:val="00992189"/>
    <w:rsid w:val="00992433"/>
    <w:rsid w:val="009929D6"/>
    <w:rsid w:val="00993135"/>
    <w:rsid w:val="00993217"/>
    <w:rsid w:val="00993434"/>
    <w:rsid w:val="009934B2"/>
    <w:rsid w:val="00993858"/>
    <w:rsid w:val="00993FD7"/>
    <w:rsid w:val="009942E7"/>
    <w:rsid w:val="00994959"/>
    <w:rsid w:val="00994E3F"/>
    <w:rsid w:val="009959D7"/>
    <w:rsid w:val="00995A5D"/>
    <w:rsid w:val="009969F0"/>
    <w:rsid w:val="009A067E"/>
    <w:rsid w:val="009A0E18"/>
    <w:rsid w:val="009A1185"/>
    <w:rsid w:val="009A11EF"/>
    <w:rsid w:val="009A12E5"/>
    <w:rsid w:val="009A1471"/>
    <w:rsid w:val="009A17F9"/>
    <w:rsid w:val="009A1BB2"/>
    <w:rsid w:val="009A2441"/>
    <w:rsid w:val="009A24BA"/>
    <w:rsid w:val="009A270D"/>
    <w:rsid w:val="009A360F"/>
    <w:rsid w:val="009A392F"/>
    <w:rsid w:val="009A4BDF"/>
    <w:rsid w:val="009A508B"/>
    <w:rsid w:val="009A543A"/>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94F"/>
    <w:rsid w:val="009C4B1C"/>
    <w:rsid w:val="009C583A"/>
    <w:rsid w:val="009C5ADB"/>
    <w:rsid w:val="009C711D"/>
    <w:rsid w:val="009C78F8"/>
    <w:rsid w:val="009C7F0C"/>
    <w:rsid w:val="009D04C4"/>
    <w:rsid w:val="009D0C2F"/>
    <w:rsid w:val="009D1476"/>
    <w:rsid w:val="009D2B12"/>
    <w:rsid w:val="009D3486"/>
    <w:rsid w:val="009D3555"/>
    <w:rsid w:val="009D474A"/>
    <w:rsid w:val="009D4E18"/>
    <w:rsid w:val="009D64FF"/>
    <w:rsid w:val="009E0F86"/>
    <w:rsid w:val="009E2F5F"/>
    <w:rsid w:val="009E36E2"/>
    <w:rsid w:val="009E36E8"/>
    <w:rsid w:val="009E436B"/>
    <w:rsid w:val="009E5459"/>
    <w:rsid w:val="009E57EC"/>
    <w:rsid w:val="009E59E1"/>
    <w:rsid w:val="009E5E4E"/>
    <w:rsid w:val="009E61F6"/>
    <w:rsid w:val="009E688B"/>
    <w:rsid w:val="009E68CE"/>
    <w:rsid w:val="009E7C2F"/>
    <w:rsid w:val="009E7E93"/>
    <w:rsid w:val="009E7FF9"/>
    <w:rsid w:val="009F08F9"/>
    <w:rsid w:val="009F0BAB"/>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2D8E"/>
    <w:rsid w:val="00A02F26"/>
    <w:rsid w:val="00A03299"/>
    <w:rsid w:val="00A03AC9"/>
    <w:rsid w:val="00A0424C"/>
    <w:rsid w:val="00A048CE"/>
    <w:rsid w:val="00A04981"/>
    <w:rsid w:val="00A05CDF"/>
    <w:rsid w:val="00A061FF"/>
    <w:rsid w:val="00A06BE9"/>
    <w:rsid w:val="00A06D59"/>
    <w:rsid w:val="00A06E3B"/>
    <w:rsid w:val="00A07253"/>
    <w:rsid w:val="00A07432"/>
    <w:rsid w:val="00A07467"/>
    <w:rsid w:val="00A07727"/>
    <w:rsid w:val="00A07E36"/>
    <w:rsid w:val="00A1025A"/>
    <w:rsid w:val="00A11CCF"/>
    <w:rsid w:val="00A123BD"/>
    <w:rsid w:val="00A12D3A"/>
    <w:rsid w:val="00A12E5A"/>
    <w:rsid w:val="00A13528"/>
    <w:rsid w:val="00A138F6"/>
    <w:rsid w:val="00A14BD9"/>
    <w:rsid w:val="00A1535C"/>
    <w:rsid w:val="00A15AFF"/>
    <w:rsid w:val="00A16F90"/>
    <w:rsid w:val="00A17450"/>
    <w:rsid w:val="00A17FE6"/>
    <w:rsid w:val="00A20118"/>
    <w:rsid w:val="00A20589"/>
    <w:rsid w:val="00A20BA5"/>
    <w:rsid w:val="00A21263"/>
    <w:rsid w:val="00A21588"/>
    <w:rsid w:val="00A220DF"/>
    <w:rsid w:val="00A2231A"/>
    <w:rsid w:val="00A22617"/>
    <w:rsid w:val="00A23581"/>
    <w:rsid w:val="00A23958"/>
    <w:rsid w:val="00A23D7D"/>
    <w:rsid w:val="00A243FF"/>
    <w:rsid w:val="00A2442F"/>
    <w:rsid w:val="00A24F8C"/>
    <w:rsid w:val="00A24FD3"/>
    <w:rsid w:val="00A25029"/>
    <w:rsid w:val="00A256EE"/>
    <w:rsid w:val="00A25FA2"/>
    <w:rsid w:val="00A26A6E"/>
    <w:rsid w:val="00A27319"/>
    <w:rsid w:val="00A2736D"/>
    <w:rsid w:val="00A27EAF"/>
    <w:rsid w:val="00A30E17"/>
    <w:rsid w:val="00A3172B"/>
    <w:rsid w:val="00A3226E"/>
    <w:rsid w:val="00A32B97"/>
    <w:rsid w:val="00A32D64"/>
    <w:rsid w:val="00A331BB"/>
    <w:rsid w:val="00A331F9"/>
    <w:rsid w:val="00A34905"/>
    <w:rsid w:val="00A35D44"/>
    <w:rsid w:val="00A365EF"/>
    <w:rsid w:val="00A37704"/>
    <w:rsid w:val="00A406B2"/>
    <w:rsid w:val="00A4089E"/>
    <w:rsid w:val="00A40A59"/>
    <w:rsid w:val="00A40B34"/>
    <w:rsid w:val="00A4185D"/>
    <w:rsid w:val="00A418A2"/>
    <w:rsid w:val="00A4193F"/>
    <w:rsid w:val="00A41B28"/>
    <w:rsid w:val="00A41BF8"/>
    <w:rsid w:val="00A41EAF"/>
    <w:rsid w:val="00A42B9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50C"/>
    <w:rsid w:val="00A54B96"/>
    <w:rsid w:val="00A55520"/>
    <w:rsid w:val="00A55B55"/>
    <w:rsid w:val="00A56098"/>
    <w:rsid w:val="00A5645F"/>
    <w:rsid w:val="00A56E52"/>
    <w:rsid w:val="00A56F01"/>
    <w:rsid w:val="00A56F8C"/>
    <w:rsid w:val="00A60901"/>
    <w:rsid w:val="00A60D09"/>
    <w:rsid w:val="00A60F83"/>
    <w:rsid w:val="00A60FCD"/>
    <w:rsid w:val="00A61473"/>
    <w:rsid w:val="00A616B3"/>
    <w:rsid w:val="00A61E51"/>
    <w:rsid w:val="00A6233D"/>
    <w:rsid w:val="00A62B69"/>
    <w:rsid w:val="00A63119"/>
    <w:rsid w:val="00A637C6"/>
    <w:rsid w:val="00A63C60"/>
    <w:rsid w:val="00A64106"/>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059"/>
    <w:rsid w:val="00A739D0"/>
    <w:rsid w:val="00A7477C"/>
    <w:rsid w:val="00A7554D"/>
    <w:rsid w:val="00A7576A"/>
    <w:rsid w:val="00A75E86"/>
    <w:rsid w:val="00A76032"/>
    <w:rsid w:val="00A776E6"/>
    <w:rsid w:val="00A77A8B"/>
    <w:rsid w:val="00A80009"/>
    <w:rsid w:val="00A8023E"/>
    <w:rsid w:val="00A8099B"/>
    <w:rsid w:val="00A809B4"/>
    <w:rsid w:val="00A810E4"/>
    <w:rsid w:val="00A8221F"/>
    <w:rsid w:val="00A824DF"/>
    <w:rsid w:val="00A8299B"/>
    <w:rsid w:val="00A83B56"/>
    <w:rsid w:val="00A84C50"/>
    <w:rsid w:val="00A853C4"/>
    <w:rsid w:val="00A8563A"/>
    <w:rsid w:val="00A857D1"/>
    <w:rsid w:val="00A859C2"/>
    <w:rsid w:val="00A85A28"/>
    <w:rsid w:val="00A864EA"/>
    <w:rsid w:val="00A86B8F"/>
    <w:rsid w:val="00A86EC5"/>
    <w:rsid w:val="00A87C84"/>
    <w:rsid w:val="00A91397"/>
    <w:rsid w:val="00A91E24"/>
    <w:rsid w:val="00A924E7"/>
    <w:rsid w:val="00A92615"/>
    <w:rsid w:val="00A928E7"/>
    <w:rsid w:val="00A92CA2"/>
    <w:rsid w:val="00A92E5D"/>
    <w:rsid w:val="00A93100"/>
    <w:rsid w:val="00A934C3"/>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C77"/>
    <w:rsid w:val="00AA1EA6"/>
    <w:rsid w:val="00AA2414"/>
    <w:rsid w:val="00AA336F"/>
    <w:rsid w:val="00AA3815"/>
    <w:rsid w:val="00AA6DC6"/>
    <w:rsid w:val="00AA7702"/>
    <w:rsid w:val="00AA7FCF"/>
    <w:rsid w:val="00AB0272"/>
    <w:rsid w:val="00AB0CFD"/>
    <w:rsid w:val="00AB0DAE"/>
    <w:rsid w:val="00AB1B1F"/>
    <w:rsid w:val="00AB1DEE"/>
    <w:rsid w:val="00AB320B"/>
    <w:rsid w:val="00AB338C"/>
    <w:rsid w:val="00AB36A2"/>
    <w:rsid w:val="00AB55A8"/>
    <w:rsid w:val="00AB584F"/>
    <w:rsid w:val="00AB63B6"/>
    <w:rsid w:val="00AB65B2"/>
    <w:rsid w:val="00AB68A8"/>
    <w:rsid w:val="00AB6E4C"/>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4286"/>
    <w:rsid w:val="00AC5DDD"/>
    <w:rsid w:val="00AC6090"/>
    <w:rsid w:val="00AC61E6"/>
    <w:rsid w:val="00AC66B1"/>
    <w:rsid w:val="00AC7388"/>
    <w:rsid w:val="00AD0C46"/>
    <w:rsid w:val="00AD139B"/>
    <w:rsid w:val="00AD2659"/>
    <w:rsid w:val="00AD290B"/>
    <w:rsid w:val="00AD3BF0"/>
    <w:rsid w:val="00AD3E79"/>
    <w:rsid w:val="00AD41B0"/>
    <w:rsid w:val="00AD4511"/>
    <w:rsid w:val="00AD4A8F"/>
    <w:rsid w:val="00AD54F4"/>
    <w:rsid w:val="00AD5DDA"/>
    <w:rsid w:val="00AD677C"/>
    <w:rsid w:val="00AD6D77"/>
    <w:rsid w:val="00AD7465"/>
    <w:rsid w:val="00AD7517"/>
    <w:rsid w:val="00AE03EA"/>
    <w:rsid w:val="00AE102D"/>
    <w:rsid w:val="00AE1EB4"/>
    <w:rsid w:val="00AE22C4"/>
    <w:rsid w:val="00AE2EB8"/>
    <w:rsid w:val="00AE3346"/>
    <w:rsid w:val="00AE383F"/>
    <w:rsid w:val="00AE3E81"/>
    <w:rsid w:val="00AE45BB"/>
    <w:rsid w:val="00AE4996"/>
    <w:rsid w:val="00AE49A2"/>
    <w:rsid w:val="00AE4B71"/>
    <w:rsid w:val="00AE4D3C"/>
    <w:rsid w:val="00AE4F13"/>
    <w:rsid w:val="00AE4FB6"/>
    <w:rsid w:val="00AE56DA"/>
    <w:rsid w:val="00AE620A"/>
    <w:rsid w:val="00AE719D"/>
    <w:rsid w:val="00AE74D5"/>
    <w:rsid w:val="00AE750C"/>
    <w:rsid w:val="00AE7EC8"/>
    <w:rsid w:val="00AF01A4"/>
    <w:rsid w:val="00AF0210"/>
    <w:rsid w:val="00AF0B68"/>
    <w:rsid w:val="00AF28DA"/>
    <w:rsid w:val="00AF33C1"/>
    <w:rsid w:val="00AF3895"/>
    <w:rsid w:val="00AF3E9B"/>
    <w:rsid w:val="00AF40F7"/>
    <w:rsid w:val="00AF42A3"/>
    <w:rsid w:val="00AF4F5D"/>
    <w:rsid w:val="00AF54D0"/>
    <w:rsid w:val="00AF68D9"/>
    <w:rsid w:val="00AF6B72"/>
    <w:rsid w:val="00AF6FA5"/>
    <w:rsid w:val="00B00417"/>
    <w:rsid w:val="00B0156D"/>
    <w:rsid w:val="00B0159F"/>
    <w:rsid w:val="00B02743"/>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B91"/>
    <w:rsid w:val="00B13CCA"/>
    <w:rsid w:val="00B14A34"/>
    <w:rsid w:val="00B14D5C"/>
    <w:rsid w:val="00B14DDD"/>
    <w:rsid w:val="00B15AF7"/>
    <w:rsid w:val="00B16B40"/>
    <w:rsid w:val="00B16B93"/>
    <w:rsid w:val="00B171FA"/>
    <w:rsid w:val="00B206A6"/>
    <w:rsid w:val="00B20FE6"/>
    <w:rsid w:val="00B21169"/>
    <w:rsid w:val="00B211A5"/>
    <w:rsid w:val="00B21307"/>
    <w:rsid w:val="00B21526"/>
    <w:rsid w:val="00B21601"/>
    <w:rsid w:val="00B21653"/>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1A0A"/>
    <w:rsid w:val="00B32A8D"/>
    <w:rsid w:val="00B32AEA"/>
    <w:rsid w:val="00B32D33"/>
    <w:rsid w:val="00B32E41"/>
    <w:rsid w:val="00B32E91"/>
    <w:rsid w:val="00B3313B"/>
    <w:rsid w:val="00B339BD"/>
    <w:rsid w:val="00B33AF7"/>
    <w:rsid w:val="00B33EAB"/>
    <w:rsid w:val="00B341F7"/>
    <w:rsid w:val="00B34DE1"/>
    <w:rsid w:val="00B351F3"/>
    <w:rsid w:val="00B3523C"/>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0A2"/>
    <w:rsid w:val="00B44637"/>
    <w:rsid w:val="00B44649"/>
    <w:rsid w:val="00B448E7"/>
    <w:rsid w:val="00B45A6E"/>
    <w:rsid w:val="00B45AC2"/>
    <w:rsid w:val="00B45B39"/>
    <w:rsid w:val="00B45EE1"/>
    <w:rsid w:val="00B4652C"/>
    <w:rsid w:val="00B465DA"/>
    <w:rsid w:val="00B47081"/>
    <w:rsid w:val="00B47396"/>
    <w:rsid w:val="00B5037B"/>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4E73"/>
    <w:rsid w:val="00B650D0"/>
    <w:rsid w:val="00B65135"/>
    <w:rsid w:val="00B65FCD"/>
    <w:rsid w:val="00B664A8"/>
    <w:rsid w:val="00B66544"/>
    <w:rsid w:val="00B66A2C"/>
    <w:rsid w:val="00B66F3A"/>
    <w:rsid w:val="00B67003"/>
    <w:rsid w:val="00B71B9A"/>
    <w:rsid w:val="00B71CD9"/>
    <w:rsid w:val="00B72A8C"/>
    <w:rsid w:val="00B7322E"/>
    <w:rsid w:val="00B73DB9"/>
    <w:rsid w:val="00B73DE0"/>
    <w:rsid w:val="00B756ED"/>
    <w:rsid w:val="00B769BD"/>
    <w:rsid w:val="00B77000"/>
    <w:rsid w:val="00B77255"/>
    <w:rsid w:val="00B77488"/>
    <w:rsid w:val="00B800F5"/>
    <w:rsid w:val="00B80495"/>
    <w:rsid w:val="00B808C9"/>
    <w:rsid w:val="00B80F9B"/>
    <w:rsid w:val="00B8109E"/>
    <w:rsid w:val="00B81C62"/>
    <w:rsid w:val="00B827F5"/>
    <w:rsid w:val="00B82A9E"/>
    <w:rsid w:val="00B82BA2"/>
    <w:rsid w:val="00B837BD"/>
    <w:rsid w:val="00B84056"/>
    <w:rsid w:val="00B8436C"/>
    <w:rsid w:val="00B844A5"/>
    <w:rsid w:val="00B84CB3"/>
    <w:rsid w:val="00B84DC8"/>
    <w:rsid w:val="00B84EA1"/>
    <w:rsid w:val="00B865B4"/>
    <w:rsid w:val="00B86874"/>
    <w:rsid w:val="00B8713C"/>
    <w:rsid w:val="00B87949"/>
    <w:rsid w:val="00B879F5"/>
    <w:rsid w:val="00B87F1E"/>
    <w:rsid w:val="00B90BEB"/>
    <w:rsid w:val="00B9101D"/>
    <w:rsid w:val="00B91747"/>
    <w:rsid w:val="00B91759"/>
    <w:rsid w:val="00B93467"/>
    <w:rsid w:val="00B93520"/>
    <w:rsid w:val="00B93C73"/>
    <w:rsid w:val="00B93C77"/>
    <w:rsid w:val="00B95821"/>
    <w:rsid w:val="00B95C94"/>
    <w:rsid w:val="00B95DBD"/>
    <w:rsid w:val="00B9667D"/>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7E56"/>
    <w:rsid w:val="00BB017D"/>
    <w:rsid w:val="00BB029D"/>
    <w:rsid w:val="00BB079B"/>
    <w:rsid w:val="00BB07F5"/>
    <w:rsid w:val="00BB0A5F"/>
    <w:rsid w:val="00BB1386"/>
    <w:rsid w:val="00BB1802"/>
    <w:rsid w:val="00BB2D75"/>
    <w:rsid w:val="00BB2DA1"/>
    <w:rsid w:val="00BB5BD6"/>
    <w:rsid w:val="00BB67D3"/>
    <w:rsid w:val="00BB68EA"/>
    <w:rsid w:val="00BB7268"/>
    <w:rsid w:val="00BC1839"/>
    <w:rsid w:val="00BC1DE9"/>
    <w:rsid w:val="00BC1E32"/>
    <w:rsid w:val="00BC215A"/>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035"/>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384"/>
    <w:rsid w:val="00BF549E"/>
    <w:rsid w:val="00BF55FD"/>
    <w:rsid w:val="00BF5784"/>
    <w:rsid w:val="00BF5F04"/>
    <w:rsid w:val="00BF60D3"/>
    <w:rsid w:val="00BF6AD1"/>
    <w:rsid w:val="00BF6B03"/>
    <w:rsid w:val="00BF6CEA"/>
    <w:rsid w:val="00BF792E"/>
    <w:rsid w:val="00BF7F17"/>
    <w:rsid w:val="00C00B7B"/>
    <w:rsid w:val="00C0103F"/>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EBC"/>
    <w:rsid w:val="00C101EA"/>
    <w:rsid w:val="00C10876"/>
    <w:rsid w:val="00C10D0D"/>
    <w:rsid w:val="00C10DCF"/>
    <w:rsid w:val="00C1162F"/>
    <w:rsid w:val="00C120E3"/>
    <w:rsid w:val="00C12113"/>
    <w:rsid w:val="00C12121"/>
    <w:rsid w:val="00C122D2"/>
    <w:rsid w:val="00C12A17"/>
    <w:rsid w:val="00C141BB"/>
    <w:rsid w:val="00C1420C"/>
    <w:rsid w:val="00C14211"/>
    <w:rsid w:val="00C14340"/>
    <w:rsid w:val="00C14382"/>
    <w:rsid w:val="00C144B7"/>
    <w:rsid w:val="00C14A06"/>
    <w:rsid w:val="00C15240"/>
    <w:rsid w:val="00C15B0B"/>
    <w:rsid w:val="00C15B4A"/>
    <w:rsid w:val="00C15BB5"/>
    <w:rsid w:val="00C15F1B"/>
    <w:rsid w:val="00C17052"/>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3ED"/>
    <w:rsid w:val="00C2442E"/>
    <w:rsid w:val="00C244D5"/>
    <w:rsid w:val="00C2524E"/>
    <w:rsid w:val="00C261E0"/>
    <w:rsid w:val="00C264B8"/>
    <w:rsid w:val="00C2685F"/>
    <w:rsid w:val="00C26D20"/>
    <w:rsid w:val="00C270EF"/>
    <w:rsid w:val="00C27D24"/>
    <w:rsid w:val="00C30843"/>
    <w:rsid w:val="00C30B79"/>
    <w:rsid w:val="00C3207C"/>
    <w:rsid w:val="00C32BF4"/>
    <w:rsid w:val="00C3322D"/>
    <w:rsid w:val="00C34879"/>
    <w:rsid w:val="00C34C77"/>
    <w:rsid w:val="00C34D1A"/>
    <w:rsid w:val="00C34F88"/>
    <w:rsid w:val="00C35984"/>
    <w:rsid w:val="00C3610E"/>
    <w:rsid w:val="00C36C05"/>
    <w:rsid w:val="00C377D6"/>
    <w:rsid w:val="00C379CF"/>
    <w:rsid w:val="00C37A1F"/>
    <w:rsid w:val="00C40245"/>
    <w:rsid w:val="00C4178F"/>
    <w:rsid w:val="00C42DE2"/>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99A"/>
    <w:rsid w:val="00C57E00"/>
    <w:rsid w:val="00C60A55"/>
    <w:rsid w:val="00C60C53"/>
    <w:rsid w:val="00C60E9D"/>
    <w:rsid w:val="00C6119C"/>
    <w:rsid w:val="00C61C09"/>
    <w:rsid w:val="00C61D9A"/>
    <w:rsid w:val="00C61DC3"/>
    <w:rsid w:val="00C63A87"/>
    <w:rsid w:val="00C63C38"/>
    <w:rsid w:val="00C66009"/>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5D6"/>
    <w:rsid w:val="00C82806"/>
    <w:rsid w:val="00C828F1"/>
    <w:rsid w:val="00C82A3D"/>
    <w:rsid w:val="00C8331F"/>
    <w:rsid w:val="00C84E0B"/>
    <w:rsid w:val="00C86321"/>
    <w:rsid w:val="00C86E7A"/>
    <w:rsid w:val="00C8714C"/>
    <w:rsid w:val="00C87BDE"/>
    <w:rsid w:val="00C90E74"/>
    <w:rsid w:val="00C90F97"/>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00"/>
    <w:rsid w:val="00C963B5"/>
    <w:rsid w:val="00C96D3E"/>
    <w:rsid w:val="00C97066"/>
    <w:rsid w:val="00C9741C"/>
    <w:rsid w:val="00CA0785"/>
    <w:rsid w:val="00CA0CAF"/>
    <w:rsid w:val="00CA1026"/>
    <w:rsid w:val="00CA146E"/>
    <w:rsid w:val="00CA14A7"/>
    <w:rsid w:val="00CA1720"/>
    <w:rsid w:val="00CA1E86"/>
    <w:rsid w:val="00CA37F5"/>
    <w:rsid w:val="00CA40B5"/>
    <w:rsid w:val="00CA473D"/>
    <w:rsid w:val="00CA4EB0"/>
    <w:rsid w:val="00CA5CAC"/>
    <w:rsid w:val="00CA6814"/>
    <w:rsid w:val="00CA719F"/>
    <w:rsid w:val="00CA79B5"/>
    <w:rsid w:val="00CB0A79"/>
    <w:rsid w:val="00CB0EB8"/>
    <w:rsid w:val="00CB1317"/>
    <w:rsid w:val="00CB19DE"/>
    <w:rsid w:val="00CB1CFA"/>
    <w:rsid w:val="00CB1EB0"/>
    <w:rsid w:val="00CB27C0"/>
    <w:rsid w:val="00CB2DF1"/>
    <w:rsid w:val="00CB3252"/>
    <w:rsid w:val="00CB3462"/>
    <w:rsid w:val="00CB3961"/>
    <w:rsid w:val="00CB3BF2"/>
    <w:rsid w:val="00CB43D4"/>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1FB3"/>
    <w:rsid w:val="00CC204E"/>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E0A4B"/>
    <w:rsid w:val="00CE1222"/>
    <w:rsid w:val="00CE128B"/>
    <w:rsid w:val="00CE1596"/>
    <w:rsid w:val="00CE17CF"/>
    <w:rsid w:val="00CE1ED5"/>
    <w:rsid w:val="00CE5131"/>
    <w:rsid w:val="00CE5AF1"/>
    <w:rsid w:val="00CE62ED"/>
    <w:rsid w:val="00CE66FB"/>
    <w:rsid w:val="00CE6834"/>
    <w:rsid w:val="00CE6866"/>
    <w:rsid w:val="00CE6D31"/>
    <w:rsid w:val="00CE7818"/>
    <w:rsid w:val="00CE7862"/>
    <w:rsid w:val="00CF02CC"/>
    <w:rsid w:val="00CF188F"/>
    <w:rsid w:val="00CF191A"/>
    <w:rsid w:val="00CF1B0D"/>
    <w:rsid w:val="00CF2DC2"/>
    <w:rsid w:val="00CF425A"/>
    <w:rsid w:val="00CF585E"/>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62CF"/>
    <w:rsid w:val="00D07DA2"/>
    <w:rsid w:val="00D10D3F"/>
    <w:rsid w:val="00D126C8"/>
    <w:rsid w:val="00D12855"/>
    <w:rsid w:val="00D129D1"/>
    <w:rsid w:val="00D1362C"/>
    <w:rsid w:val="00D137F8"/>
    <w:rsid w:val="00D13AAF"/>
    <w:rsid w:val="00D1431C"/>
    <w:rsid w:val="00D14577"/>
    <w:rsid w:val="00D1549B"/>
    <w:rsid w:val="00D15B11"/>
    <w:rsid w:val="00D165F0"/>
    <w:rsid w:val="00D17B2B"/>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5B1"/>
    <w:rsid w:val="00D32616"/>
    <w:rsid w:val="00D3303D"/>
    <w:rsid w:val="00D331D7"/>
    <w:rsid w:val="00D3347C"/>
    <w:rsid w:val="00D33DD8"/>
    <w:rsid w:val="00D347B6"/>
    <w:rsid w:val="00D34BE3"/>
    <w:rsid w:val="00D34E6C"/>
    <w:rsid w:val="00D35B28"/>
    <w:rsid w:val="00D35B4E"/>
    <w:rsid w:val="00D3611D"/>
    <w:rsid w:val="00D36B51"/>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47D61"/>
    <w:rsid w:val="00D50096"/>
    <w:rsid w:val="00D50121"/>
    <w:rsid w:val="00D513B4"/>
    <w:rsid w:val="00D51633"/>
    <w:rsid w:val="00D5195C"/>
    <w:rsid w:val="00D524A7"/>
    <w:rsid w:val="00D5470F"/>
    <w:rsid w:val="00D5524F"/>
    <w:rsid w:val="00D55C84"/>
    <w:rsid w:val="00D55E85"/>
    <w:rsid w:val="00D560B0"/>
    <w:rsid w:val="00D56AA6"/>
    <w:rsid w:val="00D56BB2"/>
    <w:rsid w:val="00D573F8"/>
    <w:rsid w:val="00D57437"/>
    <w:rsid w:val="00D57655"/>
    <w:rsid w:val="00D610A3"/>
    <w:rsid w:val="00D613B3"/>
    <w:rsid w:val="00D6143F"/>
    <w:rsid w:val="00D61AB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14"/>
    <w:rsid w:val="00D70BF7"/>
    <w:rsid w:val="00D7106C"/>
    <w:rsid w:val="00D71136"/>
    <w:rsid w:val="00D71420"/>
    <w:rsid w:val="00D714F1"/>
    <w:rsid w:val="00D716AF"/>
    <w:rsid w:val="00D71C37"/>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5EEF"/>
    <w:rsid w:val="00D967C3"/>
    <w:rsid w:val="00D96906"/>
    <w:rsid w:val="00D969A1"/>
    <w:rsid w:val="00D96B08"/>
    <w:rsid w:val="00D97006"/>
    <w:rsid w:val="00D97304"/>
    <w:rsid w:val="00D9772C"/>
    <w:rsid w:val="00D97A41"/>
    <w:rsid w:val="00D97C6E"/>
    <w:rsid w:val="00DA0048"/>
    <w:rsid w:val="00DA044D"/>
    <w:rsid w:val="00DA0C35"/>
    <w:rsid w:val="00DA0DA5"/>
    <w:rsid w:val="00DA1886"/>
    <w:rsid w:val="00DA1A3A"/>
    <w:rsid w:val="00DA1D8D"/>
    <w:rsid w:val="00DA21C4"/>
    <w:rsid w:val="00DA24B2"/>
    <w:rsid w:val="00DA4774"/>
    <w:rsid w:val="00DA4DC3"/>
    <w:rsid w:val="00DA712F"/>
    <w:rsid w:val="00DA72EA"/>
    <w:rsid w:val="00DB01E5"/>
    <w:rsid w:val="00DB027B"/>
    <w:rsid w:val="00DB02B0"/>
    <w:rsid w:val="00DB1566"/>
    <w:rsid w:val="00DB1B1B"/>
    <w:rsid w:val="00DB1CC4"/>
    <w:rsid w:val="00DB1D61"/>
    <w:rsid w:val="00DB2E57"/>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1C52"/>
    <w:rsid w:val="00DC2064"/>
    <w:rsid w:val="00DC279D"/>
    <w:rsid w:val="00DC2A07"/>
    <w:rsid w:val="00DC31EB"/>
    <w:rsid w:val="00DC362E"/>
    <w:rsid w:val="00DC3718"/>
    <w:rsid w:val="00DC3846"/>
    <w:rsid w:val="00DC4592"/>
    <w:rsid w:val="00DC5971"/>
    <w:rsid w:val="00DC5C6E"/>
    <w:rsid w:val="00DC5E44"/>
    <w:rsid w:val="00DC5ED3"/>
    <w:rsid w:val="00DC6021"/>
    <w:rsid w:val="00DC63EC"/>
    <w:rsid w:val="00DC78A7"/>
    <w:rsid w:val="00DD0758"/>
    <w:rsid w:val="00DD1729"/>
    <w:rsid w:val="00DD2295"/>
    <w:rsid w:val="00DD27E1"/>
    <w:rsid w:val="00DD292B"/>
    <w:rsid w:val="00DD2CDF"/>
    <w:rsid w:val="00DD31B6"/>
    <w:rsid w:val="00DD3EF6"/>
    <w:rsid w:val="00DD4AC5"/>
    <w:rsid w:val="00DD51E9"/>
    <w:rsid w:val="00DD5A7F"/>
    <w:rsid w:val="00DD761D"/>
    <w:rsid w:val="00DE0F18"/>
    <w:rsid w:val="00DE1370"/>
    <w:rsid w:val="00DE29BF"/>
    <w:rsid w:val="00DE2BD7"/>
    <w:rsid w:val="00DE2E6F"/>
    <w:rsid w:val="00DE3F6C"/>
    <w:rsid w:val="00DE408D"/>
    <w:rsid w:val="00DE4F17"/>
    <w:rsid w:val="00DE611B"/>
    <w:rsid w:val="00DE61FE"/>
    <w:rsid w:val="00DE62FE"/>
    <w:rsid w:val="00DE6460"/>
    <w:rsid w:val="00DE7E14"/>
    <w:rsid w:val="00DE7EFD"/>
    <w:rsid w:val="00DF125F"/>
    <w:rsid w:val="00DF17D2"/>
    <w:rsid w:val="00DF190D"/>
    <w:rsid w:val="00DF21D9"/>
    <w:rsid w:val="00DF34C1"/>
    <w:rsid w:val="00DF3712"/>
    <w:rsid w:val="00DF3B4E"/>
    <w:rsid w:val="00DF3F41"/>
    <w:rsid w:val="00DF4FB6"/>
    <w:rsid w:val="00DF56A9"/>
    <w:rsid w:val="00DF5E7B"/>
    <w:rsid w:val="00DF68E6"/>
    <w:rsid w:val="00DF74DA"/>
    <w:rsid w:val="00DF765D"/>
    <w:rsid w:val="00DF7D4C"/>
    <w:rsid w:val="00DF7EEE"/>
    <w:rsid w:val="00E005B9"/>
    <w:rsid w:val="00E009D2"/>
    <w:rsid w:val="00E00BA3"/>
    <w:rsid w:val="00E0144F"/>
    <w:rsid w:val="00E01BCA"/>
    <w:rsid w:val="00E02315"/>
    <w:rsid w:val="00E02C54"/>
    <w:rsid w:val="00E03252"/>
    <w:rsid w:val="00E06D04"/>
    <w:rsid w:val="00E074E3"/>
    <w:rsid w:val="00E07555"/>
    <w:rsid w:val="00E101B0"/>
    <w:rsid w:val="00E10A6A"/>
    <w:rsid w:val="00E10B4E"/>
    <w:rsid w:val="00E10BF3"/>
    <w:rsid w:val="00E10D04"/>
    <w:rsid w:val="00E11379"/>
    <w:rsid w:val="00E12056"/>
    <w:rsid w:val="00E123BB"/>
    <w:rsid w:val="00E126C2"/>
    <w:rsid w:val="00E1274E"/>
    <w:rsid w:val="00E12C62"/>
    <w:rsid w:val="00E1447C"/>
    <w:rsid w:val="00E152A9"/>
    <w:rsid w:val="00E15974"/>
    <w:rsid w:val="00E15BA5"/>
    <w:rsid w:val="00E16C61"/>
    <w:rsid w:val="00E16D68"/>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930"/>
    <w:rsid w:val="00E25A75"/>
    <w:rsid w:val="00E25C90"/>
    <w:rsid w:val="00E275EC"/>
    <w:rsid w:val="00E278F1"/>
    <w:rsid w:val="00E27962"/>
    <w:rsid w:val="00E27B18"/>
    <w:rsid w:val="00E27EE2"/>
    <w:rsid w:val="00E27F4C"/>
    <w:rsid w:val="00E3065C"/>
    <w:rsid w:val="00E30D7F"/>
    <w:rsid w:val="00E3145B"/>
    <w:rsid w:val="00E327F4"/>
    <w:rsid w:val="00E32F5A"/>
    <w:rsid w:val="00E3304A"/>
    <w:rsid w:val="00E3321B"/>
    <w:rsid w:val="00E33248"/>
    <w:rsid w:val="00E33535"/>
    <w:rsid w:val="00E336D6"/>
    <w:rsid w:val="00E341A0"/>
    <w:rsid w:val="00E3424C"/>
    <w:rsid w:val="00E349AB"/>
    <w:rsid w:val="00E34EDD"/>
    <w:rsid w:val="00E3501B"/>
    <w:rsid w:val="00E35208"/>
    <w:rsid w:val="00E3524F"/>
    <w:rsid w:val="00E35ADA"/>
    <w:rsid w:val="00E3702D"/>
    <w:rsid w:val="00E405A2"/>
    <w:rsid w:val="00E411D2"/>
    <w:rsid w:val="00E41246"/>
    <w:rsid w:val="00E42493"/>
    <w:rsid w:val="00E42C05"/>
    <w:rsid w:val="00E42F96"/>
    <w:rsid w:val="00E42FB4"/>
    <w:rsid w:val="00E430D0"/>
    <w:rsid w:val="00E43481"/>
    <w:rsid w:val="00E434A4"/>
    <w:rsid w:val="00E435F5"/>
    <w:rsid w:val="00E4393C"/>
    <w:rsid w:val="00E45C38"/>
    <w:rsid w:val="00E46053"/>
    <w:rsid w:val="00E47998"/>
    <w:rsid w:val="00E523A2"/>
    <w:rsid w:val="00E523BA"/>
    <w:rsid w:val="00E52BBC"/>
    <w:rsid w:val="00E5439A"/>
    <w:rsid w:val="00E5454B"/>
    <w:rsid w:val="00E548EC"/>
    <w:rsid w:val="00E54BE0"/>
    <w:rsid w:val="00E55097"/>
    <w:rsid w:val="00E55451"/>
    <w:rsid w:val="00E55F6A"/>
    <w:rsid w:val="00E60184"/>
    <w:rsid w:val="00E60722"/>
    <w:rsid w:val="00E621EC"/>
    <w:rsid w:val="00E62BF1"/>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5FB"/>
    <w:rsid w:val="00E75E83"/>
    <w:rsid w:val="00E76A9C"/>
    <w:rsid w:val="00E779C8"/>
    <w:rsid w:val="00E803AD"/>
    <w:rsid w:val="00E805BC"/>
    <w:rsid w:val="00E81B2B"/>
    <w:rsid w:val="00E81D87"/>
    <w:rsid w:val="00E82DB6"/>
    <w:rsid w:val="00E82FE8"/>
    <w:rsid w:val="00E831F8"/>
    <w:rsid w:val="00E84666"/>
    <w:rsid w:val="00E84B4B"/>
    <w:rsid w:val="00E86D2A"/>
    <w:rsid w:val="00E875B0"/>
    <w:rsid w:val="00E87810"/>
    <w:rsid w:val="00E9038E"/>
    <w:rsid w:val="00E90D16"/>
    <w:rsid w:val="00E910F4"/>
    <w:rsid w:val="00E91817"/>
    <w:rsid w:val="00E92FAF"/>
    <w:rsid w:val="00E93FF5"/>
    <w:rsid w:val="00E948E3"/>
    <w:rsid w:val="00E94C87"/>
    <w:rsid w:val="00E95B64"/>
    <w:rsid w:val="00E964CF"/>
    <w:rsid w:val="00E964E1"/>
    <w:rsid w:val="00E96946"/>
    <w:rsid w:val="00E96CAF"/>
    <w:rsid w:val="00E96EE6"/>
    <w:rsid w:val="00E96F46"/>
    <w:rsid w:val="00E972F4"/>
    <w:rsid w:val="00E974E4"/>
    <w:rsid w:val="00E97515"/>
    <w:rsid w:val="00EA0016"/>
    <w:rsid w:val="00EA0167"/>
    <w:rsid w:val="00EA029C"/>
    <w:rsid w:val="00EA0B9D"/>
    <w:rsid w:val="00EA0C5E"/>
    <w:rsid w:val="00EA0EBE"/>
    <w:rsid w:val="00EA3C5B"/>
    <w:rsid w:val="00EA3E7D"/>
    <w:rsid w:val="00EA3E98"/>
    <w:rsid w:val="00EA40A4"/>
    <w:rsid w:val="00EA4249"/>
    <w:rsid w:val="00EA5341"/>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76C"/>
    <w:rsid w:val="00EB69E2"/>
    <w:rsid w:val="00EB7337"/>
    <w:rsid w:val="00EB73BE"/>
    <w:rsid w:val="00EB7443"/>
    <w:rsid w:val="00EB7486"/>
    <w:rsid w:val="00EB7784"/>
    <w:rsid w:val="00EB79BB"/>
    <w:rsid w:val="00EB7F04"/>
    <w:rsid w:val="00EC077F"/>
    <w:rsid w:val="00EC0B04"/>
    <w:rsid w:val="00EC0F0E"/>
    <w:rsid w:val="00EC18CB"/>
    <w:rsid w:val="00EC1E11"/>
    <w:rsid w:val="00EC2F6F"/>
    <w:rsid w:val="00EC343E"/>
    <w:rsid w:val="00EC3C10"/>
    <w:rsid w:val="00EC3FF4"/>
    <w:rsid w:val="00EC4166"/>
    <w:rsid w:val="00EC5097"/>
    <w:rsid w:val="00EC521D"/>
    <w:rsid w:val="00EC71FA"/>
    <w:rsid w:val="00EC7832"/>
    <w:rsid w:val="00EC7D78"/>
    <w:rsid w:val="00EC7E3E"/>
    <w:rsid w:val="00ED0337"/>
    <w:rsid w:val="00ED138E"/>
    <w:rsid w:val="00ED1C4B"/>
    <w:rsid w:val="00ED202D"/>
    <w:rsid w:val="00ED2699"/>
    <w:rsid w:val="00ED2C33"/>
    <w:rsid w:val="00ED2DDB"/>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2CFD"/>
    <w:rsid w:val="00EE3B74"/>
    <w:rsid w:val="00EE3EF4"/>
    <w:rsid w:val="00EE4038"/>
    <w:rsid w:val="00EE413A"/>
    <w:rsid w:val="00EE49A7"/>
    <w:rsid w:val="00EE54BB"/>
    <w:rsid w:val="00EE5760"/>
    <w:rsid w:val="00EE6247"/>
    <w:rsid w:val="00EE6CEA"/>
    <w:rsid w:val="00EF0032"/>
    <w:rsid w:val="00EF03B1"/>
    <w:rsid w:val="00EF0D2A"/>
    <w:rsid w:val="00EF145D"/>
    <w:rsid w:val="00EF2DBE"/>
    <w:rsid w:val="00EF2FD2"/>
    <w:rsid w:val="00EF3652"/>
    <w:rsid w:val="00EF37B0"/>
    <w:rsid w:val="00EF39E6"/>
    <w:rsid w:val="00EF3B4C"/>
    <w:rsid w:val="00EF47DE"/>
    <w:rsid w:val="00EF4FA5"/>
    <w:rsid w:val="00EF52F4"/>
    <w:rsid w:val="00EF5729"/>
    <w:rsid w:val="00EF57F7"/>
    <w:rsid w:val="00EF64C8"/>
    <w:rsid w:val="00EF6720"/>
    <w:rsid w:val="00EF779D"/>
    <w:rsid w:val="00EF7999"/>
    <w:rsid w:val="00EF7B34"/>
    <w:rsid w:val="00F00072"/>
    <w:rsid w:val="00F00343"/>
    <w:rsid w:val="00F01229"/>
    <w:rsid w:val="00F01887"/>
    <w:rsid w:val="00F02ED1"/>
    <w:rsid w:val="00F0368E"/>
    <w:rsid w:val="00F0378F"/>
    <w:rsid w:val="00F044F0"/>
    <w:rsid w:val="00F04E31"/>
    <w:rsid w:val="00F052B8"/>
    <w:rsid w:val="00F0587F"/>
    <w:rsid w:val="00F06A47"/>
    <w:rsid w:val="00F06D54"/>
    <w:rsid w:val="00F071D9"/>
    <w:rsid w:val="00F07A95"/>
    <w:rsid w:val="00F07C81"/>
    <w:rsid w:val="00F11E57"/>
    <w:rsid w:val="00F13C80"/>
    <w:rsid w:val="00F13EE5"/>
    <w:rsid w:val="00F13F17"/>
    <w:rsid w:val="00F14525"/>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77"/>
    <w:rsid w:val="00F26F81"/>
    <w:rsid w:val="00F274C9"/>
    <w:rsid w:val="00F3157D"/>
    <w:rsid w:val="00F31989"/>
    <w:rsid w:val="00F31E47"/>
    <w:rsid w:val="00F3251A"/>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3DE"/>
    <w:rsid w:val="00F45AC3"/>
    <w:rsid w:val="00F4736E"/>
    <w:rsid w:val="00F4766F"/>
    <w:rsid w:val="00F47AE6"/>
    <w:rsid w:val="00F50694"/>
    <w:rsid w:val="00F50D51"/>
    <w:rsid w:val="00F511ED"/>
    <w:rsid w:val="00F51367"/>
    <w:rsid w:val="00F5236A"/>
    <w:rsid w:val="00F5260D"/>
    <w:rsid w:val="00F52C89"/>
    <w:rsid w:val="00F53655"/>
    <w:rsid w:val="00F54765"/>
    <w:rsid w:val="00F54D0F"/>
    <w:rsid w:val="00F55796"/>
    <w:rsid w:val="00F558A3"/>
    <w:rsid w:val="00F56EA6"/>
    <w:rsid w:val="00F56EEE"/>
    <w:rsid w:val="00F57429"/>
    <w:rsid w:val="00F57946"/>
    <w:rsid w:val="00F57EBF"/>
    <w:rsid w:val="00F6000A"/>
    <w:rsid w:val="00F6048D"/>
    <w:rsid w:val="00F604A6"/>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CD7"/>
    <w:rsid w:val="00F73F9B"/>
    <w:rsid w:val="00F74712"/>
    <w:rsid w:val="00F74EAB"/>
    <w:rsid w:val="00F752EB"/>
    <w:rsid w:val="00F754A0"/>
    <w:rsid w:val="00F76321"/>
    <w:rsid w:val="00F7687F"/>
    <w:rsid w:val="00F76E01"/>
    <w:rsid w:val="00F77F1E"/>
    <w:rsid w:val="00F80748"/>
    <w:rsid w:val="00F80E89"/>
    <w:rsid w:val="00F81235"/>
    <w:rsid w:val="00F81E23"/>
    <w:rsid w:val="00F82296"/>
    <w:rsid w:val="00F82FC8"/>
    <w:rsid w:val="00F8317D"/>
    <w:rsid w:val="00F84EEF"/>
    <w:rsid w:val="00F85A2C"/>
    <w:rsid w:val="00F86318"/>
    <w:rsid w:val="00F86640"/>
    <w:rsid w:val="00F86861"/>
    <w:rsid w:val="00F86A36"/>
    <w:rsid w:val="00F90197"/>
    <w:rsid w:val="00F9024C"/>
    <w:rsid w:val="00F90DB5"/>
    <w:rsid w:val="00F90E28"/>
    <w:rsid w:val="00F90FDE"/>
    <w:rsid w:val="00F91044"/>
    <w:rsid w:val="00F9213D"/>
    <w:rsid w:val="00F92638"/>
    <w:rsid w:val="00F926AF"/>
    <w:rsid w:val="00F9290C"/>
    <w:rsid w:val="00F93402"/>
    <w:rsid w:val="00F943C9"/>
    <w:rsid w:val="00F9474D"/>
    <w:rsid w:val="00F96208"/>
    <w:rsid w:val="00F96AF3"/>
    <w:rsid w:val="00F96BC8"/>
    <w:rsid w:val="00F979F8"/>
    <w:rsid w:val="00FA04E1"/>
    <w:rsid w:val="00FA0761"/>
    <w:rsid w:val="00FA11B7"/>
    <w:rsid w:val="00FA19A0"/>
    <w:rsid w:val="00FA2F47"/>
    <w:rsid w:val="00FA3DD5"/>
    <w:rsid w:val="00FA44D6"/>
    <w:rsid w:val="00FA520E"/>
    <w:rsid w:val="00FA5696"/>
    <w:rsid w:val="00FA5A28"/>
    <w:rsid w:val="00FA6A19"/>
    <w:rsid w:val="00FA6B25"/>
    <w:rsid w:val="00FA7823"/>
    <w:rsid w:val="00FB0478"/>
    <w:rsid w:val="00FB1355"/>
    <w:rsid w:val="00FB1778"/>
    <w:rsid w:val="00FB1840"/>
    <w:rsid w:val="00FB19B1"/>
    <w:rsid w:val="00FB2359"/>
    <w:rsid w:val="00FB23CF"/>
    <w:rsid w:val="00FB2458"/>
    <w:rsid w:val="00FB26B3"/>
    <w:rsid w:val="00FB2833"/>
    <w:rsid w:val="00FB32CD"/>
    <w:rsid w:val="00FB36FA"/>
    <w:rsid w:val="00FB3BFB"/>
    <w:rsid w:val="00FB3DF0"/>
    <w:rsid w:val="00FB4409"/>
    <w:rsid w:val="00FB500E"/>
    <w:rsid w:val="00FB572C"/>
    <w:rsid w:val="00FB5FD2"/>
    <w:rsid w:val="00FB5FE3"/>
    <w:rsid w:val="00FB7CE1"/>
    <w:rsid w:val="00FC0756"/>
    <w:rsid w:val="00FC1684"/>
    <w:rsid w:val="00FC2AAE"/>
    <w:rsid w:val="00FC41B3"/>
    <w:rsid w:val="00FC43A3"/>
    <w:rsid w:val="00FC457E"/>
    <w:rsid w:val="00FC46D9"/>
    <w:rsid w:val="00FC49FF"/>
    <w:rsid w:val="00FC6997"/>
    <w:rsid w:val="00FC6DAD"/>
    <w:rsid w:val="00FC6DCF"/>
    <w:rsid w:val="00FC72EB"/>
    <w:rsid w:val="00FC7A97"/>
    <w:rsid w:val="00FD08E5"/>
    <w:rsid w:val="00FD0E9E"/>
    <w:rsid w:val="00FD15AD"/>
    <w:rsid w:val="00FD2219"/>
    <w:rsid w:val="00FD30D3"/>
    <w:rsid w:val="00FD3427"/>
    <w:rsid w:val="00FD3AB5"/>
    <w:rsid w:val="00FD7B74"/>
    <w:rsid w:val="00FE06E2"/>
    <w:rsid w:val="00FE0EDA"/>
    <w:rsid w:val="00FE152F"/>
    <w:rsid w:val="00FE17EF"/>
    <w:rsid w:val="00FE184E"/>
    <w:rsid w:val="00FE21A7"/>
    <w:rsid w:val="00FE26BB"/>
    <w:rsid w:val="00FE28AC"/>
    <w:rsid w:val="00FE2912"/>
    <w:rsid w:val="00FE2FD6"/>
    <w:rsid w:val="00FE31CD"/>
    <w:rsid w:val="00FE3619"/>
    <w:rsid w:val="00FE3A89"/>
    <w:rsid w:val="00FE3B2B"/>
    <w:rsid w:val="00FE3E37"/>
    <w:rsid w:val="00FE42CC"/>
    <w:rsid w:val="00FE479E"/>
    <w:rsid w:val="00FE6346"/>
    <w:rsid w:val="00FE6BC9"/>
    <w:rsid w:val="00FE6D6E"/>
    <w:rsid w:val="00FE7858"/>
    <w:rsid w:val="00FF0F59"/>
    <w:rsid w:val="00FF206E"/>
    <w:rsid w:val="00FF20FB"/>
    <w:rsid w:val="00FF3804"/>
    <w:rsid w:val="00FF3E14"/>
    <w:rsid w:val="00FF4248"/>
    <w:rsid w:val="00FF44C0"/>
    <w:rsid w:val="00FF4BE1"/>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B2625"/>
  <w15:docId w15:val="{1E9CD882-FE81-4401-A12B-3C45463C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rsid w:val="00F63205"/>
    <w:rPr>
      <w:sz w:val="20"/>
      <w:szCs w:val="20"/>
    </w:rPr>
  </w:style>
  <w:style w:type="character" w:styleId="FootnoteReference">
    <w:name w:val="footnote reference"/>
    <w:basedOn w:val="DefaultParagraphFont"/>
    <w:semiHidden/>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unhideWhenUsed/>
    <w:rsid w:val="007545B3"/>
    <w:rPr>
      <w:sz w:val="20"/>
      <w:szCs w:val="20"/>
    </w:rPr>
  </w:style>
  <w:style w:type="character" w:customStyle="1" w:styleId="CommentTextChar">
    <w:name w:val="Comment Text Char"/>
    <w:basedOn w:val="DefaultParagraphFont"/>
    <w:link w:val="CommentText"/>
    <w:uiPriority w:val="99"/>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 w:type="paragraph" w:styleId="NoSpacing">
    <w:name w:val="No Spacing"/>
    <w:uiPriority w:val="1"/>
    <w:qFormat/>
    <w:rsid w:val="00DD31B6"/>
    <w:pPr>
      <w:bidi/>
    </w:pPr>
    <w:rPr>
      <w:rFonts w:ascii="Calibri" w:eastAsia="Calibri" w:hAnsi="Calibri" w:cs="Arial"/>
      <w:sz w:val="22"/>
      <w:szCs w:val="22"/>
    </w:rPr>
  </w:style>
  <w:style w:type="paragraph" w:styleId="HTMLPreformatted">
    <w:name w:val="HTML Preformatted"/>
    <w:basedOn w:val="Normal"/>
    <w:link w:val="HTMLPreformattedChar"/>
    <w:uiPriority w:val="99"/>
    <w:unhideWhenUsed/>
    <w:rsid w:val="00B50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5037B"/>
    <w:rPr>
      <w:rFonts w:ascii="Courier New" w:hAnsi="Courier New" w:cs="Courier New"/>
    </w:rPr>
  </w:style>
  <w:style w:type="paragraph" w:customStyle="1" w:styleId="xl69">
    <w:name w:val="xl69"/>
    <w:basedOn w:val="Normal"/>
    <w:rsid w:val="005B3FD6"/>
    <w:pPr>
      <w:bidi w:val="0"/>
      <w:spacing w:before="100" w:beforeAutospacing="1" w:after="100" w:afterAutospacing="1"/>
      <w:jc w:val="center"/>
      <w:textAlignment w:val="center"/>
    </w:pPr>
    <w:rPr>
      <w:rFonts w:cs="Simplified Arabic" w:hint="cs"/>
      <w:b/>
      <w:bCs/>
      <w:sz w:val="22"/>
      <w:szCs w:val="22"/>
      <w:lang w:eastAsia="en-US"/>
    </w:rPr>
  </w:style>
  <w:style w:type="character" w:styleId="Strong">
    <w:name w:val="Strong"/>
    <w:basedOn w:val="DefaultParagraphFont"/>
    <w:uiPriority w:val="22"/>
    <w:qFormat/>
    <w:rsid w:val="000F2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293755398">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370882820">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30944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 w:id="207284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56608692621123"/>
          <c:y val="0.12721692807267013"/>
          <c:w val="0.82987551867221065"/>
          <c:h val="0.68701317995627909"/>
        </c:manualLayout>
      </c:layout>
      <c:lineChart>
        <c:grouping val="standard"/>
        <c:varyColors val="0"/>
        <c:ser>
          <c:idx val="0"/>
          <c:order val="0"/>
          <c:tx>
            <c:strRef>
              <c:f>'Rep 2021- E'!$B$2</c:f>
              <c:strCache>
                <c:ptCount val="1"/>
                <c:pt idx="0">
                  <c:v>Palestine</c:v>
                </c:pt>
              </c:strCache>
            </c:strRef>
          </c:tx>
          <c:spPr>
            <a:ln w="25400">
              <a:prstDash val="solid"/>
            </a:ln>
          </c:spPr>
          <c:marker>
            <c:symbol val="square"/>
            <c:size val="7"/>
            <c:spPr>
              <a:ln w="12700"/>
            </c:spPr>
          </c:marker>
          <c:dLbls>
            <c:dLbl>
              <c:idx val="0"/>
              <c:layout>
                <c:manualLayout>
                  <c:x val="-5.0044357498691995E-2"/>
                  <c:y val="-5.6306306306307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A5-4BFE-8EEC-2AAAEDE280BF}"/>
                </c:ext>
              </c:extLst>
            </c:dLbl>
            <c:dLbl>
              <c:idx val="1"/>
              <c:layout>
                <c:manualLayout>
                  <c:x val="-5.3391578691906381E-2"/>
                  <c:y val="-6.74273858921161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A5-4BFE-8EEC-2AAAEDE280BF}"/>
                </c:ext>
              </c:extLst>
            </c:dLbl>
            <c:dLbl>
              <c:idx val="2"/>
              <c:layout>
                <c:manualLayout>
                  <c:x val="-5.8245358572988626E-2"/>
                  <c:y val="-5.1867219917012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A5-4BFE-8EEC-2AAAEDE280BF}"/>
                </c:ext>
              </c:extLst>
            </c:dLbl>
            <c:dLbl>
              <c:idx val="3"/>
              <c:layout>
                <c:manualLayout>
                  <c:x val="-5.8245358572988626E-2"/>
                  <c:y val="-5.1867219917012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A5-4BFE-8EEC-2AAAEDE280BF}"/>
                </c:ext>
              </c:extLst>
            </c:dLbl>
            <c:dLbl>
              <c:idx val="4"/>
              <c:layout>
                <c:manualLayout>
                  <c:x val="-5.5818468632447521E-2"/>
                  <c:y val="-7.2614107883817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A5-4BFE-8EEC-2AAAEDE280BF}"/>
                </c:ext>
              </c:extLst>
            </c:dLbl>
            <c:dLbl>
              <c:idx val="5"/>
              <c:layout>
                <c:manualLayout>
                  <c:x val="-1.4274941690195215E-4"/>
                  <c:y val="-2.9649281225168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A5-4BFE-8EEC-2AAAEDE280BF}"/>
                </c:ext>
              </c:extLst>
            </c:dLbl>
            <c:spPr>
              <a:noFill/>
              <a:ln>
                <a:noFill/>
              </a:ln>
              <a:effectLst/>
            </c:spPr>
            <c:txPr>
              <a:bodyPr/>
              <a:lstStyle/>
              <a:p>
                <a:pPr>
                  <a:defRPr sz="900">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E'!$A$13:$A$18</c:f>
              <c:numCache>
                <c:formatCode>General</c:formatCode>
                <c:ptCount val="6"/>
                <c:pt idx="0">
                  <c:v>2019</c:v>
                </c:pt>
                <c:pt idx="1">
                  <c:v>2020</c:v>
                </c:pt>
                <c:pt idx="2">
                  <c:v>2021</c:v>
                </c:pt>
                <c:pt idx="3">
                  <c:v>2022</c:v>
                </c:pt>
                <c:pt idx="4">
                  <c:v>2023</c:v>
                </c:pt>
                <c:pt idx="5" formatCode="#,##0.0">
                  <c:v>2024</c:v>
                </c:pt>
              </c:numCache>
            </c:numRef>
          </c:cat>
          <c:val>
            <c:numRef>
              <c:f>'Rep 2021- E'!$B$13:$B$18</c:f>
              <c:numCache>
                <c:formatCode>#,##0.0</c:formatCode>
                <c:ptCount val="6"/>
                <c:pt idx="0">
                  <c:v>15829</c:v>
                </c:pt>
                <c:pt idx="1">
                  <c:v>14037.4</c:v>
                </c:pt>
                <c:pt idx="2">
                  <c:v>15021.7</c:v>
                </c:pt>
                <c:pt idx="3">
                  <c:v>15635</c:v>
                </c:pt>
                <c:pt idx="4">
                  <c:v>14773.7</c:v>
                </c:pt>
                <c:pt idx="5">
                  <c:v>10589.3</c:v>
                </c:pt>
              </c:numCache>
            </c:numRef>
          </c:val>
          <c:smooth val="0"/>
          <c:extLst>
            <c:ext xmlns:c16="http://schemas.microsoft.com/office/drawing/2014/chart" uri="{C3380CC4-5D6E-409C-BE32-E72D297353CC}">
              <c16:uniqueId val="{00000006-BDA5-4BFE-8EEC-2AAAEDE280BF}"/>
            </c:ext>
          </c:extLst>
        </c:ser>
        <c:ser>
          <c:idx val="1"/>
          <c:order val="1"/>
          <c:tx>
            <c:strRef>
              <c:f>'Rep 2021- E'!$C$2</c:f>
              <c:strCache>
                <c:ptCount val="1"/>
                <c:pt idx="0">
                  <c:v>West Bank</c:v>
                </c:pt>
              </c:strCache>
            </c:strRef>
          </c:tx>
          <c:spPr>
            <a:ln w="25400"/>
          </c:spPr>
          <c:marker>
            <c:symbol val="triangle"/>
            <c:size val="7"/>
            <c:spPr>
              <a:ln w="12700"/>
            </c:spPr>
          </c:marker>
          <c:dLbls>
            <c:dLbl>
              <c:idx val="0"/>
              <c:layout>
                <c:manualLayout>
                  <c:x val="-5.2319160869361732E-2"/>
                  <c:y val="7.2070523082954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A5-4BFE-8EEC-2AAAEDE280BF}"/>
                </c:ext>
              </c:extLst>
            </c:dLbl>
            <c:dLbl>
              <c:idx val="1"/>
              <c:layout>
                <c:manualLayout>
                  <c:x val="-5.8245358572988647E-2"/>
                  <c:y val="7.7800829875518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DA5-4BFE-8EEC-2AAAEDE280BF}"/>
                </c:ext>
              </c:extLst>
            </c:dLbl>
            <c:dLbl>
              <c:idx val="2"/>
              <c:layout>
                <c:manualLayout>
                  <c:x val="-5.8245358572988626E-2"/>
                  <c:y val="8.2987551867219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A5-4BFE-8EEC-2AAAEDE280BF}"/>
                </c:ext>
              </c:extLst>
            </c:dLbl>
            <c:dLbl>
              <c:idx val="3"/>
              <c:layout>
                <c:manualLayout>
                  <c:x val="-5.096468875136527E-2"/>
                  <c:y val="9.8547717842323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DA5-4BFE-8EEC-2AAAEDE280BF}"/>
                </c:ext>
              </c:extLst>
            </c:dLbl>
            <c:dLbl>
              <c:idx val="4"/>
              <c:layout>
                <c:manualLayout>
                  <c:x val="-6.3099138454071294E-2"/>
                  <c:y val="8.8174273858921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DA5-4BFE-8EEC-2AAAEDE280BF}"/>
                </c:ext>
              </c:extLst>
            </c:dLbl>
            <c:dLbl>
              <c:idx val="5"/>
              <c:layout>
                <c:manualLayout>
                  <c:x val="-4.5494870453356524E-3"/>
                  <c:y val="5.1187551187551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DA5-4BFE-8EEC-2AAAEDE280BF}"/>
                </c:ext>
              </c:extLst>
            </c:dLbl>
            <c:spPr>
              <a:noFill/>
              <a:ln>
                <a:noFill/>
              </a:ln>
              <a:effectLst/>
            </c:spPr>
            <c:txPr>
              <a:bodyPr/>
              <a:lstStyle/>
              <a:p>
                <a:pPr>
                  <a:defRPr sz="900">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E'!$A$13:$A$18</c:f>
              <c:numCache>
                <c:formatCode>General</c:formatCode>
                <c:ptCount val="6"/>
                <c:pt idx="0">
                  <c:v>2019</c:v>
                </c:pt>
                <c:pt idx="1">
                  <c:v>2020</c:v>
                </c:pt>
                <c:pt idx="2">
                  <c:v>2021</c:v>
                </c:pt>
                <c:pt idx="3">
                  <c:v>2022</c:v>
                </c:pt>
                <c:pt idx="4">
                  <c:v>2023</c:v>
                </c:pt>
                <c:pt idx="5" formatCode="#,##0.0">
                  <c:v>2024</c:v>
                </c:pt>
              </c:numCache>
            </c:numRef>
          </c:cat>
          <c:val>
            <c:numRef>
              <c:f>'Rep 2021- E'!$C$13:$C$18</c:f>
              <c:numCache>
                <c:formatCode>#,##0.0</c:formatCode>
                <c:ptCount val="6"/>
                <c:pt idx="0">
                  <c:v>12998.8</c:v>
                </c:pt>
                <c:pt idx="1">
                  <c:v>11564.1</c:v>
                </c:pt>
                <c:pt idx="2">
                  <c:v>12443.6</c:v>
                </c:pt>
                <c:pt idx="3">
                  <c:v>12921.7</c:v>
                </c:pt>
                <c:pt idx="4">
                  <c:v>12673.300000000001</c:v>
                </c:pt>
                <c:pt idx="5">
                  <c:v>10224.1</c:v>
                </c:pt>
              </c:numCache>
            </c:numRef>
          </c:val>
          <c:smooth val="0"/>
          <c:extLst>
            <c:ext xmlns:c16="http://schemas.microsoft.com/office/drawing/2014/chart" uri="{C3380CC4-5D6E-409C-BE32-E72D297353CC}">
              <c16:uniqueId val="{0000000D-BDA5-4BFE-8EEC-2AAAEDE280BF}"/>
            </c:ext>
          </c:extLst>
        </c:ser>
        <c:ser>
          <c:idx val="2"/>
          <c:order val="2"/>
          <c:tx>
            <c:strRef>
              <c:f>'Rep 2021- E'!$D$2</c:f>
              <c:strCache>
                <c:ptCount val="1"/>
                <c:pt idx="0">
                  <c:v>Gaza Strip</c:v>
                </c:pt>
              </c:strCache>
            </c:strRef>
          </c:tx>
          <c:spPr>
            <a:ln w="25400">
              <a:prstDash val="solid"/>
            </a:ln>
          </c:spPr>
          <c:marker>
            <c:symbol val="circle"/>
            <c:size val="7"/>
            <c:spPr>
              <a:ln w="12700"/>
            </c:spPr>
          </c:marker>
          <c:dLbls>
            <c:dLbl>
              <c:idx val="0"/>
              <c:layout>
                <c:manualLayout>
                  <c:x val="-4.7769602152479433E-2"/>
                  <c:y val="6.1697079099552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A5-4BFE-8EEC-2AAAEDE280BF}"/>
                </c:ext>
              </c:extLst>
            </c:dLbl>
            <c:dLbl>
              <c:idx val="1"/>
              <c:layout>
                <c:manualLayout>
                  <c:x val="-5.3391578691906381E-2"/>
                  <c:y val="6.2240663900414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DA5-4BFE-8EEC-2AAAEDE280BF}"/>
                </c:ext>
              </c:extLst>
            </c:dLbl>
            <c:dLbl>
              <c:idx val="2"/>
              <c:layout>
                <c:manualLayout>
                  <c:x val="-5.0964688751365117E-2"/>
                  <c:y val="6.22406639004148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DA5-4BFE-8EEC-2AAAEDE280BF}"/>
                </c:ext>
              </c:extLst>
            </c:dLbl>
            <c:dLbl>
              <c:idx val="3"/>
              <c:layout>
                <c:manualLayout>
                  <c:x val="-5.3391578691906409E-2"/>
                  <c:y val="5.7053941908713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DA5-4BFE-8EEC-2AAAEDE280BF}"/>
                </c:ext>
              </c:extLst>
            </c:dLbl>
            <c:dLbl>
              <c:idx val="4"/>
              <c:layout>
                <c:manualLayout>
                  <c:x val="-5.8245358572988626E-2"/>
                  <c:y val="5.1867219917012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DA5-4BFE-8EEC-2AAAEDE280BF}"/>
                </c:ext>
              </c:extLst>
            </c:dLbl>
            <c:dLbl>
              <c:idx val="5"/>
              <c:layout>
                <c:manualLayout>
                  <c:x val="-3.6466884009107962E-3"/>
                  <c:y val="-3.47938111509647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DA5-4BFE-8EEC-2AAAEDE280BF}"/>
                </c:ext>
              </c:extLst>
            </c:dLbl>
            <c:spPr>
              <a:noFill/>
              <a:ln>
                <a:noFill/>
              </a:ln>
              <a:effectLst/>
            </c:spPr>
            <c:txPr>
              <a:bodyPr/>
              <a:lstStyle/>
              <a:p>
                <a:pPr>
                  <a:defRPr sz="900">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E'!$A$13:$A$18</c:f>
              <c:numCache>
                <c:formatCode>General</c:formatCode>
                <c:ptCount val="6"/>
                <c:pt idx="0">
                  <c:v>2019</c:v>
                </c:pt>
                <c:pt idx="1">
                  <c:v>2020</c:v>
                </c:pt>
                <c:pt idx="2">
                  <c:v>2021</c:v>
                </c:pt>
                <c:pt idx="3">
                  <c:v>2022</c:v>
                </c:pt>
                <c:pt idx="4">
                  <c:v>2023</c:v>
                </c:pt>
                <c:pt idx="5" formatCode="#,##0.0">
                  <c:v>2024</c:v>
                </c:pt>
              </c:numCache>
            </c:numRef>
          </c:cat>
          <c:val>
            <c:numRef>
              <c:f>'Rep 2021- E'!$D$13:$D$18</c:f>
              <c:numCache>
                <c:formatCode>#,##0.0</c:formatCode>
                <c:ptCount val="6"/>
                <c:pt idx="0">
                  <c:v>2830.2</c:v>
                </c:pt>
                <c:pt idx="1">
                  <c:v>2473.3000000000002</c:v>
                </c:pt>
                <c:pt idx="2">
                  <c:v>2578.1</c:v>
                </c:pt>
                <c:pt idx="3">
                  <c:v>2713.3</c:v>
                </c:pt>
                <c:pt idx="4">
                  <c:v>2100.4</c:v>
                </c:pt>
                <c:pt idx="5">
                  <c:v>365.19999999999891</c:v>
                </c:pt>
              </c:numCache>
            </c:numRef>
          </c:val>
          <c:smooth val="0"/>
          <c:extLst>
            <c:ext xmlns:c16="http://schemas.microsoft.com/office/drawing/2014/chart" uri="{C3380CC4-5D6E-409C-BE32-E72D297353CC}">
              <c16:uniqueId val="{00000014-BDA5-4BFE-8EEC-2AAAEDE280BF}"/>
            </c:ext>
          </c:extLst>
        </c:ser>
        <c:dLbls>
          <c:showLegendKey val="0"/>
          <c:showVal val="0"/>
          <c:showCatName val="0"/>
          <c:showSerName val="0"/>
          <c:showPercent val="0"/>
          <c:showBubbleSize val="0"/>
        </c:dLbls>
        <c:marker val="1"/>
        <c:smooth val="0"/>
        <c:axId val="117069696"/>
        <c:axId val="117260288"/>
      </c:lineChart>
      <c:catAx>
        <c:axId val="117069696"/>
        <c:scaling>
          <c:orientation val="minMax"/>
        </c:scaling>
        <c:delete val="0"/>
        <c:axPos val="b"/>
        <c:title>
          <c:tx>
            <c:rich>
              <a:bodyPr/>
              <a:lstStyle/>
              <a:p>
                <a:pPr>
                  <a:defRPr/>
                </a:pPr>
                <a:r>
                  <a:rPr lang="en-US" sz="900">
                    <a:latin typeface="Arial" pitchFamily="34" charset="0"/>
                    <a:cs typeface="Arial" pitchFamily="34" charset="0"/>
                  </a:rPr>
                  <a:t>Year</a:t>
                </a:r>
              </a:p>
            </c:rich>
          </c:tx>
          <c:layout>
            <c:manualLayout>
              <c:xMode val="edge"/>
              <c:yMode val="edge"/>
              <c:x val="0.46735310372101746"/>
              <c:y val="0.90322431394188951"/>
            </c:manualLayout>
          </c:layout>
          <c:overlay val="0"/>
        </c:title>
        <c:numFmt formatCode="0" sourceLinked="0"/>
        <c:majorTickMark val="out"/>
        <c:minorTickMark val="none"/>
        <c:tickLblPos val="nextTo"/>
        <c:txPr>
          <a:bodyPr rot="0" vert="horz"/>
          <a:lstStyle/>
          <a:p>
            <a:pPr>
              <a:defRPr sz="900">
                <a:latin typeface="Arial" pitchFamily="34" charset="0"/>
                <a:cs typeface="Arial" pitchFamily="34" charset="0"/>
              </a:defRPr>
            </a:pPr>
            <a:endParaRPr lang="ar-SA"/>
          </a:p>
        </c:txPr>
        <c:crossAx val="117260288"/>
        <c:crosses val="autoZero"/>
        <c:auto val="1"/>
        <c:lblAlgn val="ctr"/>
        <c:lblOffset val="100"/>
        <c:tickLblSkip val="1"/>
        <c:tickMarkSkip val="1"/>
        <c:noMultiLvlLbl val="0"/>
      </c:catAx>
      <c:valAx>
        <c:axId val="117260288"/>
        <c:scaling>
          <c:orientation val="minMax"/>
          <c:max val="18000"/>
          <c:min val="0"/>
        </c:scaling>
        <c:delete val="0"/>
        <c:axPos val="l"/>
        <c:title>
          <c:tx>
            <c:rich>
              <a:bodyPr/>
              <a:lstStyle/>
              <a:p>
                <a:pPr>
                  <a:defRPr/>
                </a:pPr>
                <a:r>
                  <a:rPr lang="en-US" sz="900" b="1" i="0" u="none" strike="noStrike" baseline="0">
                    <a:latin typeface="Arial" pitchFamily="34" charset="0"/>
                    <a:cs typeface="Arial" pitchFamily="34" charset="0"/>
                  </a:rPr>
                  <a:t>USD Million</a:t>
                </a:r>
                <a:endParaRPr lang="en-US"/>
              </a:p>
            </c:rich>
          </c:tx>
          <c:layout>
            <c:manualLayout>
              <c:xMode val="edge"/>
              <c:yMode val="edge"/>
              <c:x val="1.3048067085273759E-2"/>
              <c:y val="0.25113464306671279"/>
            </c:manualLayout>
          </c:layout>
          <c:overlay val="0"/>
        </c:title>
        <c:numFmt formatCode="#,##0" sourceLinked="0"/>
        <c:majorTickMark val="out"/>
        <c:minorTickMark val="none"/>
        <c:tickLblPos val="nextTo"/>
        <c:txPr>
          <a:bodyPr rot="0" vert="horz"/>
          <a:lstStyle/>
          <a:p>
            <a:pPr>
              <a:defRPr sz="900">
                <a:latin typeface="Arial" pitchFamily="34" charset="0"/>
                <a:cs typeface="Arial" pitchFamily="34" charset="0"/>
              </a:defRPr>
            </a:pPr>
            <a:endParaRPr lang="ar-SA"/>
          </a:p>
        </c:txPr>
        <c:crossAx val="117069696"/>
        <c:crosses val="autoZero"/>
        <c:crossBetween val="between"/>
        <c:majorUnit val="3000"/>
        <c:minorUnit val="500"/>
      </c:valAx>
    </c:plotArea>
    <c:legend>
      <c:legendPos val="r"/>
      <c:layout>
        <c:manualLayout>
          <c:xMode val="edge"/>
          <c:yMode val="edge"/>
          <c:x val="0.32411616500283058"/>
          <c:y val="2.3812578807924412E-2"/>
          <c:w val="0.60784762865255171"/>
          <c:h val="7.3640087367069271E-2"/>
        </c:manualLayout>
      </c:layout>
      <c:overlay val="0"/>
      <c:spPr>
        <a:ln>
          <a:solidFill>
            <a:sysClr val="windowText" lastClr="000000"/>
          </a:solidFill>
        </a:ln>
      </c:spPr>
      <c:txPr>
        <a:bodyPr/>
        <a:lstStyle/>
        <a:p>
          <a:pPr>
            <a:defRPr sz="900">
              <a:latin typeface="Arial" pitchFamily="34" charset="0"/>
              <a:cs typeface="Arial" pitchFamily="34" charset="0"/>
            </a:defRPr>
          </a:pPr>
          <a:endParaRPr lang="ar-SA"/>
        </a:p>
      </c:txPr>
    </c:legend>
    <c:plotVisOnly val="1"/>
    <c:dispBlanksAs val="gap"/>
    <c:showDLblsOverMax val="0"/>
  </c:chart>
  <c:spPr>
    <a:ln w="12700">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987777848825737"/>
          <c:y val="6.7909751077033745E-2"/>
          <c:w val="0.63114050295354396"/>
          <c:h val="0.77718104114536712"/>
        </c:manualLayout>
      </c:layout>
      <c:barChart>
        <c:barDir val="bar"/>
        <c:grouping val="clustered"/>
        <c:varyColors val="0"/>
        <c:ser>
          <c:idx val="1"/>
          <c:order val="0"/>
          <c:tx>
            <c:strRef>
              <c:f>'Rep-2019'!$B$2</c:f>
              <c:strCache>
                <c:ptCount val="1"/>
                <c:pt idx="0">
                  <c:v>Palestine</c:v>
                </c:pt>
              </c:strCache>
            </c:strRef>
          </c:tx>
          <c:spPr>
            <a:solidFill>
              <a:srgbClr val="C00000"/>
            </a:solidFill>
            <a:ln>
              <a:prstDash val="sysDot"/>
            </a:ln>
          </c:spPr>
          <c:invertIfNegative val="0"/>
          <c:dLbls>
            <c:dLbl>
              <c:idx val="0"/>
              <c:layout>
                <c:manualLayout>
                  <c:x val="8.9757227083727773E-3"/>
                  <c:y val="-1.3293650101359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44-418F-B9D6-793DDB1A4570}"/>
                </c:ext>
              </c:extLst>
            </c:dLbl>
            <c:dLbl>
              <c:idx val="1"/>
              <c:layout>
                <c:manualLayout>
                  <c:x val="1.3429392674815995E-2"/>
                  <c:y val="-8.86243340090815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44-418F-B9D6-793DDB1A4570}"/>
                </c:ext>
              </c:extLst>
            </c:dLbl>
            <c:dLbl>
              <c:idx val="2"/>
              <c:layout>
                <c:manualLayout>
                  <c:x val="4.4877734585880924E-3"/>
                  <c:y val="-1.7724866801812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44-418F-B9D6-793DDB1A4570}"/>
                </c:ext>
              </c:extLst>
            </c:dLbl>
            <c:dLbl>
              <c:idx val="4"/>
              <c:layout>
                <c:manualLayout>
                  <c:x val="-4.1937828085437344E-17"/>
                  <c:y val="-9.02527075812275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44-418F-B9D6-793DDB1A457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'Rep-2019'!$A$3:$A$6</c:f>
              <c:strCache>
                <c:ptCount val="4"/>
                <c:pt idx="0">
                  <c:v>Services and Other Branches</c:v>
                </c:pt>
                <c:pt idx="1">
                  <c:v>Industry</c:v>
                </c:pt>
                <c:pt idx="2">
                  <c:v>Construction</c:v>
                </c:pt>
                <c:pt idx="3">
                  <c:v>Agriculture</c:v>
                </c:pt>
              </c:strCache>
            </c:strRef>
          </c:cat>
          <c:val>
            <c:numRef>
              <c:f>'Rep-2019'!$B$3:$B$6</c:f>
              <c:numCache>
                <c:formatCode>0.0</c:formatCode>
                <c:ptCount val="4"/>
                <c:pt idx="0">
                  <c:v>65</c:v>
                </c:pt>
                <c:pt idx="1">
                  <c:v>9.8000000000000007</c:v>
                </c:pt>
                <c:pt idx="2">
                  <c:v>3.1</c:v>
                </c:pt>
                <c:pt idx="3">
                  <c:v>5.3</c:v>
                </c:pt>
              </c:numCache>
            </c:numRef>
          </c:val>
          <c:extLst>
            <c:ext xmlns:c16="http://schemas.microsoft.com/office/drawing/2014/chart" uri="{C3380CC4-5D6E-409C-BE32-E72D297353CC}">
              <c16:uniqueId val="{00000004-2A44-418F-B9D6-793DDB1A4570}"/>
            </c:ext>
          </c:extLst>
        </c:ser>
        <c:dLbls>
          <c:showLegendKey val="0"/>
          <c:showVal val="0"/>
          <c:showCatName val="0"/>
          <c:showSerName val="0"/>
          <c:showPercent val="0"/>
          <c:showBubbleSize val="0"/>
        </c:dLbls>
        <c:gapWidth val="150"/>
        <c:axId val="230492416"/>
        <c:axId val="230498688"/>
      </c:barChart>
      <c:catAx>
        <c:axId val="230492416"/>
        <c:scaling>
          <c:orientation val="minMax"/>
        </c:scaling>
        <c:delete val="0"/>
        <c:axPos val="l"/>
        <c:title>
          <c:tx>
            <c:rich>
              <a:bodyPr/>
              <a:lstStyle/>
              <a:p>
                <a:pPr>
                  <a:defRPr/>
                </a:pPr>
                <a:r>
                  <a:rPr lang="en-US"/>
                  <a:t>Economic Activity</a:t>
                </a:r>
                <a:endParaRPr lang="ar-SA"/>
              </a:p>
            </c:rich>
          </c:tx>
          <c:layout>
            <c:manualLayout>
              <c:xMode val="edge"/>
              <c:yMode val="edge"/>
              <c:x val="3.7607186484755452E-2"/>
              <c:y val="0.2788194820012353"/>
            </c:manualLayout>
          </c:layout>
          <c:overlay val="0"/>
          <c:spPr>
            <a:ln w="0">
              <a:noFill/>
            </a:ln>
          </c:spPr>
        </c:title>
        <c:numFmt formatCode="General" sourceLinked="1"/>
        <c:majorTickMark val="out"/>
        <c:minorTickMark val="none"/>
        <c:tickLblPos val="nextTo"/>
        <c:txPr>
          <a:bodyPr rot="0" vert="horz"/>
          <a:lstStyle/>
          <a:p>
            <a:pPr>
              <a:defRPr/>
            </a:pPr>
            <a:endParaRPr lang="ar-SA"/>
          </a:p>
        </c:txPr>
        <c:crossAx val="230498688"/>
        <c:crosses val="autoZero"/>
        <c:auto val="1"/>
        <c:lblAlgn val="ctr"/>
        <c:lblOffset val="100"/>
        <c:tickLblSkip val="1"/>
        <c:tickMarkSkip val="1"/>
        <c:noMultiLvlLbl val="0"/>
      </c:catAx>
      <c:valAx>
        <c:axId val="230498688"/>
        <c:scaling>
          <c:orientation val="minMax"/>
          <c:max val="90"/>
          <c:min val="0"/>
        </c:scaling>
        <c:delete val="0"/>
        <c:axPos val="b"/>
        <c:title>
          <c:tx>
            <c:rich>
              <a:bodyPr/>
              <a:lstStyle/>
              <a:p>
                <a:pPr>
                  <a:defRPr/>
                </a:pPr>
                <a:r>
                  <a:rPr lang="en-US"/>
                  <a:t>Percentage (%)</a:t>
                </a:r>
                <a:endParaRPr lang="ar-SA"/>
              </a:p>
            </c:rich>
          </c:tx>
          <c:layout>
            <c:manualLayout>
              <c:xMode val="edge"/>
              <c:yMode val="edge"/>
              <c:x val="0.53918198092904057"/>
              <c:y val="0.9282196904376"/>
            </c:manualLayout>
          </c:layout>
          <c:overlay val="0"/>
        </c:title>
        <c:numFmt formatCode="#,##0" sourceLinked="0"/>
        <c:majorTickMark val="out"/>
        <c:minorTickMark val="none"/>
        <c:tickLblPos val="nextTo"/>
        <c:txPr>
          <a:bodyPr rot="0" vert="horz"/>
          <a:lstStyle/>
          <a:p>
            <a:pPr>
              <a:defRPr/>
            </a:pPr>
            <a:endParaRPr lang="ar-SA"/>
          </a:p>
        </c:txPr>
        <c:crossAx val="230492416"/>
        <c:crosses val="autoZero"/>
        <c:crossBetween val="between"/>
        <c:majorUnit val="10"/>
        <c:minorUnit val="1"/>
      </c:valAx>
    </c:plotArea>
    <c:plotVisOnly val="1"/>
    <c:dispBlanksAs val="gap"/>
    <c:showDLblsOverMax val="0"/>
  </c:chart>
  <c:spPr>
    <a:ln w="12700">
      <a:noFill/>
    </a:ln>
  </c:spPr>
  <c:txPr>
    <a:bodyPr/>
    <a:lstStyle/>
    <a:p>
      <a:pPr>
        <a:defRPr sz="900">
          <a:latin typeface="Arial" pitchFamily="34" charset="0"/>
          <a:cs typeface="Arial" pitchFamily="34" charset="0"/>
        </a:defRPr>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65132594333851"/>
          <c:y val="0.10878763105431494"/>
          <c:w val="0.84400000000000064"/>
          <c:h val="0.80397179764294169"/>
        </c:manualLayout>
      </c:layout>
      <c:lineChart>
        <c:grouping val="standard"/>
        <c:varyColors val="0"/>
        <c:ser>
          <c:idx val="0"/>
          <c:order val="0"/>
          <c:tx>
            <c:strRef>
              <c:f>'PPE 2021- A'!$A$2</c:f>
              <c:strCache>
                <c:ptCount val="1"/>
                <c:pt idx="0">
                  <c:v>Exports</c:v>
                </c:pt>
              </c:strCache>
            </c:strRef>
          </c:tx>
          <c:spPr>
            <a:ln>
              <a:solidFill>
                <a:schemeClr val="accent6">
                  <a:lumMod val="75000"/>
                </a:schemeClr>
              </a:solidFill>
            </a:ln>
          </c:spPr>
          <c:marker>
            <c:symbol val="none"/>
          </c:marker>
          <c:dLbls>
            <c:dLbl>
              <c:idx val="0"/>
              <c:layout>
                <c:manualLayout>
                  <c:x val="-1.1598237067965669E-2"/>
                  <c:y val="-4.1904761904761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46-4B71-A0EB-31C06DC1BD25}"/>
                </c:ext>
              </c:extLst>
            </c:dLbl>
            <c:dLbl>
              <c:idx val="28"/>
              <c:layout>
                <c:manualLayout>
                  <c:x val="0"/>
                  <c:y val="-6.0952380952381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46-4B71-A0EB-31C06DC1BD2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'PPE 2021- A'!$B$1:$AD$1</c:f>
              <c:numCache>
                <c:formatCode>General</c:formatCode>
                <c:ptCount val="29"/>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pt idx="27">
                  <c:v>2023</c:v>
                </c:pt>
                <c:pt idx="28">
                  <c:v>2024</c:v>
                </c:pt>
              </c:numCache>
            </c:numRef>
          </c:cat>
          <c:val>
            <c:numRef>
              <c:f>'PPE 2021- A'!$B$2:$AD$2</c:f>
              <c:numCache>
                <c:formatCode>#,##0.0</c:formatCode>
                <c:ptCount val="29"/>
                <c:pt idx="0">
                  <c:v>776.5238945625141</c:v>
                </c:pt>
                <c:pt idx="1">
                  <c:v>938.0271231135016</c:v>
                </c:pt>
                <c:pt idx="2">
                  <c:v>1103.1182515674664</c:v>
                </c:pt>
                <c:pt idx="3">
                  <c:v>1170.6155618934533</c:v>
                </c:pt>
                <c:pt idx="4">
                  <c:v>1390.3247771422109</c:v>
                </c:pt>
                <c:pt idx="5">
                  <c:v>920.67621953948355</c:v>
                </c:pt>
                <c:pt idx="6">
                  <c:v>750.62173844716233</c:v>
                </c:pt>
                <c:pt idx="7">
                  <c:v>841.50966345406641</c:v>
                </c:pt>
                <c:pt idx="8">
                  <c:v>901.5</c:v>
                </c:pt>
                <c:pt idx="9">
                  <c:v>1075.5999999999999</c:v>
                </c:pt>
                <c:pt idx="10">
                  <c:v>1045.5</c:v>
                </c:pt>
                <c:pt idx="11">
                  <c:v>1269.2</c:v>
                </c:pt>
                <c:pt idx="12">
                  <c:v>1522.1000000000001</c:v>
                </c:pt>
                <c:pt idx="13">
                  <c:v>1628.4</c:v>
                </c:pt>
                <c:pt idx="14">
                  <c:v>1639.3999999999999</c:v>
                </c:pt>
                <c:pt idx="15">
                  <c:v>2017.1</c:v>
                </c:pt>
                <c:pt idx="16">
                  <c:v>2027.8</c:v>
                </c:pt>
                <c:pt idx="17">
                  <c:v>2117.2999999999997</c:v>
                </c:pt>
                <c:pt idx="18">
                  <c:v>2319.6</c:v>
                </c:pt>
                <c:pt idx="19">
                  <c:v>2244.3000000000002</c:v>
                </c:pt>
                <c:pt idx="20">
                  <c:v>2208.3000000000002</c:v>
                </c:pt>
                <c:pt idx="21">
                  <c:v>2515.6</c:v>
                </c:pt>
                <c:pt idx="22">
                  <c:v>2578.7000000000003</c:v>
                </c:pt>
                <c:pt idx="23">
                  <c:v>2630.5</c:v>
                </c:pt>
                <c:pt idx="24">
                  <c:v>2335.9</c:v>
                </c:pt>
                <c:pt idx="25">
                  <c:v>2740.4</c:v>
                </c:pt>
                <c:pt idx="26">
                  <c:v>2903.2</c:v>
                </c:pt>
                <c:pt idx="27">
                  <c:v>3068.8999999999996</c:v>
                </c:pt>
                <c:pt idx="28">
                  <c:v>2677.0343000000003</c:v>
                </c:pt>
              </c:numCache>
            </c:numRef>
          </c:val>
          <c:smooth val="0"/>
          <c:extLst>
            <c:ext xmlns:c16="http://schemas.microsoft.com/office/drawing/2014/chart" uri="{C3380CC4-5D6E-409C-BE32-E72D297353CC}">
              <c16:uniqueId val="{00000002-D146-4B71-A0EB-31C06DC1BD25}"/>
            </c:ext>
          </c:extLst>
        </c:ser>
        <c:ser>
          <c:idx val="1"/>
          <c:order val="1"/>
          <c:tx>
            <c:strRef>
              <c:f>'PPE 2021- A'!$A$3</c:f>
              <c:strCache>
                <c:ptCount val="1"/>
                <c:pt idx="0">
                  <c:v>Imports</c:v>
                </c:pt>
              </c:strCache>
            </c:strRef>
          </c:tx>
          <c:marker>
            <c:symbol val="none"/>
          </c:marker>
          <c:dLbls>
            <c:dLbl>
              <c:idx val="0"/>
              <c:layout>
                <c:manualLayout>
                  <c:x val="-9.2785896543725564E-3"/>
                  <c:y val="-6.8571428571428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46-4B71-A0EB-31C06DC1BD25}"/>
                </c:ext>
              </c:extLst>
            </c:dLbl>
            <c:dLbl>
              <c:idx val="28"/>
              <c:layout>
                <c:manualLayout>
                  <c:x val="0"/>
                  <c:y val="-8.0000000000000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46-4B71-A0EB-31C06DC1BD2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'PPE 2021- A'!$B$1:$AD$1</c:f>
              <c:numCache>
                <c:formatCode>General</c:formatCode>
                <c:ptCount val="29"/>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pt idx="27">
                  <c:v>2023</c:v>
                </c:pt>
                <c:pt idx="28">
                  <c:v>2024</c:v>
                </c:pt>
              </c:numCache>
            </c:numRef>
          </c:cat>
          <c:val>
            <c:numRef>
              <c:f>'PPE 2021- A'!$B$3:$AD$3</c:f>
              <c:numCache>
                <c:formatCode>#,##0.0</c:formatCode>
                <c:ptCount val="29"/>
                <c:pt idx="0">
                  <c:v>3683.0707052056473</c:v>
                </c:pt>
                <c:pt idx="1">
                  <c:v>4123.0126295929849</c:v>
                </c:pt>
                <c:pt idx="2">
                  <c:v>4495.6301155046485</c:v>
                </c:pt>
                <c:pt idx="3">
                  <c:v>5458.4404577103815</c:v>
                </c:pt>
                <c:pt idx="4">
                  <c:v>4929.9550869221312</c:v>
                </c:pt>
                <c:pt idx="5">
                  <c:v>4357.8739167938475</c:v>
                </c:pt>
                <c:pt idx="6">
                  <c:v>3787.2347236591668</c:v>
                </c:pt>
                <c:pt idx="7">
                  <c:v>4349.8939949695932</c:v>
                </c:pt>
                <c:pt idx="8">
                  <c:v>4928.1000000000004</c:v>
                </c:pt>
                <c:pt idx="9">
                  <c:v>5534.5</c:v>
                </c:pt>
                <c:pt idx="10">
                  <c:v>5263.3</c:v>
                </c:pt>
                <c:pt idx="11">
                  <c:v>5298.5</c:v>
                </c:pt>
                <c:pt idx="12">
                  <c:v>5670.8</c:v>
                </c:pt>
                <c:pt idx="13">
                  <c:v>6226.2</c:v>
                </c:pt>
                <c:pt idx="14">
                  <c:v>5793.2</c:v>
                </c:pt>
                <c:pt idx="15">
                  <c:v>6168.4</c:v>
                </c:pt>
                <c:pt idx="16">
                  <c:v>7057.6</c:v>
                </c:pt>
                <c:pt idx="17">
                  <c:v>6660.8</c:v>
                </c:pt>
                <c:pt idx="18">
                  <c:v>6929.4</c:v>
                </c:pt>
                <c:pt idx="19">
                  <c:v>7645.4999999999991</c:v>
                </c:pt>
                <c:pt idx="20">
                  <c:v>7796.3</c:v>
                </c:pt>
                <c:pt idx="21">
                  <c:v>7901.5</c:v>
                </c:pt>
                <c:pt idx="22">
                  <c:v>8256.8000000000011</c:v>
                </c:pt>
                <c:pt idx="23">
                  <c:v>8376.1</c:v>
                </c:pt>
                <c:pt idx="24">
                  <c:v>7189.0999999999995</c:v>
                </c:pt>
                <c:pt idx="25">
                  <c:v>8256.4</c:v>
                </c:pt>
                <c:pt idx="26">
                  <c:v>9885.5999999999985</c:v>
                </c:pt>
                <c:pt idx="27">
                  <c:v>10178.9</c:v>
                </c:pt>
                <c:pt idx="28">
                  <c:v>9068.798499999999</c:v>
                </c:pt>
              </c:numCache>
            </c:numRef>
          </c:val>
          <c:smooth val="0"/>
          <c:extLst>
            <c:ext xmlns:c16="http://schemas.microsoft.com/office/drawing/2014/chart" uri="{C3380CC4-5D6E-409C-BE32-E72D297353CC}">
              <c16:uniqueId val="{00000005-D146-4B71-A0EB-31C06DC1BD25}"/>
            </c:ext>
          </c:extLst>
        </c:ser>
        <c:ser>
          <c:idx val="2"/>
          <c:order val="2"/>
          <c:tx>
            <c:strRef>
              <c:f>'PPE 2021- A'!$A$4</c:f>
              <c:strCache>
                <c:ptCount val="1"/>
                <c:pt idx="0">
                  <c:v>Trade Balance </c:v>
                </c:pt>
              </c:strCache>
            </c:strRef>
          </c:tx>
          <c:marker>
            <c:symbol val="none"/>
          </c:marker>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46-4B71-A0EB-31C06DC1BD25}"/>
                </c:ext>
              </c:extLst>
            </c:dLbl>
            <c:dLbl>
              <c:idx val="28"/>
              <c:layout>
                <c:manualLayout>
                  <c:x val="-1.7010551192344041E-16"/>
                  <c:y val="-4.9523809523809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46-4B71-A0EB-31C06DC1BD2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'PPE 2021- A'!$B$1:$AD$1</c:f>
              <c:numCache>
                <c:formatCode>General</c:formatCode>
                <c:ptCount val="29"/>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pt idx="27">
                  <c:v>2023</c:v>
                </c:pt>
                <c:pt idx="28">
                  <c:v>2024</c:v>
                </c:pt>
              </c:numCache>
            </c:numRef>
          </c:cat>
          <c:val>
            <c:numRef>
              <c:f>'PPE 2021- A'!$B$4:$AD$4</c:f>
              <c:numCache>
                <c:formatCode>#,##0.0</c:formatCode>
                <c:ptCount val="29"/>
                <c:pt idx="0">
                  <c:v>-2906.5468106431331</c:v>
                </c:pt>
                <c:pt idx="1">
                  <c:v>-3184.9855064794833</c:v>
                </c:pt>
                <c:pt idx="2">
                  <c:v>-3392.5118639371822</c:v>
                </c:pt>
                <c:pt idx="3">
                  <c:v>-4287.8248958169279</c:v>
                </c:pt>
                <c:pt idx="4">
                  <c:v>-3539.63030977992</c:v>
                </c:pt>
                <c:pt idx="5">
                  <c:v>-3437.1976972543639</c:v>
                </c:pt>
                <c:pt idx="6">
                  <c:v>-3036.6129852120043</c:v>
                </c:pt>
                <c:pt idx="7">
                  <c:v>-3508.3843315155268</c:v>
                </c:pt>
                <c:pt idx="8">
                  <c:v>-4026.6000000000004</c:v>
                </c:pt>
                <c:pt idx="9">
                  <c:v>-4458.8999999999996</c:v>
                </c:pt>
                <c:pt idx="10">
                  <c:v>-4217.8</c:v>
                </c:pt>
                <c:pt idx="11">
                  <c:v>-4029.3</c:v>
                </c:pt>
                <c:pt idx="12">
                  <c:v>-4148.7</c:v>
                </c:pt>
                <c:pt idx="13">
                  <c:v>-4597.7999999999993</c:v>
                </c:pt>
                <c:pt idx="14">
                  <c:v>-4153.8</c:v>
                </c:pt>
                <c:pt idx="15">
                  <c:v>-4151.2999999999993</c:v>
                </c:pt>
                <c:pt idx="16">
                  <c:v>-5029.8</c:v>
                </c:pt>
                <c:pt idx="17">
                  <c:v>-4543.5</c:v>
                </c:pt>
                <c:pt idx="18">
                  <c:v>-4609.7999999999993</c:v>
                </c:pt>
                <c:pt idx="19">
                  <c:v>-5401.1999999999989</c:v>
                </c:pt>
                <c:pt idx="20">
                  <c:v>-5588</c:v>
                </c:pt>
                <c:pt idx="21">
                  <c:v>-5385.9</c:v>
                </c:pt>
                <c:pt idx="22">
                  <c:v>-5678.1</c:v>
                </c:pt>
                <c:pt idx="23">
                  <c:v>-5745.6</c:v>
                </c:pt>
                <c:pt idx="24">
                  <c:v>-4853.1999999999989</c:v>
                </c:pt>
                <c:pt idx="25">
                  <c:v>-5516</c:v>
                </c:pt>
                <c:pt idx="26">
                  <c:v>-6982.3999999999987</c:v>
                </c:pt>
                <c:pt idx="27">
                  <c:v>-7110</c:v>
                </c:pt>
                <c:pt idx="28">
                  <c:v>-6391.7641999999987</c:v>
                </c:pt>
              </c:numCache>
            </c:numRef>
          </c:val>
          <c:smooth val="0"/>
          <c:extLst>
            <c:ext xmlns:c16="http://schemas.microsoft.com/office/drawing/2014/chart" uri="{C3380CC4-5D6E-409C-BE32-E72D297353CC}">
              <c16:uniqueId val="{00000008-D146-4B71-A0EB-31C06DC1BD25}"/>
            </c:ext>
          </c:extLst>
        </c:ser>
        <c:dLbls>
          <c:showLegendKey val="0"/>
          <c:showVal val="0"/>
          <c:showCatName val="0"/>
          <c:showSerName val="0"/>
          <c:showPercent val="0"/>
          <c:showBubbleSize val="0"/>
        </c:dLbls>
        <c:smooth val="0"/>
        <c:axId val="442804480"/>
        <c:axId val="442823040"/>
      </c:lineChart>
      <c:catAx>
        <c:axId val="442804480"/>
        <c:scaling>
          <c:orientation val="minMax"/>
        </c:scaling>
        <c:delete val="0"/>
        <c:axPos val="b"/>
        <c:title>
          <c:tx>
            <c:rich>
              <a:bodyPr/>
              <a:lstStyle/>
              <a:p>
                <a:pPr>
                  <a:defRPr/>
                </a:pPr>
                <a:r>
                  <a:rPr lang="en-US"/>
                  <a:t>Year</a:t>
                </a:r>
                <a:endParaRPr lang="ar-SA"/>
              </a:p>
            </c:rich>
          </c:tx>
          <c:layout>
            <c:manualLayout>
              <c:xMode val="edge"/>
              <c:yMode val="edge"/>
              <c:x val="0.50377634224928369"/>
              <c:y val="0.90209994338944965"/>
            </c:manualLayout>
          </c:layout>
          <c:overlay val="0"/>
        </c:title>
        <c:numFmt formatCode="General" sourceLinked="1"/>
        <c:majorTickMark val="out"/>
        <c:minorTickMark val="none"/>
        <c:tickLblPos val="nextTo"/>
        <c:txPr>
          <a:bodyPr rot="0" vert="horz"/>
          <a:lstStyle/>
          <a:p>
            <a:pPr>
              <a:defRPr/>
            </a:pPr>
            <a:endParaRPr lang="ar-SA"/>
          </a:p>
        </c:txPr>
        <c:crossAx val="442823040"/>
        <c:crosses val="autoZero"/>
        <c:auto val="1"/>
        <c:lblAlgn val="ctr"/>
        <c:lblOffset val="100"/>
        <c:noMultiLvlLbl val="0"/>
      </c:catAx>
      <c:valAx>
        <c:axId val="442823040"/>
        <c:scaling>
          <c:orientation val="minMax"/>
          <c:max val="13500"/>
          <c:min val="-10500"/>
        </c:scaling>
        <c:delete val="0"/>
        <c:axPos val="l"/>
        <c:title>
          <c:tx>
            <c:rich>
              <a:bodyPr/>
              <a:lstStyle/>
              <a:p>
                <a:pPr>
                  <a:defRPr/>
                </a:pPr>
                <a:r>
                  <a:rPr lang="en-US"/>
                  <a:t>USD Million</a:t>
                </a:r>
                <a:endParaRPr lang="ar-SA"/>
              </a:p>
            </c:rich>
          </c:tx>
          <c:layout>
            <c:manualLayout>
              <c:xMode val="edge"/>
              <c:yMode val="edge"/>
              <c:x val="1.2028689492945766E-2"/>
              <c:y val="0.26483298022590296"/>
            </c:manualLayout>
          </c:layout>
          <c:overlay val="0"/>
        </c:title>
        <c:numFmt formatCode="#,##0" sourceLinked="0"/>
        <c:majorTickMark val="out"/>
        <c:minorTickMark val="none"/>
        <c:tickLblPos val="nextTo"/>
        <c:txPr>
          <a:bodyPr rot="0" vert="horz"/>
          <a:lstStyle/>
          <a:p>
            <a:pPr>
              <a:defRPr/>
            </a:pPr>
            <a:endParaRPr lang="ar-SA"/>
          </a:p>
        </c:txPr>
        <c:crossAx val="442804480"/>
        <c:crosses val="autoZero"/>
        <c:crossBetween val="between"/>
        <c:majorUnit val="1500"/>
      </c:valAx>
      <c:spPr>
        <a:noFill/>
        <a:ln w="25400">
          <a:noFill/>
        </a:ln>
      </c:spPr>
    </c:plotArea>
    <c:legend>
      <c:legendPos val="b"/>
      <c:layout>
        <c:manualLayout>
          <c:xMode val="edge"/>
          <c:yMode val="edge"/>
          <c:x val="0.25754945664630619"/>
          <c:y val="2.9536500946024051E-2"/>
          <c:w val="0.47890034100643475"/>
          <c:h val="5.9814466750628605E-2"/>
        </c:manualLayout>
      </c:layout>
      <c:overlay val="0"/>
      <c:spPr>
        <a:ln>
          <a:solidFill>
            <a:sysClr val="windowText" lastClr="000000"/>
          </a:solidFill>
        </a:ln>
      </c:spPr>
    </c:legend>
    <c:plotVisOnly val="1"/>
    <c:dispBlanksAs val="gap"/>
    <c:showDLblsOverMax val="0"/>
  </c:chart>
  <c:spPr>
    <a:ln w="12700">
      <a:noFill/>
    </a:ln>
  </c:spPr>
  <c:txPr>
    <a:bodyPr/>
    <a:lstStyle/>
    <a:p>
      <a:pPr>
        <a:defRPr sz="900">
          <a:latin typeface="Arial" pitchFamily="34" charset="0"/>
          <a:cs typeface="Arial" pitchFamily="34" charset="0"/>
        </a:defRPr>
      </a:pPr>
      <a:endParaRPr lang="ar-S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09316583057498"/>
          <c:y val="0.1527369083024358"/>
          <c:w val="0.82632230295519271"/>
          <c:h val="0.63813591520693869"/>
        </c:manualLayout>
      </c:layout>
      <c:lineChart>
        <c:grouping val="standard"/>
        <c:varyColors val="0"/>
        <c:ser>
          <c:idx val="1"/>
          <c:order val="0"/>
          <c:tx>
            <c:strRef>
              <c:f>'Rep 2021- E'!$B$1</c:f>
              <c:strCache>
                <c:ptCount val="1"/>
                <c:pt idx="0">
                  <c:v>Palestine</c:v>
                </c:pt>
              </c:strCache>
            </c:strRef>
          </c:tx>
          <c:spPr>
            <a:ln w="25400">
              <a:solidFill>
                <a:srgbClr val="4A7EBB"/>
              </a:solidFill>
              <a:prstDash val="solid"/>
            </a:ln>
          </c:spPr>
          <c:marker>
            <c:symbol val="square"/>
            <c:size val="7"/>
            <c:spPr>
              <a:solidFill>
                <a:srgbClr val="4A7EBB"/>
              </a:solidFill>
              <a:ln w="12700">
                <a:solidFill>
                  <a:srgbClr val="4A7EBB"/>
                </a:solidFill>
              </a:ln>
            </c:spPr>
          </c:marker>
          <c:dLbls>
            <c:dLbl>
              <c:idx val="0"/>
              <c:layout>
                <c:manualLayout>
                  <c:x val="-4.4561337347282501E-2"/>
                  <c:y val="-5.08833702359584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C6-4FEB-9E76-F4413443B6BE}"/>
                </c:ext>
              </c:extLst>
            </c:dLbl>
            <c:dLbl>
              <c:idx val="1"/>
              <c:layout>
                <c:manualLayout>
                  <c:x val="-4.0108528960717281E-2"/>
                  <c:y val="-4.9916805324459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C6-4FEB-9E76-F4413443B6BE}"/>
                </c:ext>
              </c:extLst>
            </c:dLbl>
            <c:dLbl>
              <c:idx val="2"/>
              <c:layout>
                <c:manualLayout>
                  <c:x val="-4.7186504659667422E-2"/>
                  <c:y val="-5.8236272878535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C6-4FEB-9E76-F4413443B6BE}"/>
                </c:ext>
              </c:extLst>
            </c:dLbl>
            <c:dLbl>
              <c:idx val="3"/>
              <c:layout>
                <c:manualLayout>
                  <c:x val="-3.7749203727733993E-2"/>
                  <c:y val="-6.2396006655574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C6-4FEB-9E76-F4413443B6BE}"/>
                </c:ext>
              </c:extLst>
            </c:dLbl>
            <c:dLbl>
              <c:idx val="4"/>
              <c:layout>
                <c:manualLayout>
                  <c:x val="-4.2467854193700624E-2"/>
                  <c:y val="-4.9916805324459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C6-4FEB-9E76-F4413443B6B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E'!$A$6:$A$11</c:f>
              <c:numCache>
                <c:formatCode>General</c:formatCode>
                <c:ptCount val="6"/>
                <c:pt idx="0">
                  <c:v>2019</c:v>
                </c:pt>
                <c:pt idx="1">
                  <c:v>2020</c:v>
                </c:pt>
                <c:pt idx="2">
                  <c:v>2021</c:v>
                </c:pt>
                <c:pt idx="3">
                  <c:v>2022</c:v>
                </c:pt>
                <c:pt idx="4">
                  <c:v>2023</c:v>
                </c:pt>
                <c:pt idx="5">
                  <c:v>2024</c:v>
                </c:pt>
              </c:numCache>
            </c:numRef>
          </c:cat>
          <c:val>
            <c:numRef>
              <c:f>'Rep 2021- E'!$B$6:$B$11</c:f>
              <c:numCache>
                <c:formatCode>#,##0.0</c:formatCode>
                <c:ptCount val="6"/>
                <c:pt idx="0">
                  <c:v>26.3</c:v>
                </c:pt>
                <c:pt idx="1">
                  <c:v>27.2</c:v>
                </c:pt>
                <c:pt idx="2">
                  <c:v>27.6</c:v>
                </c:pt>
                <c:pt idx="3">
                  <c:v>25.5</c:v>
                </c:pt>
                <c:pt idx="4">
                  <c:v>30.7</c:v>
                </c:pt>
                <c:pt idx="5" formatCode="0.0">
                  <c:v>51.2</c:v>
                </c:pt>
              </c:numCache>
            </c:numRef>
          </c:val>
          <c:smooth val="0"/>
          <c:extLst>
            <c:ext xmlns:c16="http://schemas.microsoft.com/office/drawing/2014/chart" uri="{C3380CC4-5D6E-409C-BE32-E72D297353CC}">
              <c16:uniqueId val="{00000005-42C6-4FEB-9E76-F4413443B6BE}"/>
            </c:ext>
          </c:extLst>
        </c:ser>
        <c:ser>
          <c:idx val="2"/>
          <c:order val="1"/>
          <c:tx>
            <c:strRef>
              <c:f>'Rep 2021- E'!$C$1</c:f>
              <c:strCache>
                <c:ptCount val="1"/>
                <c:pt idx="0">
                  <c:v>West Bank</c:v>
                </c:pt>
              </c:strCache>
            </c:strRef>
          </c:tx>
          <c:spPr>
            <a:ln w="25400">
              <a:solidFill>
                <a:srgbClr val="BE4B48"/>
              </a:solidFill>
              <a:prstDash val="solid"/>
            </a:ln>
          </c:spPr>
          <c:marker>
            <c:symbol val="triangle"/>
            <c:size val="7"/>
            <c:spPr>
              <a:solidFill>
                <a:srgbClr val="BE4B48"/>
              </a:solidFill>
              <a:ln w="12700">
                <a:solidFill>
                  <a:srgbClr val="BE4B48"/>
                </a:solidFill>
              </a:ln>
            </c:spPr>
          </c:marker>
          <c:dLbls>
            <c:dLbl>
              <c:idx val="0"/>
              <c:layout>
                <c:manualLayout>
                  <c:x val="-4.4259269408004405E-2"/>
                  <c:y val="5.9686284014830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C6-4FEB-9E76-F4413443B6BE}"/>
                </c:ext>
              </c:extLst>
            </c:dLbl>
            <c:dLbl>
              <c:idx val="1"/>
              <c:layout>
                <c:manualLayout>
                  <c:x val="-4.0108528960717281E-2"/>
                  <c:y val="7.4875207986688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C6-4FEB-9E76-F4413443B6BE}"/>
                </c:ext>
              </c:extLst>
            </c:dLbl>
            <c:dLbl>
              <c:idx val="2"/>
              <c:layout>
                <c:manualLayout>
                  <c:x val="-4.0108528960717316E-2"/>
                  <c:y val="6.6555740432612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2C6-4FEB-9E76-F4413443B6BE}"/>
                </c:ext>
              </c:extLst>
            </c:dLbl>
            <c:dLbl>
              <c:idx val="3"/>
              <c:layout>
                <c:manualLayout>
                  <c:x val="-4.0108528960717232E-2"/>
                  <c:y val="5.407653910149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C6-4FEB-9E76-F4413443B6BE}"/>
                </c:ext>
              </c:extLst>
            </c:dLbl>
            <c:dLbl>
              <c:idx val="4"/>
              <c:layout>
                <c:manualLayout>
                  <c:x val="-4.0108528960717232E-2"/>
                  <c:y val="6.2396006655574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2C6-4FEB-9E76-F4413443B6B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E'!$A$6:$A$11</c:f>
              <c:numCache>
                <c:formatCode>General</c:formatCode>
                <c:ptCount val="6"/>
                <c:pt idx="0">
                  <c:v>2019</c:v>
                </c:pt>
                <c:pt idx="1">
                  <c:v>2020</c:v>
                </c:pt>
                <c:pt idx="2">
                  <c:v>2021</c:v>
                </c:pt>
                <c:pt idx="3">
                  <c:v>2022</c:v>
                </c:pt>
                <c:pt idx="4">
                  <c:v>2023</c:v>
                </c:pt>
                <c:pt idx="5">
                  <c:v>2024</c:v>
                </c:pt>
              </c:numCache>
            </c:numRef>
          </c:cat>
          <c:val>
            <c:numRef>
              <c:f>'Rep 2021- E'!$C$6:$C$11</c:f>
              <c:numCache>
                <c:formatCode>#,##0.0</c:formatCode>
                <c:ptCount val="6"/>
                <c:pt idx="0">
                  <c:v>15.3</c:v>
                </c:pt>
                <c:pt idx="1">
                  <c:v>16.8</c:v>
                </c:pt>
                <c:pt idx="2">
                  <c:v>16.5</c:v>
                </c:pt>
                <c:pt idx="3">
                  <c:v>14</c:v>
                </c:pt>
                <c:pt idx="4">
                  <c:v>17.899999999999999</c:v>
                </c:pt>
                <c:pt idx="5" formatCode="0.0">
                  <c:v>35</c:v>
                </c:pt>
              </c:numCache>
            </c:numRef>
          </c:val>
          <c:smooth val="0"/>
          <c:extLst>
            <c:ext xmlns:c16="http://schemas.microsoft.com/office/drawing/2014/chart" uri="{C3380CC4-5D6E-409C-BE32-E72D297353CC}">
              <c16:uniqueId val="{0000000B-42C6-4FEB-9E76-F4413443B6BE}"/>
            </c:ext>
          </c:extLst>
        </c:ser>
        <c:ser>
          <c:idx val="3"/>
          <c:order val="2"/>
          <c:tx>
            <c:strRef>
              <c:f>'Rep 2021- E'!$D$1</c:f>
              <c:strCache>
                <c:ptCount val="1"/>
                <c:pt idx="0">
                  <c:v>Gaza Strip</c:v>
                </c:pt>
              </c:strCache>
            </c:strRef>
          </c:tx>
          <c:spPr>
            <a:ln w="25400">
              <a:solidFill>
                <a:schemeClr val="accent3"/>
              </a:solidFill>
            </a:ln>
          </c:spPr>
          <c:marker>
            <c:symbol val="circle"/>
            <c:size val="7"/>
            <c:spPr>
              <a:solidFill>
                <a:schemeClr val="accent3"/>
              </a:solidFill>
              <a:ln w="12700">
                <a:solidFill>
                  <a:schemeClr val="accent3"/>
                </a:solidFill>
              </a:ln>
            </c:spPr>
          </c:marker>
          <c:dLbls>
            <c:dLbl>
              <c:idx val="0"/>
              <c:layout>
                <c:manualLayout>
                  <c:x val="-5.2975555986976487E-2"/>
                  <c:y val="-5.9339509210862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2C6-4FEB-9E76-F4413443B6BE}"/>
                </c:ext>
              </c:extLst>
            </c:dLbl>
            <c:dLbl>
              <c:idx val="1"/>
              <c:layout>
                <c:manualLayout>
                  <c:x val="-4.4827179426683982E-2"/>
                  <c:y val="-5.6930151083862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2C6-4FEB-9E76-F4413443B6BE}"/>
                </c:ext>
              </c:extLst>
            </c:dLbl>
            <c:dLbl>
              <c:idx val="2"/>
              <c:layout>
                <c:manualLayout>
                  <c:x val="-4.9545829892650696E-2"/>
                  <c:y val="-5.2550908692796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2C6-4FEB-9E76-F4413443B6BE}"/>
                </c:ext>
              </c:extLst>
            </c:dLbl>
            <c:dLbl>
              <c:idx val="3"/>
              <c:layout>
                <c:manualLayout>
                  <c:x val="-4.9545829892650786E-2"/>
                  <c:y val="-5.1453286517221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2C6-4FEB-9E76-F4413443B6BE}"/>
                </c:ext>
              </c:extLst>
            </c:dLbl>
            <c:dLbl>
              <c:idx val="4"/>
              <c:layout>
                <c:manualLayout>
                  <c:x val="-4.2467854193700624E-2"/>
                  <c:y val="-5.4076539101497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2C6-4FEB-9E76-F4413443B6B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E'!$A$6:$A$11</c:f>
              <c:numCache>
                <c:formatCode>General</c:formatCode>
                <c:ptCount val="6"/>
                <c:pt idx="0">
                  <c:v>2019</c:v>
                </c:pt>
                <c:pt idx="1">
                  <c:v>2020</c:v>
                </c:pt>
                <c:pt idx="2">
                  <c:v>2021</c:v>
                </c:pt>
                <c:pt idx="3">
                  <c:v>2022</c:v>
                </c:pt>
                <c:pt idx="4">
                  <c:v>2023</c:v>
                </c:pt>
                <c:pt idx="5">
                  <c:v>2024</c:v>
                </c:pt>
              </c:numCache>
            </c:numRef>
          </c:cat>
          <c:val>
            <c:numRef>
              <c:f>'Rep 2021- E'!$D$6:$D$11</c:f>
              <c:numCache>
                <c:formatCode>#,##0.0</c:formatCode>
                <c:ptCount val="6"/>
                <c:pt idx="0">
                  <c:v>45.1</c:v>
                </c:pt>
                <c:pt idx="1">
                  <c:v>46.6</c:v>
                </c:pt>
                <c:pt idx="2">
                  <c:v>46.9</c:v>
                </c:pt>
                <c:pt idx="3">
                  <c:v>45.3</c:v>
                </c:pt>
                <c:pt idx="4">
                  <c:v>52.8</c:v>
                </c:pt>
                <c:pt idx="5" formatCode="0.0">
                  <c:v>80</c:v>
                </c:pt>
              </c:numCache>
            </c:numRef>
          </c:val>
          <c:smooth val="0"/>
          <c:extLst>
            <c:ext xmlns:c16="http://schemas.microsoft.com/office/drawing/2014/chart" uri="{C3380CC4-5D6E-409C-BE32-E72D297353CC}">
              <c16:uniqueId val="{00000011-42C6-4FEB-9E76-F4413443B6BE}"/>
            </c:ext>
          </c:extLst>
        </c:ser>
        <c:dLbls>
          <c:showLegendKey val="0"/>
          <c:showVal val="0"/>
          <c:showCatName val="0"/>
          <c:showSerName val="0"/>
          <c:showPercent val="0"/>
          <c:showBubbleSize val="0"/>
        </c:dLbls>
        <c:marker val="1"/>
        <c:smooth val="0"/>
        <c:axId val="129992960"/>
        <c:axId val="130032000"/>
      </c:lineChart>
      <c:catAx>
        <c:axId val="129992960"/>
        <c:scaling>
          <c:orientation val="minMax"/>
        </c:scaling>
        <c:delete val="0"/>
        <c:axPos val="b"/>
        <c:title>
          <c:tx>
            <c:rich>
              <a:bodyPr/>
              <a:lstStyle/>
              <a:p>
                <a:pPr>
                  <a:defRPr/>
                </a:pPr>
                <a:r>
                  <a:rPr lang="en-US"/>
                  <a:t>Year</a:t>
                </a:r>
              </a:p>
            </c:rich>
          </c:tx>
          <c:layout>
            <c:manualLayout>
              <c:xMode val="edge"/>
              <c:yMode val="edge"/>
              <c:x val="0.49911142542656362"/>
              <c:y val="0.8978130042300817"/>
            </c:manualLayout>
          </c:layout>
          <c:overlay val="0"/>
        </c:title>
        <c:numFmt formatCode="General" sourceLinked="1"/>
        <c:majorTickMark val="out"/>
        <c:minorTickMark val="none"/>
        <c:tickLblPos val="nextTo"/>
        <c:txPr>
          <a:bodyPr rot="0" vert="horz"/>
          <a:lstStyle/>
          <a:p>
            <a:pPr>
              <a:defRPr/>
            </a:pPr>
            <a:endParaRPr lang="ar-SA"/>
          </a:p>
        </c:txPr>
        <c:crossAx val="130032000"/>
        <c:crosses val="autoZero"/>
        <c:auto val="1"/>
        <c:lblAlgn val="ctr"/>
        <c:lblOffset val="100"/>
        <c:tickLblSkip val="1"/>
        <c:tickMarkSkip val="1"/>
        <c:noMultiLvlLbl val="0"/>
      </c:catAx>
      <c:valAx>
        <c:axId val="130032000"/>
        <c:scaling>
          <c:orientation val="minMax"/>
          <c:max val="90"/>
        </c:scaling>
        <c:delete val="0"/>
        <c:axPos val="l"/>
        <c:title>
          <c:tx>
            <c:rich>
              <a:bodyPr/>
              <a:lstStyle/>
              <a:p>
                <a:pPr>
                  <a:defRPr/>
                </a:pPr>
                <a:r>
                  <a:rPr lang="en-US"/>
                  <a:t>Unemployment Rtae (%) </a:t>
                </a:r>
              </a:p>
            </c:rich>
          </c:tx>
          <c:layout>
            <c:manualLayout>
              <c:xMode val="edge"/>
              <c:yMode val="edge"/>
              <c:x val="2.0928329458404817E-2"/>
              <c:y val="0.13914576572497128"/>
            </c:manualLayout>
          </c:layout>
          <c:overlay val="0"/>
        </c:title>
        <c:numFmt formatCode="#,##0.0" sourceLinked="1"/>
        <c:majorTickMark val="out"/>
        <c:minorTickMark val="none"/>
        <c:tickLblPos val="nextTo"/>
        <c:txPr>
          <a:bodyPr rot="0" vert="horz"/>
          <a:lstStyle/>
          <a:p>
            <a:pPr>
              <a:defRPr/>
            </a:pPr>
            <a:endParaRPr lang="ar-SA"/>
          </a:p>
        </c:txPr>
        <c:crossAx val="129992960"/>
        <c:crosses val="autoZero"/>
        <c:crossBetween val="between"/>
        <c:majorUnit val="10"/>
      </c:valAx>
    </c:plotArea>
    <c:legend>
      <c:legendPos val="b"/>
      <c:layout>
        <c:manualLayout>
          <c:xMode val="edge"/>
          <c:yMode val="edge"/>
          <c:x val="0.1885520898312443"/>
          <c:y val="3.3837353973230441E-2"/>
          <c:w val="0.51688333592703029"/>
          <c:h val="7.4055049467160017E-2"/>
        </c:manualLayout>
      </c:layout>
      <c:overlay val="0"/>
      <c:spPr>
        <a:ln>
          <a:solidFill>
            <a:sysClr val="windowText" lastClr="000000"/>
          </a:solidFill>
        </a:ln>
      </c:spPr>
    </c:legend>
    <c:plotVisOnly val="1"/>
    <c:dispBlanksAs val="gap"/>
    <c:showDLblsOverMax val="0"/>
  </c:chart>
  <c:spPr>
    <a:ln w="12700">
      <a:noFill/>
    </a:ln>
  </c:spPr>
  <c:txPr>
    <a:bodyPr/>
    <a:lstStyle/>
    <a:p>
      <a:pPr>
        <a:defRPr sz="900">
          <a:latin typeface="Arial" pitchFamily="34" charset="0"/>
          <a:cs typeface="Arial" pitchFamily="34" charset="0"/>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088DA-99B2-43AD-AE2C-3FE3A026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8</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Hewlett-Packard</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lastModifiedBy>LOAY SHEHADEH</cp:lastModifiedBy>
  <cp:revision>22</cp:revision>
  <cp:lastPrinted>2024-12-31T10:24:00Z</cp:lastPrinted>
  <dcterms:created xsi:type="dcterms:W3CDTF">2024-12-29T15:34:00Z</dcterms:created>
  <dcterms:modified xsi:type="dcterms:W3CDTF">2024-12-31T10:56:00Z</dcterms:modified>
</cp:coreProperties>
</file>