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5A" w:rsidRDefault="00AD68A6" w:rsidP="007A635A">
      <w:pPr>
        <w:pStyle w:val="Heading3"/>
        <w:bidi w:val="0"/>
        <w:jc w:val="center"/>
        <w:rPr>
          <w:rFonts w:asciiTheme="majorBidi" w:hAnsiTheme="majorBidi" w:cstheme="majorBidi"/>
          <w:sz w:val="32"/>
          <w:szCs w:val="32"/>
          <w:u w:val="none"/>
          <w:lang w:val="en-US"/>
        </w:rPr>
      </w:pPr>
      <w:r w:rsidRPr="00AD68A6">
        <w:rPr>
          <w:rFonts w:asciiTheme="majorBidi" w:hAnsiTheme="majorBidi" w:cstheme="majorBidi"/>
          <w:noProof/>
          <w:sz w:val="32"/>
          <w:szCs w:val="32"/>
          <w:u w:val="none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-672465</wp:posOffset>
            </wp:positionV>
            <wp:extent cx="7649210" cy="1343025"/>
            <wp:effectExtent l="19050" t="0" r="889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CBS+Census Header E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2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8A6" w:rsidRDefault="00AD68A6" w:rsidP="007A635A">
      <w:pPr>
        <w:pStyle w:val="Heading3"/>
        <w:bidi w:val="0"/>
        <w:jc w:val="center"/>
        <w:rPr>
          <w:rFonts w:asciiTheme="majorBidi" w:hAnsiTheme="majorBidi" w:cstheme="majorBidi"/>
          <w:sz w:val="32"/>
          <w:szCs w:val="32"/>
          <w:u w:val="none"/>
        </w:rPr>
      </w:pPr>
    </w:p>
    <w:p w:rsidR="00AD68A6" w:rsidRDefault="00AD68A6" w:rsidP="00AD68A6">
      <w:pPr>
        <w:pStyle w:val="Heading3"/>
        <w:bidi w:val="0"/>
        <w:jc w:val="center"/>
        <w:rPr>
          <w:rFonts w:asciiTheme="majorBidi" w:hAnsiTheme="majorBidi" w:cstheme="majorBidi"/>
          <w:sz w:val="32"/>
          <w:szCs w:val="32"/>
          <w:u w:val="none"/>
        </w:rPr>
      </w:pPr>
    </w:p>
    <w:p w:rsidR="007A635A" w:rsidRPr="006F0F3E" w:rsidRDefault="007A635A" w:rsidP="00AD68A6">
      <w:pPr>
        <w:pStyle w:val="Heading3"/>
        <w:bidi w:val="0"/>
        <w:jc w:val="center"/>
        <w:rPr>
          <w:rFonts w:asciiTheme="majorBidi" w:hAnsiTheme="majorBidi" w:cstheme="majorBidi"/>
          <w:sz w:val="32"/>
          <w:szCs w:val="32"/>
          <w:u w:val="none"/>
        </w:rPr>
      </w:pPr>
      <w:r w:rsidRPr="006F0F3E">
        <w:rPr>
          <w:rFonts w:asciiTheme="majorBidi" w:hAnsiTheme="majorBidi" w:cstheme="majorBidi"/>
          <w:sz w:val="32"/>
          <w:szCs w:val="32"/>
          <w:u w:val="none"/>
        </w:rPr>
        <w:t>Palestinian Central Bureau of Statistics (PCBS)</w:t>
      </w:r>
    </w:p>
    <w:p w:rsidR="007A635A" w:rsidRPr="006F0F3E" w:rsidRDefault="007A635A" w:rsidP="007A635A">
      <w:pPr>
        <w:pStyle w:val="Heading1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6F0F3E">
        <w:rPr>
          <w:rFonts w:asciiTheme="majorBidi" w:hAnsiTheme="majorBidi" w:cstheme="majorBidi"/>
          <w:sz w:val="28"/>
          <w:szCs w:val="28"/>
        </w:rPr>
        <w:t>Preliminary Estimates of Quarterly National Accounts</w:t>
      </w:r>
    </w:p>
    <w:p w:rsidR="007A635A" w:rsidRPr="006F0F3E" w:rsidRDefault="007A635A" w:rsidP="007A635A">
      <w:pPr>
        <w:pStyle w:val="Heading1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6F0F3E">
        <w:rPr>
          <w:rFonts w:asciiTheme="majorBidi" w:hAnsiTheme="majorBidi" w:cstheme="majorBidi"/>
          <w:sz w:val="28"/>
          <w:szCs w:val="28"/>
        </w:rPr>
        <w:t>(Third Quarter 2017)</w:t>
      </w:r>
    </w:p>
    <w:p w:rsidR="007A635A" w:rsidRPr="006F0F3E" w:rsidRDefault="007A635A" w:rsidP="007A635A">
      <w:pPr>
        <w:pStyle w:val="Heading7"/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6F0F3E">
        <w:rPr>
          <w:rFonts w:asciiTheme="majorBidi" w:hAnsiTheme="majorBidi" w:cstheme="majorBidi"/>
          <w:sz w:val="28"/>
          <w:szCs w:val="28"/>
        </w:rPr>
        <w:t>Main Results</w:t>
      </w:r>
    </w:p>
    <w:p w:rsidR="007A635A" w:rsidRPr="000E23FE" w:rsidRDefault="007A635A" w:rsidP="007A635A">
      <w:pPr>
        <w:pStyle w:val="Heading7"/>
        <w:bidi w:val="0"/>
      </w:pPr>
    </w:p>
    <w:p w:rsidR="007A635A" w:rsidRPr="006F0F3E" w:rsidRDefault="007A635A" w:rsidP="007A635A">
      <w:pPr>
        <w:pStyle w:val="Heading7"/>
        <w:bidi w:val="0"/>
        <w:jc w:val="center"/>
        <w:rPr>
          <w:sz w:val="25"/>
          <w:szCs w:val="25"/>
          <w:lang w:eastAsia="en-US"/>
        </w:rPr>
      </w:pPr>
      <w:r w:rsidRPr="006F0F3E">
        <w:rPr>
          <w:sz w:val="25"/>
          <w:szCs w:val="25"/>
        </w:rPr>
        <w:t xml:space="preserve">Increase </w:t>
      </w:r>
      <w:r w:rsidRPr="006F0F3E">
        <w:rPr>
          <w:sz w:val="25"/>
          <w:szCs w:val="25"/>
          <w:lang w:eastAsia="en-US"/>
        </w:rPr>
        <w:t xml:space="preserve">in GDP at constant prices in Palestine* during the </w:t>
      </w:r>
      <w:r w:rsidRPr="006F0F3E">
        <w:rPr>
          <w:sz w:val="25"/>
          <w:szCs w:val="25"/>
          <w:rtl/>
          <w:lang w:eastAsia="en-US"/>
        </w:rPr>
        <w:t>3</w:t>
      </w:r>
      <w:r w:rsidRPr="006F0F3E">
        <w:rPr>
          <w:sz w:val="25"/>
          <w:szCs w:val="25"/>
          <w:vertAlign w:val="superscript"/>
          <w:lang w:eastAsia="en-US"/>
        </w:rPr>
        <w:t>rd</w:t>
      </w:r>
      <w:r w:rsidRPr="006F0F3E">
        <w:rPr>
          <w:sz w:val="25"/>
          <w:szCs w:val="25"/>
          <w:lang w:eastAsia="en-US"/>
        </w:rPr>
        <w:t xml:space="preserve"> quarter 2017 compared</w:t>
      </w:r>
    </w:p>
    <w:p w:rsidR="007A635A" w:rsidRPr="006F0F3E" w:rsidRDefault="007A635A" w:rsidP="007A635A">
      <w:pPr>
        <w:pStyle w:val="Heading7"/>
        <w:bidi w:val="0"/>
        <w:jc w:val="center"/>
        <w:rPr>
          <w:sz w:val="25"/>
          <w:szCs w:val="25"/>
          <w:lang w:eastAsia="en-US"/>
        </w:rPr>
      </w:pPr>
      <w:r w:rsidRPr="006F0F3E">
        <w:rPr>
          <w:sz w:val="25"/>
          <w:szCs w:val="25"/>
          <w:lang w:eastAsia="en-US"/>
        </w:rPr>
        <w:t>to the parallel quarter (3</w:t>
      </w:r>
      <w:r w:rsidRPr="006F0F3E">
        <w:rPr>
          <w:sz w:val="25"/>
          <w:szCs w:val="25"/>
          <w:vertAlign w:val="superscript"/>
          <w:lang w:eastAsia="en-US"/>
        </w:rPr>
        <w:t>rd</w:t>
      </w:r>
      <w:r w:rsidRPr="006F0F3E">
        <w:rPr>
          <w:sz w:val="25"/>
          <w:szCs w:val="25"/>
          <w:lang w:eastAsia="en-US"/>
        </w:rPr>
        <w:t xml:space="preserve"> quarter 2016)</w:t>
      </w:r>
    </w:p>
    <w:p w:rsidR="007A635A" w:rsidRPr="006F0F3E" w:rsidRDefault="007A635A" w:rsidP="007A635A">
      <w:pPr>
        <w:bidi w:val="0"/>
        <w:rPr>
          <w:sz w:val="16"/>
          <w:szCs w:val="16"/>
          <w:lang w:eastAsia="en-US"/>
        </w:rPr>
      </w:pPr>
    </w:p>
    <w:p w:rsidR="007A635A" w:rsidRPr="00A13430" w:rsidRDefault="007A635A" w:rsidP="007A635A">
      <w:pPr>
        <w:bidi w:val="0"/>
        <w:rPr>
          <w:lang w:eastAsia="en-US"/>
        </w:rPr>
      </w:pPr>
      <w:r w:rsidRPr="00A13430">
        <w:rPr>
          <w:lang w:eastAsia="en-US"/>
        </w:rPr>
        <w:t>Preliminary estimates at constant prices showed an increase of 5% in GDP in Palestine</w:t>
      </w:r>
      <w:r w:rsidRPr="00A13430">
        <w:rPr>
          <w:rtl/>
        </w:rPr>
        <w:footnoteReference w:customMarkFollows="1" w:id="1"/>
        <w:t>*</w:t>
      </w:r>
      <w:r w:rsidRPr="00A13430">
        <w:rPr>
          <w:lang w:eastAsia="en-US"/>
        </w:rPr>
        <w:t xml:space="preserve"> during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2017 compared to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2016, (increase 6.9% in the West Bank* and decrease 0.6% in Gaza Strip compared to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2016).  And it showed an increase of 3.1% in Palestine* compared to the 2</w:t>
      </w:r>
      <w:r w:rsidRPr="00A13430">
        <w:rPr>
          <w:vertAlign w:val="superscript"/>
          <w:lang w:eastAsia="en-US"/>
        </w:rPr>
        <w:t>nd</w:t>
      </w:r>
      <w:r w:rsidRPr="00A13430">
        <w:rPr>
          <w:lang w:eastAsia="en-US"/>
        </w:rPr>
        <w:t xml:space="preserve"> quarter 2017 at constant prices, meanwhile the base year is 2015. GDP for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2017 at constant prices was USD </w:t>
      </w:r>
      <w:r>
        <w:rPr>
          <w:lang w:eastAsia="en-US"/>
        </w:rPr>
        <w:t>2,658.5</w:t>
      </w:r>
      <w:r w:rsidRPr="00A13430">
        <w:rPr>
          <w:lang w:eastAsia="en-US"/>
        </w:rPr>
        <w:t xml:space="preserve"> million for the West Bank* and USD 843.8 million for Gaza Strip. </w:t>
      </w:r>
    </w:p>
    <w:p w:rsidR="007A635A" w:rsidRPr="000E23FE" w:rsidRDefault="007A635A" w:rsidP="007A635A">
      <w:pPr>
        <w:pStyle w:val="Heading7"/>
        <w:bidi w:val="0"/>
      </w:pPr>
    </w:p>
    <w:p w:rsidR="007A635A" w:rsidRPr="00A13430" w:rsidRDefault="007A635A" w:rsidP="007A635A">
      <w:pPr>
        <w:bidi w:val="0"/>
        <w:rPr>
          <w:snapToGrid w:val="0"/>
        </w:rPr>
      </w:pPr>
      <w:r w:rsidRPr="00A13430">
        <w:rPr>
          <w:snapToGrid w:val="0"/>
        </w:rPr>
        <w:t>Gross Domestic Product Per Capita</w:t>
      </w:r>
    </w:p>
    <w:p w:rsidR="007A635A" w:rsidRPr="00A13430" w:rsidRDefault="007A635A" w:rsidP="007A635A">
      <w:pPr>
        <w:bidi w:val="0"/>
        <w:rPr>
          <w:snapToGrid w:val="0"/>
        </w:rPr>
      </w:pPr>
      <w:r w:rsidRPr="00A13430">
        <w:rPr>
          <w:snapToGrid w:val="0"/>
        </w:rPr>
        <w:t xml:space="preserve">GDP per Capita for </w:t>
      </w:r>
      <w:r w:rsidRPr="00A13430">
        <w:rPr>
          <w:lang w:eastAsia="en-US"/>
        </w:rPr>
        <w:t xml:space="preserve">Palestine* at constant prices </w:t>
      </w:r>
      <w:r w:rsidRPr="00A13430">
        <w:rPr>
          <w:snapToGrid w:val="0"/>
        </w:rPr>
        <w:t xml:space="preserve">was  USD 745.6 during the </w:t>
      </w:r>
      <w:r w:rsidRPr="00A13430">
        <w:rPr>
          <w:lang w:eastAsia="en-US"/>
        </w:rPr>
        <w:t>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2017, it showed an </w:t>
      </w:r>
      <w:r w:rsidRPr="00A13430">
        <w:rPr>
          <w:snapToGrid w:val="0"/>
        </w:rPr>
        <w:t xml:space="preserve">increase of </w:t>
      </w:r>
      <w:r w:rsidRPr="00A13430">
        <w:rPr>
          <w:rFonts w:hint="cs"/>
          <w:snapToGrid w:val="0"/>
          <w:rtl/>
        </w:rPr>
        <w:t>1.</w:t>
      </w:r>
      <w:r w:rsidRPr="00A13430">
        <w:rPr>
          <w:snapToGrid w:val="0"/>
        </w:rPr>
        <w:t xml:space="preserve">9% compared to the </w:t>
      </w:r>
      <w:r w:rsidRPr="00A13430">
        <w:rPr>
          <w:lang w:eastAsia="en-US"/>
        </w:rPr>
        <w:t>3</w:t>
      </w:r>
      <w:r w:rsidRPr="00A13430">
        <w:rPr>
          <w:vertAlign w:val="superscript"/>
          <w:lang w:eastAsia="en-US"/>
        </w:rPr>
        <w:t>rd</w:t>
      </w:r>
      <w:r w:rsidRPr="00A13430">
        <w:t xml:space="preserve"> </w:t>
      </w:r>
      <w:r w:rsidRPr="00A13430">
        <w:rPr>
          <w:snapToGrid w:val="0"/>
        </w:rPr>
        <w:t xml:space="preserve">quarter 2016. As for the West Bank* it was USD 968.1 </w:t>
      </w:r>
      <w:r w:rsidRPr="00A13430">
        <w:rPr>
          <w:lang w:eastAsia="en-US"/>
        </w:rPr>
        <w:t xml:space="preserve">at constant prices </w:t>
      </w:r>
      <w:r w:rsidRPr="00A13430">
        <w:rPr>
          <w:snapToGrid w:val="0"/>
        </w:rPr>
        <w:t xml:space="preserve">during the </w:t>
      </w:r>
      <w:r w:rsidRPr="00A13430">
        <w:rPr>
          <w:lang w:eastAsia="en-US"/>
        </w:rPr>
        <w:t>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2017</w:t>
      </w:r>
      <w:r w:rsidRPr="00A13430">
        <w:rPr>
          <w:snapToGrid w:val="0"/>
        </w:rPr>
        <w:t xml:space="preserve">, it showed an increase </w:t>
      </w:r>
      <w:r w:rsidRPr="00A13430">
        <w:rPr>
          <w:lang w:eastAsia="en-US"/>
        </w:rPr>
        <w:t>by 4.6% during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2017 compared to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2016</w:t>
      </w:r>
      <w:r w:rsidRPr="00A13430">
        <w:rPr>
          <w:snapToGrid w:val="0"/>
        </w:rPr>
        <w:t xml:space="preserve">, while for Gaza Strip it was USD 432.4 during the </w:t>
      </w:r>
      <w:r w:rsidRPr="00A13430">
        <w:rPr>
          <w:lang w:eastAsia="en-US"/>
        </w:rPr>
        <w:t>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2017</w:t>
      </w:r>
      <w:r w:rsidRPr="00A13430">
        <w:rPr>
          <w:snapToGrid w:val="0"/>
        </w:rPr>
        <w:t xml:space="preserve">, and it showed a decrease </w:t>
      </w:r>
      <w:r w:rsidRPr="00A13430">
        <w:rPr>
          <w:lang w:eastAsia="en-US"/>
        </w:rPr>
        <w:t>by 4.7% during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2017 compared to the 3</w:t>
      </w:r>
      <w:r w:rsidRPr="00A13430">
        <w:rPr>
          <w:vertAlign w:val="superscript"/>
          <w:lang w:eastAsia="en-US"/>
        </w:rPr>
        <w:t>rd</w:t>
      </w:r>
      <w:r w:rsidRPr="00A13430">
        <w:rPr>
          <w:lang w:eastAsia="en-US"/>
        </w:rPr>
        <w:t xml:space="preserve"> quarter 2016</w:t>
      </w:r>
      <w:r w:rsidRPr="00A13430">
        <w:rPr>
          <w:snapToGrid w:val="0"/>
        </w:rPr>
        <w:t>.</w:t>
      </w:r>
    </w:p>
    <w:p w:rsidR="007A635A" w:rsidRPr="000E23FE" w:rsidRDefault="007A635A" w:rsidP="007A635A">
      <w:pPr>
        <w:bidi w:val="0"/>
        <w:rPr>
          <w:snapToGrid w:val="0"/>
        </w:rPr>
      </w:pPr>
    </w:p>
    <w:p w:rsidR="007A635A" w:rsidRPr="006F0F3E" w:rsidRDefault="007A635A" w:rsidP="007A635A">
      <w:pPr>
        <w:pStyle w:val="BodyTextIndent2"/>
        <w:spacing w:after="0" w:line="240" w:lineRule="auto"/>
        <w:jc w:val="center"/>
        <w:rPr>
          <w:b/>
          <w:bCs/>
          <w:sz w:val="25"/>
          <w:szCs w:val="25"/>
          <w:rtl/>
        </w:rPr>
      </w:pPr>
      <w:r w:rsidRPr="006F0F3E">
        <w:rPr>
          <w:b/>
          <w:bCs/>
          <w:sz w:val="25"/>
          <w:szCs w:val="25"/>
        </w:rPr>
        <w:t>Quarterly GDP in Palestine* at Constant Prices for the Years 2013-2017</w:t>
      </w:r>
    </w:p>
    <w:p w:rsidR="007A635A" w:rsidRPr="000E23FE" w:rsidRDefault="007A635A" w:rsidP="007A635A">
      <w:pPr>
        <w:pStyle w:val="BodyTextIndent2"/>
        <w:spacing w:after="0"/>
        <w:jc w:val="center"/>
        <w:rPr>
          <w:rtl/>
        </w:rPr>
      </w:pPr>
      <w:r w:rsidRPr="00A13430">
        <w:rPr>
          <w:rFonts w:hint="cs"/>
          <w:noProof/>
          <w:rtl/>
          <w:lang w:eastAsia="en-US"/>
        </w:rPr>
        <w:drawing>
          <wp:inline distT="0" distB="0" distL="0" distR="0">
            <wp:extent cx="5314950" cy="25812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3A45" w:rsidRDefault="007A635A" w:rsidP="00AD68A6">
      <w:pPr>
        <w:pStyle w:val="FootnoteText"/>
        <w:jc w:val="both"/>
      </w:pPr>
      <w:r w:rsidRPr="00734D56">
        <w:rPr>
          <w:rStyle w:val="FootnoteReference"/>
          <w:rtl/>
        </w:rPr>
        <w:t>*</w:t>
      </w:r>
      <w:r w:rsidRPr="00734D56">
        <w:t xml:space="preserve">  </w:t>
      </w:r>
      <w:r w:rsidRPr="00734D56">
        <w:rPr>
          <w:snapToGrid w:val="0"/>
        </w:rPr>
        <w:t xml:space="preserve">The data excludes those parts of </w:t>
      </w:r>
      <w:smartTag w:uri="urn:schemas-microsoft-com:office:smarttags" w:element="City">
        <w:r w:rsidRPr="00734D56">
          <w:rPr>
            <w:snapToGrid w:val="0"/>
          </w:rPr>
          <w:t>Jerusalem</w:t>
        </w:r>
      </w:smartTag>
      <w:r w:rsidRPr="00734D56">
        <w:rPr>
          <w:snapToGrid w:val="0"/>
        </w:rPr>
        <w:t xml:space="preserve"> </w:t>
      </w:r>
      <w:r w:rsidRPr="00646FBC">
        <w:rPr>
          <w:snapToGrid w:val="0"/>
        </w:rPr>
        <w:t xml:space="preserve">governorate </w:t>
      </w:r>
      <w:r w:rsidRPr="00734D56">
        <w:rPr>
          <w:snapToGrid w:val="0"/>
        </w:rPr>
        <w:t xml:space="preserve">which were annexed </w:t>
      </w:r>
      <w:r w:rsidRPr="00734D56">
        <w:rPr>
          <w:lang w:eastAsia="en-US"/>
        </w:rPr>
        <w:t>by</w:t>
      </w:r>
      <w:r w:rsidRPr="00734D56">
        <w:rPr>
          <w:snapToGrid w:val="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734D56">
            <w:rPr>
              <w:snapToGrid w:val="0"/>
            </w:rPr>
            <w:t>Israel</w:t>
          </w:r>
        </w:smartTag>
      </w:smartTag>
      <w:r w:rsidRPr="00734D56">
        <w:rPr>
          <w:snapToGrid w:val="0"/>
        </w:rPr>
        <w:t xml:space="preserve"> </w:t>
      </w:r>
      <w:r w:rsidRPr="00734D56">
        <w:rPr>
          <w:lang w:eastAsia="en-US"/>
        </w:rPr>
        <w:t>in 1967</w:t>
      </w:r>
      <w:r w:rsidRPr="00734D56">
        <w:rPr>
          <w:snapToGrid w:val="0"/>
        </w:rPr>
        <w:t>.</w:t>
      </w:r>
    </w:p>
    <w:sectPr w:rsidR="00313A45" w:rsidSect="00AD68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DA3" w:rsidRDefault="00E21DA3" w:rsidP="007A635A">
      <w:r>
        <w:separator/>
      </w:r>
    </w:p>
  </w:endnote>
  <w:endnote w:type="continuationSeparator" w:id="0">
    <w:p w:rsidR="00E21DA3" w:rsidRDefault="00E21DA3" w:rsidP="007A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A" w:rsidRDefault="00CB4B06" w:rsidP="000E23FE">
    <w:pPr>
      <w:pStyle w:val="Footer"/>
      <w:rPr>
        <w:rStyle w:val="PageNumber"/>
        <w:rtl/>
      </w:rPr>
    </w:pPr>
    <w:r>
      <w:rPr>
        <w:rStyle w:val="PageNumber"/>
        <w:rtl/>
      </w:rPr>
      <w:fldChar w:fldCharType="begin"/>
    </w:r>
    <w:r w:rsidR="007A635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A635A" w:rsidRDefault="007A635A" w:rsidP="000E23FE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A" w:rsidRDefault="00CB4B06" w:rsidP="000E23F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2pt;margin-top:-2.75pt;width:108.75pt;height:19.5pt;z-index:251660288" filled="f" stroked="f">
          <v:textbox style="mso-next-textbox:#_x0000_s1025">
            <w:txbxContent>
              <w:p w:rsidR="007A635A" w:rsidRPr="002052E4" w:rsidRDefault="007A635A" w:rsidP="000E23FE">
                <w:r w:rsidRPr="002052E4">
                  <w:rPr>
                    <w:b/>
                    <w:bCs/>
                  </w:rPr>
                  <w:t>Date</w:t>
                </w:r>
                <w:r w:rsidRPr="002052E4">
                  <w:t>: 2</w:t>
                </w:r>
                <w:r>
                  <w:t>8</w:t>
                </w:r>
                <w:r w:rsidRPr="002052E4">
                  <w:t>/0</w:t>
                </w:r>
                <w:r>
                  <w:t>9</w:t>
                </w:r>
                <w:r w:rsidRPr="002052E4">
                  <w:t>/2017</w:t>
                </w:r>
              </w:p>
              <w:p w:rsidR="007A635A" w:rsidRDefault="007A635A" w:rsidP="000E23FE">
                <w:pPr>
                  <w:rPr>
                    <w:rtl/>
                  </w:rPr>
                </w:pPr>
              </w:p>
            </w:txbxContent>
          </v:textbox>
          <w10:wrap anchorx="page"/>
        </v:shape>
      </w:pict>
    </w:r>
    <w:r w:rsidR="00AD68A6"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-187325</wp:posOffset>
          </wp:positionV>
          <wp:extent cx="7572375" cy="781050"/>
          <wp:effectExtent l="19050" t="0" r="9525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635A" w:rsidRDefault="007A635A" w:rsidP="000E23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A" w:rsidRDefault="007A635A" w:rsidP="000E23FE">
    <w:pPr>
      <w:pStyle w:val="Footer"/>
    </w:pPr>
    <w:r w:rsidRPr="002B0C48">
      <w:rPr>
        <w:rtl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-756920</wp:posOffset>
          </wp:positionV>
          <wp:extent cx="7572375" cy="676275"/>
          <wp:effectExtent l="19050" t="0" r="9525" b="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DA3" w:rsidRDefault="00E21DA3" w:rsidP="007A635A">
      <w:r>
        <w:separator/>
      </w:r>
    </w:p>
  </w:footnote>
  <w:footnote w:type="continuationSeparator" w:id="0">
    <w:p w:rsidR="00E21DA3" w:rsidRDefault="00E21DA3" w:rsidP="007A635A">
      <w:r>
        <w:continuationSeparator/>
      </w:r>
    </w:p>
  </w:footnote>
  <w:footnote w:id="1">
    <w:p w:rsidR="007A635A" w:rsidRDefault="007A635A" w:rsidP="007A635A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A" w:rsidRPr="00D445D8" w:rsidRDefault="00CB4B06" w:rsidP="00A52AFA">
    <w:pPr>
      <w:pStyle w:val="Header"/>
      <w:rPr>
        <w:rtl/>
      </w:rPr>
    </w:pPr>
    <w:r>
      <w:rPr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71.6pt;margin-top:666.85pt;width:93.75pt;height:21.75pt;z-index:251661312" stroked="f">
          <v:textbox style="mso-next-textbox:#_x0000_s1026">
            <w:txbxContent>
              <w:p w:rsidR="007A635A" w:rsidRPr="002B0C48" w:rsidRDefault="007A635A" w:rsidP="000E23FE">
                <w:pPr>
                  <w:rPr>
                    <w:rtl/>
                  </w:rPr>
                </w:pP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5A" w:rsidRDefault="007A635A" w:rsidP="000E23FE">
    <w:pPr>
      <w:pStyle w:val="Header"/>
    </w:pPr>
    <w:r w:rsidRPr="002B0C48">
      <w:rPr>
        <w:noProof/>
        <w:rtl/>
        <w:lang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-259715</wp:posOffset>
          </wp:positionV>
          <wp:extent cx="7649210" cy="1247775"/>
          <wp:effectExtent l="19050" t="0" r="889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21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635A"/>
    <w:rsid w:val="00173B2F"/>
    <w:rsid w:val="002766E1"/>
    <w:rsid w:val="00313A45"/>
    <w:rsid w:val="00382ADC"/>
    <w:rsid w:val="003C04EB"/>
    <w:rsid w:val="0059452A"/>
    <w:rsid w:val="007A635A"/>
    <w:rsid w:val="00AD68A6"/>
    <w:rsid w:val="00CB4B06"/>
    <w:rsid w:val="00D81C7B"/>
    <w:rsid w:val="00E21DA3"/>
    <w:rsid w:val="00E5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5A"/>
    <w:pPr>
      <w:tabs>
        <w:tab w:val="left" w:pos="673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A635A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7A635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7A635A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35A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7A635A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7Char">
    <w:name w:val="Heading 7 Char"/>
    <w:basedOn w:val="DefaultParagraphFont"/>
    <w:link w:val="Heading7"/>
    <w:rsid w:val="007A635A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7A635A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635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A635A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635A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7A635A"/>
    <w:rPr>
      <w:vertAlign w:val="superscript"/>
    </w:rPr>
  </w:style>
  <w:style w:type="character" w:styleId="PageNumber">
    <w:name w:val="page number"/>
    <w:basedOn w:val="DefaultParagraphFont"/>
    <w:rsid w:val="007A635A"/>
  </w:style>
  <w:style w:type="paragraph" w:styleId="BodyTextIndent2">
    <w:name w:val="Body Text Indent 2"/>
    <w:basedOn w:val="Normal"/>
    <w:link w:val="BodyTextIndent2Char"/>
    <w:uiPriority w:val="99"/>
    <w:unhideWhenUsed/>
    <w:rsid w:val="007A63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A63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A63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3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5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6923"/>
          <c:y val="4.1278468329486687E-2"/>
          <c:w val="0.80987492345936063"/>
          <c:h val="0.77814699566917434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363317358251E-2"/>
                  <c:y val="4.8783348910020917E-2"/>
                </c:manualLayout>
              </c:layout>
              <c:showVal val="1"/>
            </c:dLbl>
            <c:dLbl>
              <c:idx val="18"/>
              <c:layout>
                <c:manualLayout>
                  <c:x val="-1.1319547253761967E-2"/>
                  <c:y val="6.0041408479253357E-2"/>
                </c:manualLayout>
              </c:layout>
              <c:showVal val="1"/>
            </c:dLbl>
            <c:dLbl>
              <c:idx val="19"/>
              <c:layout>
                <c:manualLayout>
                  <c:x val="-3.39586417612859E-2"/>
                  <c:y val="4.8783644389393914E-2"/>
                </c:manualLayout>
              </c:layout>
              <c:showVal val="1"/>
            </c:dLbl>
            <c:delete val="1"/>
          </c:dLbls>
          <c:cat>
            <c:multiLvlStrRef>
              <c:f>Sheet1!$A$3:$B$21</c:f>
              <c:multiLvlStrCache>
                <c:ptCount val="19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</c:lvl>
              </c:multiLvlStrCache>
            </c:multiLvlStrRef>
          </c:cat>
          <c:val>
            <c:numRef>
              <c:f>Sheet1!$C$3:$C$21</c:f>
              <c:numCache>
                <c:formatCode>#,##0.0</c:formatCode>
                <c:ptCount val="19"/>
                <c:pt idx="0">
                  <c:v>2907.3</c:v>
                </c:pt>
                <c:pt idx="1">
                  <c:v>3132.3</c:v>
                </c:pt>
                <c:pt idx="2">
                  <c:v>3115.7</c:v>
                </c:pt>
                <c:pt idx="3">
                  <c:v>3119.9</c:v>
                </c:pt>
                <c:pt idx="4">
                  <c:v>3106.3</c:v>
                </c:pt>
                <c:pt idx="5">
                  <c:v>3188.9</c:v>
                </c:pt>
                <c:pt idx="6">
                  <c:v>2879.8</c:v>
                </c:pt>
                <c:pt idx="7">
                  <c:v>3077.9</c:v>
                </c:pt>
                <c:pt idx="8">
                  <c:v>3058.5</c:v>
                </c:pt>
                <c:pt idx="9">
                  <c:v>3220.1</c:v>
                </c:pt>
                <c:pt idx="10">
                  <c:v>3156.1</c:v>
                </c:pt>
                <c:pt idx="11">
                  <c:v>3238.3</c:v>
                </c:pt>
                <c:pt idx="12">
                  <c:v>3275.1</c:v>
                </c:pt>
                <c:pt idx="13">
                  <c:v>3362.7</c:v>
                </c:pt>
                <c:pt idx="14">
                  <c:v>3334.7</c:v>
                </c:pt>
                <c:pt idx="15">
                  <c:v>3297.2</c:v>
                </c:pt>
                <c:pt idx="16">
                  <c:v>3310.8</c:v>
                </c:pt>
                <c:pt idx="17">
                  <c:v>3396.8</c:v>
                </c:pt>
                <c:pt idx="18">
                  <c:v>3502.3</c:v>
                </c:pt>
              </c:numCache>
            </c:numRef>
          </c:val>
        </c:ser>
        <c:marker val="1"/>
        <c:axId val="128007168"/>
        <c:axId val="128213760"/>
      </c:lineChart>
      <c:catAx>
        <c:axId val="1280071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8213760"/>
        <c:crosses val="autoZero"/>
        <c:auto val="1"/>
        <c:lblAlgn val="ctr"/>
        <c:lblOffset val="100"/>
      </c:catAx>
      <c:valAx>
        <c:axId val="128213760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28007168"/>
        <c:crossesAt val="1"/>
        <c:crossBetween val="between"/>
        <c:majorUnit val="6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adwikat</dc:creator>
  <cp:lastModifiedBy>hbadran</cp:lastModifiedBy>
  <cp:revision>3</cp:revision>
  <cp:lastPrinted>2017-12-27T12:22:00Z</cp:lastPrinted>
  <dcterms:created xsi:type="dcterms:W3CDTF">2017-12-27T12:20:00Z</dcterms:created>
  <dcterms:modified xsi:type="dcterms:W3CDTF">2017-12-27T12:22:00Z</dcterms:modified>
</cp:coreProperties>
</file>