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0A" w:rsidRPr="005715CA" w:rsidRDefault="00DD6A0A" w:rsidP="00DD6A0A">
      <w:pPr>
        <w:pStyle w:val="Heading7"/>
        <w:bidi w:val="0"/>
        <w:ind w:right="-110"/>
        <w:jc w:val="both"/>
        <w:rPr>
          <w:rFonts w:asciiTheme="majorBidi" w:hAnsiTheme="majorBidi" w:cstheme="majorBidi"/>
          <w:b w:val="0"/>
          <w:bCs w:val="0"/>
        </w:rPr>
      </w:pPr>
    </w:p>
    <w:p w:rsidR="005715CA" w:rsidRPr="005715CA" w:rsidRDefault="005715CA" w:rsidP="005715CA">
      <w:pPr>
        <w:pStyle w:val="Heading3"/>
        <w:bidi w:val="0"/>
        <w:jc w:val="center"/>
        <w:rPr>
          <w:sz w:val="32"/>
          <w:szCs w:val="32"/>
          <w:u w:val="none"/>
        </w:rPr>
      </w:pPr>
      <w:r w:rsidRPr="005715CA">
        <w:rPr>
          <w:sz w:val="32"/>
          <w:szCs w:val="32"/>
          <w:u w:val="none"/>
        </w:rPr>
        <w:t>Palestinian Central Bureau of Statistics (PCBS)</w:t>
      </w:r>
    </w:p>
    <w:p w:rsidR="005715CA" w:rsidRPr="005715CA" w:rsidRDefault="005715CA" w:rsidP="005715CA">
      <w:pPr>
        <w:bidi w:val="0"/>
        <w:rPr>
          <w:rFonts w:asciiTheme="majorBidi" w:hAnsiTheme="majorBidi" w:cstheme="majorBidi"/>
          <w:sz w:val="28"/>
          <w:szCs w:val="28"/>
          <w:lang w:val="en-GB"/>
        </w:rPr>
      </w:pPr>
    </w:p>
    <w:p w:rsidR="00DD6A0A" w:rsidRPr="005715CA" w:rsidRDefault="00DD6A0A" w:rsidP="00DD6A0A">
      <w:pPr>
        <w:pStyle w:val="Heading7"/>
        <w:bidi w:val="0"/>
        <w:ind w:right="-110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 w:rsidRPr="005715CA">
        <w:rPr>
          <w:rFonts w:asciiTheme="majorBidi" w:hAnsiTheme="majorBidi" w:cstheme="majorBidi"/>
          <w:sz w:val="28"/>
          <w:szCs w:val="28"/>
        </w:rPr>
        <w:t xml:space="preserve">A </w:t>
      </w:r>
      <w:r w:rsidRPr="005715CA">
        <w:rPr>
          <w:rFonts w:asciiTheme="majorBidi" w:hAnsiTheme="majorBidi" w:cstheme="majorBidi"/>
          <w:snapToGrid w:val="0"/>
          <w:sz w:val="28"/>
          <w:szCs w:val="28"/>
        </w:rPr>
        <w:t>sharp decrease in GDP</w:t>
      </w:r>
      <w:r w:rsidRPr="005715CA">
        <w:rPr>
          <w:rFonts w:asciiTheme="majorBidi" w:hAnsiTheme="majorBidi" w:cstheme="majorBidi"/>
          <w:sz w:val="28"/>
          <w:szCs w:val="28"/>
        </w:rPr>
        <w:t xml:space="preserve"> </w:t>
      </w:r>
      <w:r w:rsidRPr="005715CA">
        <w:rPr>
          <w:rFonts w:asciiTheme="majorBidi" w:hAnsiTheme="majorBidi" w:cstheme="majorBidi"/>
          <w:sz w:val="28"/>
          <w:szCs w:val="28"/>
          <w:lang w:eastAsia="en-US"/>
        </w:rPr>
        <w:t xml:space="preserve">at constant prices </w:t>
      </w:r>
      <w:r w:rsidRPr="005715CA">
        <w:rPr>
          <w:rFonts w:asciiTheme="majorBidi" w:hAnsiTheme="majorBidi" w:cstheme="majorBidi"/>
          <w:snapToGrid w:val="0"/>
          <w:sz w:val="28"/>
          <w:szCs w:val="28"/>
        </w:rPr>
        <w:t>in Gaza Strip</w:t>
      </w:r>
      <w:r w:rsidRPr="005715CA">
        <w:rPr>
          <w:rFonts w:asciiTheme="majorBidi" w:hAnsiTheme="majorBidi" w:cstheme="majorBidi"/>
          <w:sz w:val="28"/>
          <w:szCs w:val="28"/>
          <w:lang w:eastAsia="en-US"/>
        </w:rPr>
        <w:t xml:space="preserve"> during the first three quarters of the year 2018 led to slowing down in the growth of the Palestinian economy compared to the parallel quarters of the year 2017</w:t>
      </w:r>
    </w:p>
    <w:p w:rsidR="005715CA" w:rsidRDefault="005715CA" w:rsidP="00DD6A0A">
      <w:pPr>
        <w:bidi w:val="0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</w:pPr>
    </w:p>
    <w:p w:rsidR="005715CA" w:rsidRDefault="005715CA" w:rsidP="005715CA">
      <w:pPr>
        <w:bidi w:val="0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</w:pPr>
    </w:p>
    <w:p w:rsidR="00DD6A0A" w:rsidRPr="005715CA" w:rsidRDefault="00DD6A0A" w:rsidP="005715CA">
      <w:pPr>
        <w:bidi w:val="0"/>
        <w:jc w:val="both"/>
        <w:rPr>
          <w:rFonts w:asciiTheme="majorBidi" w:hAnsiTheme="majorBidi" w:cstheme="majorBidi"/>
          <w:lang w:eastAsia="en-US"/>
        </w:rPr>
      </w:pPr>
      <w:r w:rsidRPr="005715CA">
        <w:rPr>
          <w:rFonts w:asciiTheme="majorBidi" w:hAnsiTheme="majorBidi" w:cstheme="majorBidi"/>
          <w:lang w:eastAsia="en-US"/>
        </w:rPr>
        <w:t>The gross domestic product slightly increased by 0.1% through the first three quarters of the year 2018 compared to the same quarters of the year 2017, while the GDP has increased by 2.3% in the West Bank and decreased by 7.9% in Gaza Strip.</w:t>
      </w:r>
    </w:p>
    <w:p w:rsidR="00DD6A0A" w:rsidRPr="005715CA" w:rsidRDefault="00DD6A0A" w:rsidP="00DD6A0A">
      <w:pPr>
        <w:bidi w:val="0"/>
        <w:rPr>
          <w:rFonts w:asciiTheme="majorBidi" w:hAnsiTheme="majorBidi" w:cstheme="majorBidi"/>
          <w:sz w:val="16"/>
          <w:szCs w:val="16"/>
          <w:lang w:eastAsia="en-US"/>
        </w:rPr>
      </w:pPr>
    </w:p>
    <w:p w:rsidR="00DD6A0A" w:rsidRPr="005715CA" w:rsidRDefault="00DD6A0A" w:rsidP="00DD6A0A">
      <w:pPr>
        <w:bidi w:val="0"/>
        <w:rPr>
          <w:rFonts w:asciiTheme="majorBidi" w:hAnsiTheme="majorBidi" w:cstheme="majorBidi"/>
          <w:snapToGrid w:val="0"/>
        </w:rPr>
      </w:pPr>
      <w:r w:rsidRPr="005715CA">
        <w:rPr>
          <w:rFonts w:asciiTheme="majorBidi" w:hAnsiTheme="majorBidi" w:cstheme="majorBidi"/>
          <w:snapToGrid w:val="0"/>
        </w:rPr>
        <w:t>GDP for the third quarter 2018</w:t>
      </w:r>
    </w:p>
    <w:p w:rsidR="00DD6A0A" w:rsidRPr="005715CA" w:rsidRDefault="00DD6A0A" w:rsidP="00DD6A0A">
      <w:pPr>
        <w:bidi w:val="0"/>
        <w:jc w:val="lowKashida"/>
        <w:rPr>
          <w:rFonts w:asciiTheme="majorBidi" w:hAnsiTheme="majorBidi" w:cstheme="majorBidi"/>
          <w:lang w:eastAsia="en-US"/>
        </w:rPr>
      </w:pPr>
      <w:r w:rsidRPr="005715CA">
        <w:rPr>
          <w:rFonts w:asciiTheme="majorBidi" w:hAnsiTheme="majorBidi" w:cstheme="majorBidi"/>
          <w:lang w:eastAsia="en-US"/>
        </w:rPr>
        <w:t xml:space="preserve">Preliminary estimates at constant prices showed a decrease of </w:t>
      </w:r>
      <w:r w:rsidRPr="005715CA">
        <w:rPr>
          <w:rFonts w:asciiTheme="majorBidi" w:hAnsiTheme="majorBidi" w:cstheme="majorBidi"/>
          <w:rtl/>
          <w:lang w:eastAsia="en-US"/>
        </w:rPr>
        <w:t>0.5</w:t>
      </w:r>
      <w:r w:rsidRPr="005715CA">
        <w:rPr>
          <w:rFonts w:asciiTheme="majorBidi" w:hAnsiTheme="majorBidi" w:cstheme="majorBidi"/>
          <w:lang w:eastAsia="en-US"/>
        </w:rPr>
        <w:t xml:space="preserve">% in GDP in Palestine* during the </w:t>
      </w:r>
      <w:r w:rsidRPr="005715CA">
        <w:rPr>
          <w:rFonts w:asciiTheme="majorBidi" w:hAnsiTheme="majorBidi" w:cstheme="majorBidi"/>
          <w:rtl/>
          <w:lang w:eastAsia="en-US"/>
        </w:rPr>
        <w:t>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 compared to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2017, (increase by 1.2% in the West Bank* and decrease by 6.5% in Gaza Strip compared to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2017).  And it showed an increase of 4% in Palestine* compared to the 2</w:t>
      </w:r>
      <w:r w:rsidRPr="005715CA">
        <w:rPr>
          <w:rFonts w:asciiTheme="majorBidi" w:hAnsiTheme="majorBidi" w:cstheme="majorBidi"/>
          <w:vertAlign w:val="superscript"/>
          <w:lang w:eastAsia="en-US"/>
        </w:rPr>
        <w:t>nd</w:t>
      </w:r>
      <w:r w:rsidRPr="005715CA">
        <w:rPr>
          <w:rFonts w:asciiTheme="majorBidi" w:hAnsiTheme="majorBidi" w:cstheme="majorBidi"/>
          <w:lang w:eastAsia="en-US"/>
        </w:rPr>
        <w:t xml:space="preserve"> quarter 2018 at constant prices, meanwhile the base year is 2015. GDP for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 at constant prices was USD 2,794 million for the West Bank* and USD 693 million for Gaza Strip. </w:t>
      </w:r>
    </w:p>
    <w:p w:rsidR="00DD6A0A" w:rsidRPr="005715CA" w:rsidRDefault="00DD6A0A" w:rsidP="00DD6A0A">
      <w:pPr>
        <w:bidi w:val="0"/>
        <w:jc w:val="lowKashida"/>
        <w:rPr>
          <w:rFonts w:asciiTheme="majorBidi" w:hAnsiTheme="majorBidi" w:cstheme="majorBidi"/>
          <w:sz w:val="16"/>
          <w:szCs w:val="16"/>
          <w:lang w:eastAsia="en-US"/>
        </w:rPr>
      </w:pPr>
    </w:p>
    <w:p w:rsidR="00DD6A0A" w:rsidRPr="005715CA" w:rsidRDefault="00DD6A0A" w:rsidP="00DD6A0A">
      <w:pPr>
        <w:bidi w:val="0"/>
        <w:jc w:val="both"/>
        <w:rPr>
          <w:rFonts w:asciiTheme="majorBidi" w:hAnsiTheme="majorBidi" w:cstheme="majorBidi"/>
          <w:snapToGrid w:val="0"/>
        </w:rPr>
      </w:pPr>
      <w:r w:rsidRPr="005715CA">
        <w:rPr>
          <w:rFonts w:asciiTheme="majorBidi" w:hAnsiTheme="majorBidi" w:cstheme="majorBidi"/>
          <w:snapToGrid w:val="0"/>
        </w:rPr>
        <w:t>GDP Per Capita sharply decreased in Gaza Strip</w:t>
      </w:r>
    </w:p>
    <w:p w:rsidR="00DD6A0A" w:rsidRPr="005715CA" w:rsidRDefault="00DD6A0A" w:rsidP="00DD6A0A">
      <w:pPr>
        <w:bidi w:val="0"/>
        <w:jc w:val="both"/>
        <w:rPr>
          <w:rFonts w:asciiTheme="majorBidi" w:hAnsiTheme="majorBidi" w:cstheme="majorBidi"/>
          <w:snapToGrid w:val="0"/>
        </w:rPr>
      </w:pPr>
      <w:r w:rsidRPr="005715CA">
        <w:rPr>
          <w:rFonts w:asciiTheme="majorBidi" w:hAnsiTheme="majorBidi" w:cstheme="majorBidi"/>
          <w:snapToGrid w:val="0"/>
        </w:rPr>
        <w:t xml:space="preserve">GDP per Capita for </w:t>
      </w:r>
      <w:r w:rsidRPr="005715CA">
        <w:rPr>
          <w:rFonts w:asciiTheme="majorBidi" w:hAnsiTheme="majorBidi" w:cstheme="majorBidi"/>
          <w:lang w:eastAsia="en-US"/>
        </w:rPr>
        <w:t xml:space="preserve">Palestine* at constant prices </w:t>
      </w:r>
      <w:r w:rsidRPr="005715CA">
        <w:rPr>
          <w:rFonts w:asciiTheme="majorBidi" w:hAnsiTheme="majorBidi" w:cstheme="majorBidi"/>
          <w:snapToGrid w:val="0"/>
        </w:rPr>
        <w:t xml:space="preserve">was  USD 761 during the </w:t>
      </w:r>
      <w:r w:rsidRPr="005715CA">
        <w:rPr>
          <w:rFonts w:asciiTheme="majorBidi" w:hAnsiTheme="majorBidi" w:cstheme="majorBidi"/>
          <w:lang w:eastAsia="en-US"/>
        </w:rPr>
        <w:t>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2018, it showed a de</w:t>
      </w:r>
      <w:r w:rsidRPr="005715CA">
        <w:rPr>
          <w:rFonts w:asciiTheme="majorBidi" w:hAnsiTheme="majorBidi" w:cstheme="majorBidi"/>
          <w:snapToGrid w:val="0"/>
        </w:rPr>
        <w:t xml:space="preserve">crease of 3% compared to the </w:t>
      </w:r>
      <w:r w:rsidRPr="005715CA">
        <w:rPr>
          <w:rFonts w:asciiTheme="majorBidi" w:hAnsiTheme="majorBidi" w:cstheme="majorBidi"/>
          <w:lang w:eastAsia="en-US"/>
        </w:rPr>
        <w:t>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</w:rPr>
        <w:t xml:space="preserve"> </w:t>
      </w:r>
      <w:r w:rsidRPr="005715CA">
        <w:rPr>
          <w:rFonts w:asciiTheme="majorBidi" w:hAnsiTheme="majorBidi" w:cstheme="majorBidi"/>
          <w:snapToGrid w:val="0"/>
        </w:rPr>
        <w:t xml:space="preserve">quarter 2017. As for the West Bank* it was USD </w:t>
      </w:r>
      <w:r w:rsidRPr="005715CA">
        <w:rPr>
          <w:rFonts w:asciiTheme="majorBidi" w:hAnsiTheme="majorBidi" w:cstheme="majorBidi"/>
          <w:snapToGrid w:val="0"/>
          <w:rtl/>
        </w:rPr>
        <w:t>1</w:t>
      </w:r>
      <w:r w:rsidRPr="005715CA">
        <w:rPr>
          <w:rFonts w:asciiTheme="majorBidi" w:hAnsiTheme="majorBidi" w:cstheme="majorBidi"/>
          <w:snapToGrid w:val="0"/>
        </w:rPr>
        <w:t xml:space="preserve">,567 </w:t>
      </w:r>
      <w:r w:rsidRPr="005715CA">
        <w:rPr>
          <w:rFonts w:asciiTheme="majorBidi" w:hAnsiTheme="majorBidi" w:cstheme="majorBidi"/>
          <w:lang w:eastAsia="en-US"/>
        </w:rPr>
        <w:t xml:space="preserve">at constant prices </w:t>
      </w:r>
      <w:r w:rsidRPr="005715CA">
        <w:rPr>
          <w:rFonts w:asciiTheme="majorBidi" w:hAnsiTheme="majorBidi" w:cstheme="majorBidi"/>
          <w:snapToGrid w:val="0"/>
        </w:rPr>
        <w:t xml:space="preserve">during the </w:t>
      </w:r>
      <w:r w:rsidRPr="005715CA">
        <w:rPr>
          <w:rFonts w:asciiTheme="majorBidi" w:hAnsiTheme="majorBidi" w:cstheme="majorBidi"/>
          <w:lang w:eastAsia="en-US"/>
        </w:rPr>
        <w:t>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</w:t>
      </w:r>
      <w:r w:rsidRPr="005715CA">
        <w:rPr>
          <w:rFonts w:asciiTheme="majorBidi" w:hAnsiTheme="majorBidi" w:cstheme="majorBidi"/>
          <w:snapToGrid w:val="0"/>
        </w:rPr>
        <w:t xml:space="preserve">, it showed a decrease </w:t>
      </w:r>
      <w:r w:rsidRPr="005715CA">
        <w:rPr>
          <w:rFonts w:asciiTheme="majorBidi" w:hAnsiTheme="majorBidi" w:cstheme="majorBidi"/>
          <w:lang w:eastAsia="en-US"/>
        </w:rPr>
        <w:t>by 1% during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 compared to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2017</w:t>
      </w:r>
      <w:r w:rsidRPr="005715CA">
        <w:rPr>
          <w:rFonts w:asciiTheme="majorBidi" w:hAnsiTheme="majorBidi" w:cstheme="majorBidi"/>
          <w:snapToGrid w:val="0"/>
        </w:rPr>
        <w:t xml:space="preserve">, while for Gaza Strip it was USD 357 during the </w:t>
      </w:r>
      <w:r w:rsidRPr="005715CA">
        <w:rPr>
          <w:rFonts w:asciiTheme="majorBidi" w:hAnsiTheme="majorBidi" w:cstheme="majorBidi"/>
          <w:lang w:eastAsia="en-US"/>
        </w:rPr>
        <w:t>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</w:t>
      </w:r>
      <w:r w:rsidRPr="005715CA">
        <w:rPr>
          <w:rFonts w:asciiTheme="majorBidi" w:hAnsiTheme="majorBidi" w:cstheme="majorBidi"/>
          <w:snapToGrid w:val="0"/>
        </w:rPr>
        <w:t xml:space="preserve">, and it showed a decrease </w:t>
      </w:r>
      <w:r w:rsidRPr="005715CA">
        <w:rPr>
          <w:rFonts w:asciiTheme="majorBidi" w:hAnsiTheme="majorBidi" w:cstheme="majorBidi"/>
          <w:lang w:eastAsia="en-US"/>
        </w:rPr>
        <w:t>by 9% during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2018 compared to the 3</w:t>
      </w:r>
      <w:r w:rsidRPr="005715CA">
        <w:rPr>
          <w:rFonts w:asciiTheme="majorBidi" w:hAnsiTheme="majorBidi" w:cstheme="majorBidi"/>
          <w:vertAlign w:val="superscript"/>
          <w:lang w:eastAsia="en-US"/>
        </w:rPr>
        <w:t>rd</w:t>
      </w:r>
      <w:r w:rsidRPr="005715CA">
        <w:rPr>
          <w:rFonts w:asciiTheme="majorBidi" w:hAnsiTheme="majorBidi" w:cstheme="majorBidi"/>
          <w:lang w:eastAsia="en-US"/>
        </w:rPr>
        <w:t xml:space="preserve"> quarter 2017</w:t>
      </w:r>
      <w:r w:rsidRPr="005715CA">
        <w:rPr>
          <w:rFonts w:asciiTheme="majorBidi" w:hAnsiTheme="majorBidi" w:cstheme="majorBidi"/>
          <w:snapToGrid w:val="0"/>
        </w:rPr>
        <w:t>.</w:t>
      </w:r>
    </w:p>
    <w:p w:rsidR="00DD6A0A" w:rsidRPr="005715CA" w:rsidRDefault="00DD6A0A" w:rsidP="00DD6A0A">
      <w:pPr>
        <w:bidi w:val="0"/>
        <w:jc w:val="both"/>
        <w:rPr>
          <w:rFonts w:asciiTheme="majorBidi" w:hAnsiTheme="majorBidi" w:cstheme="majorBidi"/>
          <w:snapToGrid w:val="0"/>
          <w:sz w:val="16"/>
          <w:szCs w:val="16"/>
        </w:rPr>
      </w:pPr>
    </w:p>
    <w:p w:rsidR="005715CA" w:rsidRPr="005715CA" w:rsidRDefault="00DD6A0A" w:rsidP="005715CA">
      <w:pPr>
        <w:pStyle w:val="BodyTextIndent2"/>
        <w:spacing w:after="0" w:line="240" w:lineRule="atLeast"/>
        <w:ind w:left="0"/>
        <w:jc w:val="center"/>
        <w:rPr>
          <w:rFonts w:asciiTheme="majorBidi" w:hAnsiTheme="majorBidi" w:cstheme="majorBidi" w:hint="cs"/>
          <w:b/>
          <w:bCs/>
          <w:sz w:val="26"/>
          <w:szCs w:val="26"/>
        </w:rPr>
      </w:pPr>
      <w:r w:rsidRPr="005715CA">
        <w:rPr>
          <w:rFonts w:asciiTheme="majorBidi" w:hAnsiTheme="majorBidi" w:cstheme="majorBidi"/>
          <w:b/>
          <w:bCs/>
          <w:sz w:val="26"/>
          <w:szCs w:val="26"/>
        </w:rPr>
        <w:t>GDP by quarter in Palestine* at Constant Prices, 2014-2018</w:t>
      </w:r>
    </w:p>
    <w:p w:rsidR="00DD6A0A" w:rsidRPr="005715CA" w:rsidRDefault="00DD6A0A" w:rsidP="00DD6A0A">
      <w:pPr>
        <w:pStyle w:val="BodyTextIndent2"/>
        <w:jc w:val="center"/>
        <w:rPr>
          <w:rFonts w:asciiTheme="majorBidi" w:hAnsiTheme="majorBidi" w:cstheme="majorBidi" w:hint="cs"/>
          <w:rtl/>
        </w:rPr>
      </w:pPr>
      <w:r w:rsidRPr="005715CA">
        <w:rPr>
          <w:rFonts w:asciiTheme="majorBidi" w:hAnsiTheme="majorBidi" w:cstheme="majorBidi"/>
          <w:noProof/>
          <w:rtl/>
          <w:lang w:eastAsia="en-US"/>
        </w:rPr>
        <w:drawing>
          <wp:inline distT="0" distB="0" distL="0" distR="0">
            <wp:extent cx="5614478" cy="2803585"/>
            <wp:effectExtent l="19050" t="0" r="24322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15CA" w:rsidRDefault="005715CA" w:rsidP="00DD6A0A">
      <w:pPr>
        <w:pStyle w:val="FootnoteText"/>
        <w:rPr>
          <w:rFonts w:asciiTheme="majorBidi" w:hAnsiTheme="majorBidi" w:cstheme="majorBidi"/>
          <w:sz w:val="24"/>
        </w:rPr>
      </w:pPr>
    </w:p>
    <w:p w:rsidR="00DD6A0A" w:rsidRPr="005715CA" w:rsidRDefault="00DD6A0A" w:rsidP="00DD6A0A">
      <w:pPr>
        <w:pStyle w:val="FootnoteText"/>
        <w:rPr>
          <w:rFonts w:asciiTheme="majorBidi" w:hAnsiTheme="majorBidi" w:cstheme="majorBidi"/>
          <w:sz w:val="22"/>
          <w:szCs w:val="22"/>
        </w:rPr>
      </w:pPr>
      <w:r w:rsidRPr="005715CA">
        <w:rPr>
          <w:rFonts w:asciiTheme="majorBidi" w:hAnsiTheme="majorBidi" w:cstheme="majorBidi"/>
          <w:sz w:val="22"/>
          <w:szCs w:val="22"/>
        </w:rPr>
        <w:t xml:space="preserve">* </w:t>
      </w:r>
      <w:r w:rsidRPr="005715CA">
        <w:rPr>
          <w:rFonts w:asciiTheme="majorBidi" w:hAnsiTheme="majorBidi" w:cstheme="majorBidi"/>
          <w:snapToGrid w:val="0"/>
          <w:sz w:val="22"/>
          <w:szCs w:val="22"/>
        </w:rPr>
        <w:t xml:space="preserve">The data excluded those parts of Jerusalem which were annexed </w:t>
      </w:r>
      <w:r w:rsidRPr="005715CA">
        <w:rPr>
          <w:rFonts w:asciiTheme="majorBidi" w:hAnsiTheme="majorBidi" w:cstheme="majorBidi"/>
          <w:sz w:val="22"/>
          <w:szCs w:val="22"/>
          <w:lang w:eastAsia="en-US"/>
        </w:rPr>
        <w:t>by</w:t>
      </w:r>
      <w:r w:rsidRPr="005715CA">
        <w:rPr>
          <w:rFonts w:asciiTheme="majorBidi" w:hAnsiTheme="majorBidi" w:cstheme="majorBidi"/>
          <w:snapToGrid w:val="0"/>
          <w:sz w:val="22"/>
          <w:szCs w:val="22"/>
        </w:rPr>
        <w:t xml:space="preserve"> Israeli Occupation </w:t>
      </w:r>
      <w:r w:rsidRPr="005715CA">
        <w:rPr>
          <w:rFonts w:asciiTheme="majorBidi" w:hAnsiTheme="majorBidi" w:cstheme="majorBidi"/>
          <w:sz w:val="22"/>
          <w:szCs w:val="22"/>
          <w:lang w:eastAsia="en-US"/>
        </w:rPr>
        <w:t>in 1967</w:t>
      </w:r>
      <w:r w:rsidRPr="005715CA">
        <w:rPr>
          <w:rFonts w:asciiTheme="majorBidi" w:hAnsiTheme="majorBidi" w:cstheme="majorBidi"/>
          <w:snapToGrid w:val="0"/>
          <w:sz w:val="22"/>
          <w:szCs w:val="22"/>
        </w:rPr>
        <w:t>.</w:t>
      </w:r>
    </w:p>
    <w:p w:rsidR="00DD6A0A" w:rsidRPr="005715CA" w:rsidRDefault="00DD6A0A" w:rsidP="00DD6A0A">
      <w:pPr>
        <w:pStyle w:val="ListParagraph"/>
        <w:rPr>
          <w:rFonts w:asciiTheme="majorBidi" w:hAnsiTheme="majorBidi" w:cstheme="majorBidi"/>
          <w:rtl/>
          <w:lang w:eastAsia="en-US"/>
        </w:rPr>
      </w:pPr>
    </w:p>
    <w:p w:rsidR="00D6358D" w:rsidRPr="005715CA" w:rsidRDefault="00D6358D" w:rsidP="00DD6A0A">
      <w:pPr>
        <w:rPr>
          <w:rFonts w:asciiTheme="majorBidi" w:hAnsiTheme="majorBidi" w:cstheme="majorBidi" w:hint="cs"/>
          <w:rtl/>
        </w:rPr>
      </w:pPr>
    </w:p>
    <w:sectPr w:rsidR="00D6358D" w:rsidRPr="005715CA" w:rsidSect="005715CA">
      <w:footerReference w:type="default" r:id="rId9"/>
      <w:pgSz w:w="11906" w:h="16838" w:code="9"/>
      <w:pgMar w:top="720" w:right="720" w:bottom="720" w:left="720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906" w:rsidRDefault="004F5906" w:rsidP="00212081">
      <w:r>
        <w:separator/>
      </w:r>
    </w:p>
  </w:endnote>
  <w:endnote w:type="continuationSeparator" w:id="0">
    <w:p w:rsidR="004F5906" w:rsidRDefault="004F5906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906" w:rsidRDefault="004F5906" w:rsidP="00212081">
      <w:r>
        <w:separator/>
      </w:r>
    </w:p>
  </w:footnote>
  <w:footnote w:type="continuationSeparator" w:id="0">
    <w:p w:rsidR="004F5906" w:rsidRDefault="004F5906" w:rsidP="0021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976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6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5906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7268"/>
    <w:rsid w:val="00563F11"/>
    <w:rsid w:val="00564A0E"/>
    <w:rsid w:val="0056752B"/>
    <w:rsid w:val="005715CA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5F8C"/>
    <w:rsid w:val="00816D74"/>
    <w:rsid w:val="00817370"/>
    <w:rsid w:val="00820218"/>
    <w:rsid w:val="00821E23"/>
    <w:rsid w:val="00823C78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12"/>
          <c:y val="4.1278468329486687E-2"/>
          <c:w val="0.80987492345936063"/>
          <c:h val="0.77814699566918344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7166913409028839E-2"/>
                  <c:y val="7.5051760599066694E-2"/>
                </c:manualLayout>
              </c:layout>
              <c:showVal val="1"/>
            </c:dLbl>
            <c:dLbl>
              <c:idx val="18"/>
              <c:layout>
                <c:manualLayout>
                  <c:x val="0"/>
                  <c:y val="7.1299172569113362E-2"/>
                </c:manualLayout>
              </c:layout>
              <c:showVal val="1"/>
            </c:dLbl>
            <c:delete val="1"/>
          </c:dLbls>
          <c:cat>
            <c:multiLvlStrRef>
              <c:f>Sheet1!$A$3:$B$21</c:f>
              <c:multiLvlStrCache>
                <c:ptCount val="19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</c:lvl>
              </c:multiLvlStrCache>
            </c:multiLvlStrRef>
          </c:cat>
          <c:val>
            <c:numRef>
              <c:f>Sheet1!$C$3:$C$21</c:f>
              <c:numCache>
                <c:formatCode>#,##0.0</c:formatCode>
                <c:ptCount val="19"/>
                <c:pt idx="0">
                  <c:v>3106.3</c:v>
                </c:pt>
                <c:pt idx="1">
                  <c:v>3188.9</c:v>
                </c:pt>
                <c:pt idx="2">
                  <c:v>2879.8</c:v>
                </c:pt>
                <c:pt idx="3">
                  <c:v>3077.9</c:v>
                </c:pt>
                <c:pt idx="4">
                  <c:v>3058.5</c:v>
                </c:pt>
                <c:pt idx="5">
                  <c:v>3220.1</c:v>
                </c:pt>
                <c:pt idx="6">
                  <c:v>3156.1</c:v>
                </c:pt>
                <c:pt idx="7">
                  <c:v>3238.3</c:v>
                </c:pt>
                <c:pt idx="8">
                  <c:v>3275.1</c:v>
                </c:pt>
                <c:pt idx="9">
                  <c:v>3362.7</c:v>
                </c:pt>
                <c:pt idx="10">
                  <c:v>3334.7</c:v>
                </c:pt>
                <c:pt idx="11">
                  <c:v>3297.2</c:v>
                </c:pt>
                <c:pt idx="12">
                  <c:v>3310.8</c:v>
                </c:pt>
                <c:pt idx="13">
                  <c:v>3396.8</c:v>
                </c:pt>
                <c:pt idx="14">
                  <c:v>3502.3</c:v>
                </c:pt>
                <c:pt idx="15">
                  <c:v>3476.5</c:v>
                </c:pt>
                <c:pt idx="16">
                  <c:v>3377.6</c:v>
                </c:pt>
                <c:pt idx="17">
                  <c:v>3351.3</c:v>
                </c:pt>
                <c:pt idx="18">
                  <c:v>3486.5</c:v>
                </c:pt>
              </c:numCache>
            </c:numRef>
          </c:val>
        </c:ser>
        <c:marker val="1"/>
        <c:axId val="119117312"/>
        <c:axId val="119119232"/>
      </c:lineChart>
      <c:catAx>
        <c:axId val="1191173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9119232"/>
        <c:crosses val="autoZero"/>
        <c:auto val="1"/>
        <c:lblAlgn val="ctr"/>
        <c:lblOffset val="100"/>
      </c:catAx>
      <c:valAx>
        <c:axId val="119119232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19117312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4C3D-DCE6-4BA8-B9A7-321B7060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2018-12-27T11:40:00Z</cp:lastPrinted>
  <dcterms:created xsi:type="dcterms:W3CDTF">2018-12-27T11:40:00Z</dcterms:created>
  <dcterms:modified xsi:type="dcterms:W3CDTF">2018-12-27T11:40:00Z</dcterms:modified>
</cp:coreProperties>
</file>