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F18" w:rsidRPr="00991F18" w:rsidRDefault="00991F18" w:rsidP="00116FFD">
      <w:pPr>
        <w:pStyle w:val="BodyText2"/>
        <w:bidi w:val="0"/>
        <w:jc w:val="center"/>
        <w:rPr>
          <w:rFonts w:ascii="Simplified Arabic" w:hAnsi="Simplified Arabic"/>
          <w:i w:val="0"/>
          <w:iCs w:val="0"/>
          <w:sz w:val="24"/>
          <w:szCs w:val="24"/>
          <w:rtl/>
        </w:rPr>
      </w:pPr>
    </w:p>
    <w:p w:rsidR="00E56271" w:rsidRPr="00E56271" w:rsidRDefault="00E56271" w:rsidP="00116FFD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E56271">
        <w:rPr>
          <w:rFonts w:ascii="Times New Roman" w:hAnsi="Times New Roman" w:cs="Times New Roman"/>
          <w:b/>
          <w:bCs/>
          <w:sz w:val="30"/>
          <w:szCs w:val="30"/>
        </w:rPr>
        <w:t>The Palestinian Central Bureau of Statistics Issued a Press Release on the Occasion of World Children's Day, 20/11/2017</w:t>
      </w:r>
    </w:p>
    <w:p w:rsidR="00E56271" w:rsidRPr="00E56271" w:rsidRDefault="00E56271" w:rsidP="00116FFD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E56271" w:rsidRPr="00E56271" w:rsidRDefault="00E56271" w:rsidP="00116FFD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E56271">
        <w:rPr>
          <w:rFonts w:ascii="Times New Roman" w:hAnsi="Times New Roman" w:cs="Times New Roman"/>
          <w:b/>
          <w:bCs/>
          <w:sz w:val="30"/>
          <w:szCs w:val="30"/>
        </w:rPr>
        <w:t>Investing in the children of Palestine is an urgent need to sustain development and face the violations of the Israeli occupation against them</w:t>
      </w:r>
    </w:p>
    <w:p w:rsidR="00E56271" w:rsidRPr="00E56271" w:rsidRDefault="00E56271" w:rsidP="00116F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6271" w:rsidRPr="00E56271" w:rsidRDefault="00E56271" w:rsidP="00116FF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6271">
        <w:rPr>
          <w:rFonts w:ascii="Times New Roman" w:hAnsi="Times New Roman" w:cs="Times New Roman"/>
          <w:b/>
          <w:bCs/>
          <w:sz w:val="24"/>
          <w:szCs w:val="24"/>
        </w:rPr>
        <w:t>Population</w:t>
      </w:r>
    </w:p>
    <w:p w:rsidR="00E56271" w:rsidRPr="00E56271" w:rsidRDefault="00E56271" w:rsidP="00BB64D3">
      <w:pPr>
        <w:jc w:val="both"/>
        <w:rPr>
          <w:rFonts w:ascii="Times New Roman" w:hAnsi="Times New Roman" w:cs="Times New Roman"/>
          <w:sz w:val="24"/>
          <w:szCs w:val="24"/>
        </w:rPr>
      </w:pPr>
      <w:r w:rsidRPr="00E56271">
        <w:rPr>
          <w:rFonts w:ascii="Times New Roman" w:hAnsi="Times New Roman" w:cs="Times New Roman"/>
          <w:sz w:val="24"/>
          <w:szCs w:val="24"/>
        </w:rPr>
        <w:t xml:space="preserve">The number of children under the age of 18 was estimated at about 2,250,809 in </w:t>
      </w:r>
      <w:r w:rsidR="00BB64D3">
        <w:rPr>
          <w:rFonts w:ascii="Times New Roman" w:hAnsi="Times New Roman" w:cs="Times New Roman"/>
          <w:sz w:val="24"/>
          <w:szCs w:val="24"/>
        </w:rPr>
        <w:t xml:space="preserve">the State </w:t>
      </w:r>
      <w:r w:rsidRPr="00E56271">
        <w:rPr>
          <w:rFonts w:ascii="Times New Roman" w:hAnsi="Times New Roman" w:cs="Times New Roman"/>
          <w:sz w:val="24"/>
          <w:szCs w:val="24"/>
        </w:rPr>
        <w:t>Palestine in mid-2017, of whom 1,149,410 male</w:t>
      </w:r>
      <w:r>
        <w:rPr>
          <w:rFonts w:ascii="Times New Roman" w:hAnsi="Times New Roman" w:cs="Times New Roman"/>
          <w:sz w:val="24"/>
          <w:szCs w:val="24"/>
        </w:rPr>
        <w:t>s</w:t>
      </w:r>
      <w:r w:rsidR="0070790E">
        <w:rPr>
          <w:rFonts w:ascii="Times New Roman" w:hAnsi="Times New Roman" w:cs="Times New Roman"/>
          <w:sz w:val="24"/>
          <w:szCs w:val="24"/>
        </w:rPr>
        <w:t xml:space="preserve"> and 1,101,399 females;</w:t>
      </w:r>
      <w:r w:rsidRPr="00E56271">
        <w:rPr>
          <w:rFonts w:ascii="Times New Roman" w:hAnsi="Times New Roman" w:cs="Times New Roman"/>
          <w:sz w:val="24"/>
          <w:szCs w:val="24"/>
        </w:rPr>
        <w:t xml:space="preserve"> </w:t>
      </w:r>
      <w:r w:rsidR="0070790E">
        <w:rPr>
          <w:rFonts w:ascii="Times New Roman" w:hAnsi="Times New Roman" w:cs="Times New Roman"/>
          <w:sz w:val="24"/>
          <w:szCs w:val="24"/>
        </w:rPr>
        <w:t>w</w:t>
      </w:r>
      <w:r w:rsidRPr="00E56271">
        <w:rPr>
          <w:rFonts w:ascii="Times New Roman" w:hAnsi="Times New Roman" w:cs="Times New Roman"/>
          <w:sz w:val="24"/>
          <w:szCs w:val="24"/>
        </w:rPr>
        <w:t xml:space="preserve">here the percentage of children in Palestine </w:t>
      </w:r>
      <w:r>
        <w:rPr>
          <w:rFonts w:ascii="Times New Roman" w:hAnsi="Times New Roman" w:cs="Times New Roman"/>
          <w:sz w:val="24"/>
          <w:szCs w:val="24"/>
        </w:rPr>
        <w:t xml:space="preserve">reached about </w:t>
      </w:r>
      <w:r w:rsidRPr="00E56271">
        <w:rPr>
          <w:rFonts w:ascii="Times New Roman" w:hAnsi="Times New Roman" w:cs="Times New Roman"/>
          <w:sz w:val="24"/>
          <w:szCs w:val="24"/>
        </w:rPr>
        <w:t xml:space="preserve">45.6% of the population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56271">
        <w:rPr>
          <w:rFonts w:ascii="Times New Roman" w:hAnsi="Times New Roman" w:cs="Times New Roman"/>
          <w:sz w:val="24"/>
          <w:szCs w:val="24"/>
        </w:rPr>
        <w:t>43.0% in the West Bank and 49.3% in Gaza Strip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56271">
        <w:rPr>
          <w:rFonts w:ascii="Times New Roman" w:hAnsi="Times New Roman" w:cs="Times New Roman"/>
          <w:sz w:val="24"/>
          <w:szCs w:val="24"/>
        </w:rPr>
        <w:t xml:space="preserve">. The number of male children in the West Bank </w:t>
      </w:r>
      <w:r>
        <w:rPr>
          <w:rFonts w:ascii="Times New Roman" w:hAnsi="Times New Roman" w:cs="Times New Roman"/>
          <w:sz w:val="24"/>
          <w:szCs w:val="24"/>
        </w:rPr>
        <w:t>reached</w:t>
      </w:r>
      <w:r w:rsidRPr="00E56271">
        <w:rPr>
          <w:rFonts w:ascii="Times New Roman" w:hAnsi="Times New Roman" w:cs="Times New Roman"/>
          <w:sz w:val="24"/>
          <w:szCs w:val="24"/>
        </w:rPr>
        <w:t xml:space="preserve"> 660,087 and the number of females </w:t>
      </w:r>
      <w:r>
        <w:rPr>
          <w:rFonts w:ascii="Times New Roman" w:hAnsi="Times New Roman" w:cs="Times New Roman"/>
          <w:sz w:val="24"/>
          <w:szCs w:val="24"/>
        </w:rPr>
        <w:t>reached</w:t>
      </w:r>
      <w:r w:rsidRPr="00E56271">
        <w:rPr>
          <w:rFonts w:ascii="Times New Roman" w:hAnsi="Times New Roman" w:cs="Times New Roman"/>
          <w:sz w:val="24"/>
          <w:szCs w:val="24"/>
        </w:rPr>
        <w:t xml:space="preserve"> 633,334</w:t>
      </w:r>
      <w:r>
        <w:rPr>
          <w:rFonts w:ascii="Times New Roman" w:hAnsi="Times New Roman" w:cs="Times New Roman"/>
          <w:sz w:val="24"/>
          <w:szCs w:val="24"/>
        </w:rPr>
        <w:t>, while</w:t>
      </w:r>
      <w:r w:rsidRPr="00E562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56271">
        <w:rPr>
          <w:rFonts w:ascii="Times New Roman" w:hAnsi="Times New Roman" w:cs="Times New Roman"/>
          <w:sz w:val="24"/>
          <w:szCs w:val="24"/>
        </w:rPr>
        <w:t xml:space="preserve">n Gaza Strip, the number of males </w:t>
      </w:r>
      <w:r>
        <w:rPr>
          <w:rFonts w:ascii="Times New Roman" w:hAnsi="Times New Roman" w:cs="Times New Roman"/>
          <w:sz w:val="24"/>
          <w:szCs w:val="24"/>
        </w:rPr>
        <w:t>reached</w:t>
      </w:r>
      <w:r w:rsidRPr="00E56271">
        <w:rPr>
          <w:rFonts w:ascii="Times New Roman" w:hAnsi="Times New Roman" w:cs="Times New Roman"/>
          <w:sz w:val="24"/>
          <w:szCs w:val="24"/>
        </w:rPr>
        <w:t xml:space="preserve"> 489,323 </w:t>
      </w:r>
      <w:r>
        <w:rPr>
          <w:rFonts w:ascii="Times New Roman" w:hAnsi="Times New Roman" w:cs="Times New Roman"/>
          <w:sz w:val="24"/>
          <w:szCs w:val="24"/>
        </w:rPr>
        <w:t>and</w:t>
      </w:r>
      <w:r w:rsidRPr="00E56271">
        <w:rPr>
          <w:rFonts w:ascii="Times New Roman" w:hAnsi="Times New Roman" w:cs="Times New Roman"/>
          <w:sz w:val="24"/>
          <w:szCs w:val="24"/>
        </w:rPr>
        <w:t xml:space="preserve"> the number of females </w:t>
      </w:r>
      <w:r>
        <w:rPr>
          <w:rFonts w:ascii="Times New Roman" w:hAnsi="Times New Roman" w:cs="Times New Roman"/>
          <w:sz w:val="24"/>
          <w:szCs w:val="24"/>
        </w:rPr>
        <w:t>reached</w:t>
      </w:r>
      <w:r w:rsidRPr="00E56271">
        <w:rPr>
          <w:rFonts w:ascii="Times New Roman" w:hAnsi="Times New Roman" w:cs="Times New Roman"/>
          <w:sz w:val="24"/>
          <w:szCs w:val="24"/>
        </w:rPr>
        <w:t xml:space="preserve"> 468,065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6271" w:rsidRPr="00E56271" w:rsidRDefault="00E56271" w:rsidP="00116F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6271" w:rsidRPr="00116FFD" w:rsidRDefault="00E56271" w:rsidP="00116FFD">
      <w:pPr>
        <w:jc w:val="center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116FFD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116FFD">
        <w:rPr>
          <w:rFonts w:ascii="Times New Roman" w:hAnsi="Times New Roman" w:cs="Times New Roman"/>
          <w:b/>
          <w:bCs/>
          <w:sz w:val="24"/>
          <w:szCs w:val="24"/>
        </w:rPr>
        <w:t>stimates</w:t>
      </w:r>
      <w:r w:rsidRPr="00116F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6FFD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Pr="00116F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6FFD" w:rsidRPr="00116FFD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116FFD">
        <w:rPr>
          <w:rFonts w:ascii="Times New Roman" w:hAnsi="Times New Roman" w:cs="Times New Roman"/>
          <w:b/>
          <w:bCs/>
          <w:sz w:val="24"/>
          <w:szCs w:val="24"/>
        </w:rPr>
        <w:t>hildren</w:t>
      </w:r>
      <w:r w:rsidR="00116FFD" w:rsidRPr="00116F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6FFD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116FFD">
        <w:rPr>
          <w:rFonts w:ascii="Times New Roman" w:hAnsi="Times New Roman" w:cs="Times New Roman"/>
          <w:b/>
          <w:bCs/>
          <w:sz w:val="24"/>
          <w:szCs w:val="24"/>
        </w:rPr>
        <w:t>umber</w:t>
      </w:r>
      <w:r w:rsidRPr="00116FFD">
        <w:rPr>
          <w:rFonts w:ascii="Times New Roman" w:hAnsi="Times New Roman" w:cs="Times New Roman"/>
          <w:b/>
          <w:bCs/>
          <w:sz w:val="24"/>
          <w:szCs w:val="24"/>
        </w:rPr>
        <w:t xml:space="preserve"> by Age Group, Region and Sex, in MID</w:t>
      </w:r>
      <w:r w:rsidR="00116FFD" w:rsidRPr="00116FFD">
        <w:rPr>
          <w:rFonts w:ascii="Times New Roman" w:hAnsi="Times New Roman" w:cs="Times New Roman"/>
          <w:b/>
          <w:bCs/>
          <w:sz w:val="24"/>
          <w:szCs w:val="24"/>
        </w:rPr>
        <w:t xml:space="preserve"> of 2017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0"/>
        <w:gridCol w:w="1758"/>
        <w:gridCol w:w="1758"/>
        <w:gridCol w:w="1758"/>
        <w:gridCol w:w="1758"/>
      </w:tblGrid>
      <w:tr w:rsidR="00991F18" w:rsidTr="00AC33DC">
        <w:trPr>
          <w:trHeight w:val="340"/>
          <w:jc w:val="center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F18" w:rsidRPr="00AC33DC" w:rsidRDefault="00E56271" w:rsidP="004D6B43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33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Age Group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F18" w:rsidRPr="00AC33DC" w:rsidRDefault="00E56271" w:rsidP="004D6B43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33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West Bank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F18" w:rsidRPr="00AC33DC" w:rsidRDefault="00E56271" w:rsidP="004D6B43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33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Gaza Strip</w:t>
            </w:r>
          </w:p>
        </w:tc>
      </w:tr>
      <w:tr w:rsidR="00991F18" w:rsidTr="00AC33DC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F18" w:rsidRPr="00AC33DC" w:rsidRDefault="00991F18" w:rsidP="004D6B4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F18" w:rsidRPr="00AC33DC" w:rsidRDefault="00E56271" w:rsidP="004D6B43">
            <w:pPr>
              <w:bidi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3DC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F18" w:rsidRPr="00AC33DC" w:rsidRDefault="00E56271" w:rsidP="004D6B43">
            <w:pPr>
              <w:bidi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3DC">
              <w:rPr>
                <w:rFonts w:ascii="Times New Roman" w:hAnsi="Times New Roman" w:cs="Times New Roman"/>
                <w:sz w:val="18"/>
                <w:szCs w:val="18"/>
              </w:rPr>
              <w:t>Female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F18" w:rsidRPr="00AC33DC" w:rsidRDefault="00E56271" w:rsidP="004D6B43">
            <w:pPr>
              <w:bidi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3DC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F18" w:rsidRPr="00AC33DC" w:rsidRDefault="00E56271" w:rsidP="004D6B43">
            <w:pPr>
              <w:bidi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3DC">
              <w:rPr>
                <w:rFonts w:ascii="Times New Roman" w:hAnsi="Times New Roman" w:cs="Times New Roman"/>
                <w:sz w:val="18"/>
                <w:szCs w:val="18"/>
              </w:rPr>
              <w:t>Female</w:t>
            </w:r>
          </w:p>
        </w:tc>
      </w:tr>
      <w:tr w:rsidR="00991F18" w:rsidTr="00AC33DC">
        <w:trPr>
          <w:trHeight w:val="340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1F18" w:rsidRPr="00AC33DC" w:rsidRDefault="00AD268D" w:rsidP="00E56271">
            <w:pPr>
              <w:jc w:val="both"/>
              <w:rPr>
                <w:b/>
                <w:bCs/>
                <w:sz w:val="18"/>
                <w:szCs w:val="18"/>
              </w:rPr>
            </w:pPr>
            <w:r w:rsidRPr="00AC33DC">
              <w:rPr>
                <w:b/>
                <w:bCs/>
                <w:sz w:val="18"/>
                <w:szCs w:val="18"/>
              </w:rPr>
              <w:t>0-4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91F18" w:rsidRPr="00AC33DC" w:rsidRDefault="00991F18" w:rsidP="0070790E">
            <w:pPr>
              <w:ind w:right="170"/>
              <w:jc w:val="right"/>
              <w:rPr>
                <w:sz w:val="18"/>
                <w:szCs w:val="18"/>
              </w:rPr>
            </w:pPr>
            <w:r w:rsidRPr="00AC33DC">
              <w:rPr>
                <w:sz w:val="18"/>
                <w:szCs w:val="18"/>
              </w:rPr>
              <w:t>207,732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91F18" w:rsidRPr="00AC33DC" w:rsidRDefault="00991F18" w:rsidP="0070790E">
            <w:pPr>
              <w:ind w:right="170"/>
              <w:jc w:val="right"/>
              <w:rPr>
                <w:sz w:val="18"/>
                <w:szCs w:val="18"/>
              </w:rPr>
            </w:pPr>
            <w:r w:rsidRPr="00AC33DC">
              <w:rPr>
                <w:sz w:val="18"/>
                <w:szCs w:val="18"/>
              </w:rPr>
              <w:t>198,623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91F18" w:rsidRPr="00AC33DC" w:rsidRDefault="00991F18" w:rsidP="0070790E">
            <w:pPr>
              <w:ind w:right="170"/>
              <w:jc w:val="right"/>
              <w:rPr>
                <w:sz w:val="18"/>
                <w:szCs w:val="18"/>
              </w:rPr>
            </w:pPr>
            <w:r w:rsidRPr="00AC33DC">
              <w:rPr>
                <w:sz w:val="18"/>
                <w:szCs w:val="18"/>
              </w:rPr>
              <w:t>165,440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1F18" w:rsidRPr="00AC33DC" w:rsidRDefault="00991F18" w:rsidP="0070790E">
            <w:pPr>
              <w:ind w:right="170"/>
              <w:jc w:val="right"/>
              <w:rPr>
                <w:sz w:val="18"/>
                <w:szCs w:val="18"/>
              </w:rPr>
            </w:pPr>
            <w:r w:rsidRPr="00AC33DC">
              <w:rPr>
                <w:sz w:val="18"/>
                <w:szCs w:val="18"/>
              </w:rPr>
              <w:t>158,176</w:t>
            </w:r>
          </w:p>
        </w:tc>
      </w:tr>
      <w:tr w:rsidR="00991F18" w:rsidTr="00AC33DC">
        <w:trPr>
          <w:trHeight w:val="340"/>
          <w:jc w:val="center"/>
        </w:trPr>
        <w:tc>
          <w:tcPr>
            <w:tcW w:w="2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1F18" w:rsidRPr="00AC33DC" w:rsidRDefault="00AD268D" w:rsidP="00E56271">
            <w:pPr>
              <w:jc w:val="both"/>
              <w:rPr>
                <w:b/>
                <w:bCs/>
                <w:sz w:val="18"/>
                <w:szCs w:val="18"/>
              </w:rPr>
            </w:pPr>
            <w:r w:rsidRPr="00AC33DC">
              <w:rPr>
                <w:b/>
                <w:bCs/>
                <w:sz w:val="18"/>
                <w:szCs w:val="18"/>
              </w:rPr>
              <w:t>5-9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91F18" w:rsidRPr="00AC33DC" w:rsidRDefault="00991F18" w:rsidP="0070790E">
            <w:pPr>
              <w:ind w:right="170"/>
              <w:jc w:val="right"/>
              <w:rPr>
                <w:sz w:val="18"/>
                <w:szCs w:val="18"/>
              </w:rPr>
            </w:pPr>
            <w:r w:rsidRPr="00AC33DC">
              <w:rPr>
                <w:sz w:val="18"/>
                <w:szCs w:val="18"/>
              </w:rPr>
              <w:t>183,687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91F18" w:rsidRPr="00AC33DC" w:rsidRDefault="00991F18" w:rsidP="0070790E">
            <w:pPr>
              <w:ind w:right="170"/>
              <w:jc w:val="right"/>
              <w:rPr>
                <w:sz w:val="18"/>
                <w:szCs w:val="18"/>
              </w:rPr>
            </w:pPr>
            <w:r w:rsidRPr="00AC33DC">
              <w:rPr>
                <w:sz w:val="18"/>
                <w:szCs w:val="18"/>
              </w:rPr>
              <w:t>176,572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91F18" w:rsidRPr="00AC33DC" w:rsidRDefault="00991F18" w:rsidP="0070790E">
            <w:pPr>
              <w:ind w:right="170"/>
              <w:jc w:val="right"/>
              <w:rPr>
                <w:sz w:val="18"/>
                <w:szCs w:val="18"/>
              </w:rPr>
            </w:pPr>
            <w:r w:rsidRPr="00AC33DC">
              <w:rPr>
                <w:sz w:val="18"/>
                <w:szCs w:val="18"/>
              </w:rPr>
              <w:t>137,101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1F18" w:rsidRPr="00AC33DC" w:rsidRDefault="00991F18" w:rsidP="0070790E">
            <w:pPr>
              <w:ind w:right="170"/>
              <w:jc w:val="right"/>
              <w:rPr>
                <w:sz w:val="18"/>
                <w:szCs w:val="18"/>
              </w:rPr>
            </w:pPr>
            <w:r w:rsidRPr="00AC33DC">
              <w:rPr>
                <w:sz w:val="18"/>
                <w:szCs w:val="18"/>
              </w:rPr>
              <w:t>131,267</w:t>
            </w:r>
          </w:p>
        </w:tc>
      </w:tr>
      <w:tr w:rsidR="00991F18" w:rsidTr="00AC33DC">
        <w:trPr>
          <w:trHeight w:val="340"/>
          <w:jc w:val="center"/>
        </w:trPr>
        <w:tc>
          <w:tcPr>
            <w:tcW w:w="2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1F18" w:rsidRPr="00AC33DC" w:rsidRDefault="00AD268D" w:rsidP="00E56271">
            <w:pPr>
              <w:jc w:val="both"/>
              <w:rPr>
                <w:b/>
                <w:bCs/>
                <w:sz w:val="18"/>
                <w:szCs w:val="18"/>
              </w:rPr>
            </w:pPr>
            <w:r w:rsidRPr="00AC33DC">
              <w:rPr>
                <w:b/>
                <w:bCs/>
                <w:sz w:val="18"/>
                <w:szCs w:val="18"/>
              </w:rPr>
              <w:t>10-14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91F18" w:rsidRPr="00AC33DC" w:rsidRDefault="00991F18" w:rsidP="0070790E">
            <w:pPr>
              <w:ind w:right="170"/>
              <w:jc w:val="right"/>
              <w:rPr>
                <w:sz w:val="18"/>
                <w:szCs w:val="18"/>
              </w:rPr>
            </w:pPr>
            <w:r w:rsidRPr="00AC33DC">
              <w:rPr>
                <w:sz w:val="18"/>
                <w:szCs w:val="18"/>
              </w:rPr>
              <w:t>169,962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91F18" w:rsidRPr="00AC33DC" w:rsidRDefault="00991F18" w:rsidP="0070790E">
            <w:pPr>
              <w:ind w:right="170"/>
              <w:jc w:val="right"/>
              <w:rPr>
                <w:sz w:val="18"/>
                <w:szCs w:val="18"/>
              </w:rPr>
            </w:pPr>
            <w:r w:rsidRPr="00AC33DC">
              <w:rPr>
                <w:sz w:val="18"/>
                <w:szCs w:val="18"/>
              </w:rPr>
              <w:t>163,554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91F18" w:rsidRPr="00AC33DC" w:rsidRDefault="00991F18" w:rsidP="0070790E">
            <w:pPr>
              <w:ind w:right="170"/>
              <w:jc w:val="right"/>
              <w:rPr>
                <w:sz w:val="18"/>
                <w:szCs w:val="18"/>
              </w:rPr>
            </w:pPr>
            <w:r w:rsidRPr="00AC33DC">
              <w:rPr>
                <w:sz w:val="18"/>
                <w:szCs w:val="18"/>
              </w:rPr>
              <w:t>120,619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1F18" w:rsidRPr="00AC33DC" w:rsidRDefault="00991F18" w:rsidP="0070790E">
            <w:pPr>
              <w:ind w:right="170"/>
              <w:jc w:val="right"/>
              <w:rPr>
                <w:sz w:val="18"/>
                <w:szCs w:val="18"/>
              </w:rPr>
            </w:pPr>
            <w:r w:rsidRPr="00AC33DC">
              <w:rPr>
                <w:sz w:val="18"/>
                <w:szCs w:val="18"/>
              </w:rPr>
              <w:t>115,267</w:t>
            </w:r>
          </w:p>
        </w:tc>
      </w:tr>
      <w:tr w:rsidR="00991F18" w:rsidTr="00AC33DC">
        <w:trPr>
          <w:trHeight w:val="340"/>
          <w:jc w:val="center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F18" w:rsidRPr="00AC33DC" w:rsidRDefault="00AD268D" w:rsidP="00E56271">
            <w:pPr>
              <w:jc w:val="both"/>
              <w:rPr>
                <w:b/>
                <w:bCs/>
                <w:sz w:val="18"/>
                <w:szCs w:val="18"/>
              </w:rPr>
            </w:pPr>
            <w:r w:rsidRPr="00AC33DC">
              <w:rPr>
                <w:b/>
                <w:bCs/>
                <w:sz w:val="18"/>
                <w:szCs w:val="18"/>
              </w:rPr>
              <w:t>15-17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991F18" w:rsidRPr="00AC33DC" w:rsidRDefault="00991F18" w:rsidP="0070790E">
            <w:pPr>
              <w:ind w:right="170"/>
              <w:jc w:val="right"/>
              <w:rPr>
                <w:sz w:val="18"/>
                <w:szCs w:val="18"/>
              </w:rPr>
            </w:pPr>
            <w:r w:rsidRPr="00AC33DC">
              <w:rPr>
                <w:sz w:val="18"/>
                <w:szCs w:val="18"/>
              </w:rPr>
              <w:t>98,706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91F18" w:rsidRPr="00AC33DC" w:rsidRDefault="00991F18" w:rsidP="0070790E">
            <w:pPr>
              <w:ind w:right="170"/>
              <w:jc w:val="right"/>
              <w:rPr>
                <w:sz w:val="18"/>
                <w:szCs w:val="18"/>
              </w:rPr>
            </w:pPr>
            <w:r w:rsidRPr="00AC33DC">
              <w:rPr>
                <w:sz w:val="18"/>
                <w:szCs w:val="18"/>
              </w:rPr>
              <w:t>94,585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91F18" w:rsidRPr="00AC33DC" w:rsidRDefault="00991F18" w:rsidP="0070790E">
            <w:pPr>
              <w:ind w:right="170"/>
              <w:jc w:val="right"/>
              <w:rPr>
                <w:sz w:val="18"/>
                <w:szCs w:val="18"/>
              </w:rPr>
            </w:pPr>
            <w:r w:rsidRPr="00AC33DC">
              <w:rPr>
                <w:sz w:val="18"/>
                <w:szCs w:val="18"/>
              </w:rPr>
              <w:t>66,163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1F18" w:rsidRPr="00AC33DC" w:rsidRDefault="00991F18" w:rsidP="0070790E">
            <w:pPr>
              <w:ind w:right="170"/>
              <w:jc w:val="right"/>
              <w:rPr>
                <w:sz w:val="18"/>
                <w:szCs w:val="18"/>
              </w:rPr>
            </w:pPr>
            <w:r w:rsidRPr="00AC33DC">
              <w:rPr>
                <w:sz w:val="18"/>
                <w:szCs w:val="18"/>
              </w:rPr>
              <w:t>63,355</w:t>
            </w:r>
          </w:p>
        </w:tc>
      </w:tr>
    </w:tbl>
    <w:p w:rsidR="00991F18" w:rsidRDefault="00991F18" w:rsidP="00991F18">
      <w:pPr>
        <w:bidi/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:rsidR="00991F18" w:rsidRPr="000B57C7" w:rsidRDefault="00991F18" w:rsidP="00991F18">
      <w:pPr>
        <w:bidi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116FFD" w:rsidRPr="00116FFD" w:rsidRDefault="00116FFD" w:rsidP="0070790E">
      <w:pPr>
        <w:tabs>
          <w:tab w:val="left" w:pos="555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FFD">
        <w:rPr>
          <w:rFonts w:ascii="Times New Roman" w:hAnsi="Times New Roman" w:cs="Times New Roman"/>
          <w:b/>
          <w:bCs/>
          <w:sz w:val="24"/>
          <w:szCs w:val="24"/>
        </w:rPr>
        <w:t>Children in Israeli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0A78"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>ccupation</w:t>
      </w:r>
      <w:r w:rsidRPr="00116F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0A78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116FFD">
        <w:rPr>
          <w:rFonts w:ascii="Times New Roman" w:hAnsi="Times New Roman" w:cs="Times New Roman"/>
          <w:b/>
          <w:bCs/>
          <w:sz w:val="24"/>
          <w:szCs w:val="24"/>
        </w:rPr>
        <w:t>risons</w:t>
      </w:r>
      <w:r w:rsidR="0070790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116FFD" w:rsidRPr="00116FFD" w:rsidRDefault="00116FFD" w:rsidP="00547477">
      <w:pPr>
        <w:jc w:val="both"/>
        <w:rPr>
          <w:rFonts w:ascii="Times New Roman" w:hAnsi="Times New Roman" w:cs="Times New Roman"/>
          <w:sz w:val="24"/>
          <w:szCs w:val="24"/>
        </w:rPr>
      </w:pPr>
      <w:r w:rsidRPr="00116FFD">
        <w:rPr>
          <w:rFonts w:ascii="Times New Roman" w:hAnsi="Times New Roman" w:cs="Times New Roman"/>
          <w:sz w:val="24"/>
          <w:szCs w:val="24"/>
        </w:rPr>
        <w:t xml:space="preserve">According to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116FFD">
        <w:rPr>
          <w:rFonts w:ascii="Times New Roman" w:hAnsi="Times New Roman" w:cs="Times New Roman"/>
          <w:sz w:val="24"/>
          <w:szCs w:val="24"/>
        </w:rPr>
        <w:t xml:space="preserve">data released by the </w:t>
      </w:r>
      <w:r>
        <w:rPr>
          <w:rFonts w:ascii="Times New Roman" w:hAnsi="Times New Roman" w:cs="Times New Roman"/>
          <w:sz w:val="24"/>
          <w:szCs w:val="24"/>
        </w:rPr>
        <w:t xml:space="preserve">Commission of </w:t>
      </w:r>
      <w:r w:rsidRPr="00116FFD">
        <w:rPr>
          <w:rFonts w:ascii="Times New Roman" w:hAnsi="Times New Roman" w:cs="Times New Roman"/>
          <w:sz w:val="24"/>
          <w:szCs w:val="24"/>
        </w:rPr>
        <w:t>Detainees</w:t>
      </w:r>
      <w:r>
        <w:rPr>
          <w:rFonts w:ascii="Times New Roman" w:hAnsi="Times New Roman" w:cs="Times New Roman"/>
          <w:sz w:val="24"/>
          <w:szCs w:val="24"/>
        </w:rPr>
        <w:t xml:space="preserve"> and Ex-Detainees</w:t>
      </w:r>
      <w:r w:rsidRPr="00116FFD">
        <w:rPr>
          <w:rFonts w:ascii="Times New Roman" w:hAnsi="Times New Roman" w:cs="Times New Roman"/>
          <w:sz w:val="24"/>
          <w:szCs w:val="24"/>
        </w:rPr>
        <w:t xml:space="preserve"> Affairs,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116FFD">
        <w:rPr>
          <w:rFonts w:ascii="Times New Roman" w:hAnsi="Times New Roman" w:cs="Times New Roman"/>
          <w:sz w:val="24"/>
          <w:szCs w:val="24"/>
        </w:rPr>
        <w:t>since the outbreak of Jerusalem</w:t>
      </w:r>
      <w:r w:rsidR="008739C6">
        <w:rPr>
          <w:rFonts w:ascii="Times New Roman" w:hAnsi="Times New Roman" w:cs="Times New Roman"/>
          <w:sz w:val="24"/>
          <w:szCs w:val="24"/>
        </w:rPr>
        <w:t xml:space="preserve"> uprising</w:t>
      </w:r>
      <w:r w:rsidRPr="00116FFD">
        <w:rPr>
          <w:rFonts w:ascii="Times New Roman" w:hAnsi="Times New Roman" w:cs="Times New Roman"/>
          <w:sz w:val="24"/>
          <w:szCs w:val="24"/>
        </w:rPr>
        <w:t xml:space="preserve"> in October 2015, the Israeli occupation authorities have arrested 15,000 Palestinians, including </w:t>
      </w:r>
      <w:r w:rsidR="004A1A26">
        <w:rPr>
          <w:rFonts w:ascii="Times New Roman" w:hAnsi="Times New Roman" w:cs="Times New Roman"/>
          <w:sz w:val="24"/>
          <w:szCs w:val="24"/>
        </w:rPr>
        <w:t>about</w:t>
      </w:r>
      <w:r w:rsidRPr="00116FFD">
        <w:rPr>
          <w:rFonts w:ascii="Times New Roman" w:hAnsi="Times New Roman" w:cs="Times New Roman"/>
          <w:sz w:val="24"/>
          <w:szCs w:val="24"/>
        </w:rPr>
        <w:t xml:space="preserve"> 4,000 children (under 18 years), of whom about 300 are still in detention, deprived of their innocent childhood</w:t>
      </w:r>
      <w:r w:rsidR="004A1A26">
        <w:rPr>
          <w:rFonts w:ascii="Times New Roman" w:hAnsi="Times New Roman" w:cs="Times New Roman"/>
          <w:sz w:val="24"/>
          <w:szCs w:val="24"/>
        </w:rPr>
        <w:t xml:space="preserve"> and their right to education</w:t>
      </w:r>
      <w:r w:rsidR="008739C6">
        <w:rPr>
          <w:rFonts w:ascii="Times New Roman" w:hAnsi="Times New Roman" w:cs="Times New Roman"/>
          <w:sz w:val="24"/>
          <w:szCs w:val="24"/>
        </w:rPr>
        <w:t xml:space="preserve">, </w:t>
      </w:r>
      <w:r w:rsidR="004C3543">
        <w:rPr>
          <w:rFonts w:ascii="Times New Roman" w:hAnsi="Times New Roman" w:cs="Times New Roman"/>
          <w:sz w:val="24"/>
          <w:szCs w:val="24"/>
        </w:rPr>
        <w:t>i</w:t>
      </w:r>
      <w:r w:rsidRPr="00116FFD">
        <w:rPr>
          <w:rFonts w:ascii="Times New Roman" w:hAnsi="Times New Roman" w:cs="Times New Roman"/>
          <w:sz w:val="24"/>
          <w:szCs w:val="24"/>
        </w:rPr>
        <w:t>n addition to being subjected to abuse during detention.</w:t>
      </w:r>
    </w:p>
    <w:p w:rsidR="00116FFD" w:rsidRPr="00116FFD" w:rsidRDefault="00116FFD" w:rsidP="00116FF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FFD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116FFD" w:rsidRPr="00116FFD" w:rsidRDefault="00116FFD" w:rsidP="004A0A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FFD">
        <w:rPr>
          <w:rFonts w:ascii="Times New Roman" w:hAnsi="Times New Roman" w:cs="Times New Roman"/>
          <w:b/>
          <w:bCs/>
          <w:sz w:val="24"/>
          <w:szCs w:val="24"/>
        </w:rPr>
        <w:t xml:space="preserve">Children </w:t>
      </w:r>
      <w:r w:rsidR="004A0A78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116FFD">
        <w:rPr>
          <w:rFonts w:ascii="Times New Roman" w:hAnsi="Times New Roman" w:cs="Times New Roman"/>
          <w:b/>
          <w:bCs/>
          <w:sz w:val="24"/>
          <w:szCs w:val="24"/>
        </w:rPr>
        <w:t>artyrs</w:t>
      </w:r>
    </w:p>
    <w:p w:rsidR="00116FFD" w:rsidRPr="00116FFD" w:rsidRDefault="00116FFD" w:rsidP="00443DAB">
      <w:pPr>
        <w:jc w:val="both"/>
        <w:rPr>
          <w:rFonts w:ascii="Times New Roman" w:hAnsi="Times New Roman" w:cs="Times New Roman"/>
          <w:sz w:val="24"/>
          <w:szCs w:val="24"/>
        </w:rPr>
      </w:pPr>
      <w:r w:rsidRPr="00116FFD">
        <w:rPr>
          <w:rFonts w:ascii="Times New Roman" w:hAnsi="Times New Roman" w:cs="Times New Roman"/>
          <w:sz w:val="24"/>
          <w:szCs w:val="24"/>
        </w:rPr>
        <w:t xml:space="preserve">According to the records of the International Movement for the Defense of Children in Palestine, 35 children were martyred during 2016. </w:t>
      </w:r>
      <w:r w:rsidR="00443DAB">
        <w:rPr>
          <w:rFonts w:ascii="Times New Roman" w:hAnsi="Times New Roman" w:cs="Times New Roman"/>
          <w:sz w:val="24"/>
          <w:szCs w:val="24"/>
        </w:rPr>
        <w:t>Moreover, f</w:t>
      </w:r>
      <w:r w:rsidRPr="00116FFD">
        <w:rPr>
          <w:rFonts w:ascii="Times New Roman" w:hAnsi="Times New Roman" w:cs="Times New Roman"/>
          <w:sz w:val="24"/>
          <w:szCs w:val="24"/>
        </w:rPr>
        <w:t xml:space="preserve">ourteen </w:t>
      </w:r>
      <w:r w:rsidR="004A1A26">
        <w:rPr>
          <w:rFonts w:ascii="Times New Roman" w:hAnsi="Times New Roman" w:cs="Times New Roman"/>
          <w:sz w:val="24"/>
          <w:szCs w:val="24"/>
        </w:rPr>
        <w:t xml:space="preserve">martyred </w:t>
      </w:r>
      <w:r w:rsidRPr="00116FFD">
        <w:rPr>
          <w:rFonts w:ascii="Times New Roman" w:hAnsi="Times New Roman" w:cs="Times New Roman"/>
          <w:sz w:val="24"/>
          <w:szCs w:val="24"/>
        </w:rPr>
        <w:t>children have been documented</w:t>
      </w:r>
      <w:r w:rsidR="004A1A26">
        <w:rPr>
          <w:rFonts w:ascii="Times New Roman" w:hAnsi="Times New Roman" w:cs="Times New Roman"/>
          <w:sz w:val="24"/>
          <w:szCs w:val="24"/>
        </w:rPr>
        <w:t>,</w:t>
      </w:r>
      <w:r w:rsidRPr="00116FFD">
        <w:rPr>
          <w:rFonts w:ascii="Times New Roman" w:hAnsi="Times New Roman" w:cs="Times New Roman"/>
          <w:sz w:val="24"/>
          <w:szCs w:val="24"/>
        </w:rPr>
        <w:t xml:space="preserve"> since the beginning of the current year 2017 and until the end of August</w:t>
      </w:r>
      <w:r w:rsidR="004A1A26">
        <w:rPr>
          <w:rFonts w:ascii="Times New Roman" w:hAnsi="Times New Roman" w:cs="Times New Roman"/>
          <w:sz w:val="24"/>
          <w:szCs w:val="24"/>
        </w:rPr>
        <w:t>,</w:t>
      </w:r>
      <w:r w:rsidRPr="00116FFD">
        <w:rPr>
          <w:rFonts w:ascii="Times New Roman" w:hAnsi="Times New Roman" w:cs="Times New Roman"/>
          <w:sz w:val="24"/>
          <w:szCs w:val="24"/>
        </w:rPr>
        <w:t xml:space="preserve"> </w:t>
      </w:r>
      <w:r w:rsidR="002D1F97">
        <w:rPr>
          <w:rFonts w:ascii="Times New Roman" w:hAnsi="Times New Roman" w:cs="Times New Roman"/>
          <w:sz w:val="24"/>
          <w:szCs w:val="24"/>
        </w:rPr>
        <w:t>as they were</w:t>
      </w:r>
      <w:r w:rsidRPr="00116FFD">
        <w:rPr>
          <w:rFonts w:ascii="Times New Roman" w:hAnsi="Times New Roman" w:cs="Times New Roman"/>
          <w:sz w:val="24"/>
          <w:szCs w:val="24"/>
        </w:rPr>
        <w:t xml:space="preserve"> shot</w:t>
      </w:r>
      <w:r w:rsidR="002D1F97">
        <w:rPr>
          <w:rFonts w:ascii="Times New Roman" w:hAnsi="Times New Roman" w:cs="Times New Roman"/>
          <w:sz w:val="24"/>
          <w:szCs w:val="24"/>
        </w:rPr>
        <w:t xml:space="preserve"> randomly</w:t>
      </w:r>
      <w:r w:rsidRPr="00116FFD">
        <w:rPr>
          <w:rFonts w:ascii="Times New Roman" w:hAnsi="Times New Roman" w:cs="Times New Roman"/>
          <w:sz w:val="24"/>
          <w:szCs w:val="24"/>
        </w:rPr>
        <w:t xml:space="preserve">, </w:t>
      </w:r>
      <w:r w:rsidR="002D1F97">
        <w:rPr>
          <w:rFonts w:ascii="Times New Roman" w:hAnsi="Times New Roman" w:cs="Times New Roman"/>
          <w:sz w:val="24"/>
          <w:szCs w:val="24"/>
        </w:rPr>
        <w:t xml:space="preserve">where </w:t>
      </w:r>
      <w:r w:rsidRPr="00116FFD">
        <w:rPr>
          <w:rFonts w:ascii="Times New Roman" w:hAnsi="Times New Roman" w:cs="Times New Roman"/>
          <w:sz w:val="24"/>
          <w:szCs w:val="24"/>
        </w:rPr>
        <w:t xml:space="preserve">3 </w:t>
      </w:r>
      <w:r w:rsidR="002D1F97">
        <w:rPr>
          <w:rFonts w:ascii="Times New Roman" w:hAnsi="Times New Roman" w:cs="Times New Roman"/>
          <w:sz w:val="24"/>
          <w:szCs w:val="24"/>
        </w:rPr>
        <w:t xml:space="preserve">martyred </w:t>
      </w:r>
      <w:r w:rsidRPr="00116FFD">
        <w:rPr>
          <w:rFonts w:ascii="Times New Roman" w:hAnsi="Times New Roman" w:cs="Times New Roman"/>
          <w:sz w:val="24"/>
          <w:szCs w:val="24"/>
        </w:rPr>
        <w:t xml:space="preserve">children </w:t>
      </w:r>
      <w:r w:rsidR="002D1F97">
        <w:rPr>
          <w:rFonts w:ascii="Times New Roman" w:hAnsi="Times New Roman" w:cs="Times New Roman"/>
          <w:sz w:val="24"/>
          <w:szCs w:val="24"/>
        </w:rPr>
        <w:t xml:space="preserve">were </w:t>
      </w:r>
      <w:r w:rsidRPr="00116FFD">
        <w:rPr>
          <w:rFonts w:ascii="Times New Roman" w:hAnsi="Times New Roman" w:cs="Times New Roman"/>
          <w:sz w:val="24"/>
          <w:szCs w:val="24"/>
        </w:rPr>
        <w:t>in the age group 13</w:t>
      </w:r>
      <w:r w:rsidR="002D1F97">
        <w:rPr>
          <w:rFonts w:ascii="Times New Roman" w:hAnsi="Times New Roman" w:cs="Times New Roman"/>
          <w:sz w:val="24"/>
          <w:szCs w:val="24"/>
        </w:rPr>
        <w:t>-</w:t>
      </w:r>
      <w:r w:rsidRPr="00116FFD">
        <w:rPr>
          <w:rFonts w:ascii="Times New Roman" w:hAnsi="Times New Roman" w:cs="Times New Roman"/>
          <w:sz w:val="24"/>
          <w:szCs w:val="24"/>
        </w:rPr>
        <w:t xml:space="preserve">15 years and </w:t>
      </w:r>
      <w:r w:rsidR="002D1F97">
        <w:rPr>
          <w:rFonts w:ascii="Times New Roman" w:hAnsi="Times New Roman" w:cs="Times New Roman"/>
          <w:sz w:val="24"/>
          <w:szCs w:val="24"/>
        </w:rPr>
        <w:t xml:space="preserve">the other </w:t>
      </w:r>
      <w:r w:rsidRPr="00116FFD">
        <w:rPr>
          <w:rFonts w:ascii="Times New Roman" w:hAnsi="Times New Roman" w:cs="Times New Roman"/>
          <w:sz w:val="24"/>
          <w:szCs w:val="24"/>
        </w:rPr>
        <w:t xml:space="preserve">11 </w:t>
      </w:r>
      <w:r w:rsidR="002D1F97">
        <w:rPr>
          <w:rFonts w:ascii="Times New Roman" w:hAnsi="Times New Roman" w:cs="Times New Roman"/>
          <w:sz w:val="24"/>
          <w:szCs w:val="24"/>
        </w:rPr>
        <w:t xml:space="preserve">martyred </w:t>
      </w:r>
      <w:r w:rsidRPr="00116FFD">
        <w:rPr>
          <w:rFonts w:ascii="Times New Roman" w:hAnsi="Times New Roman" w:cs="Times New Roman"/>
          <w:sz w:val="24"/>
          <w:szCs w:val="24"/>
        </w:rPr>
        <w:t xml:space="preserve">children </w:t>
      </w:r>
      <w:r w:rsidR="002D1F97">
        <w:rPr>
          <w:rFonts w:ascii="Times New Roman" w:hAnsi="Times New Roman" w:cs="Times New Roman"/>
          <w:sz w:val="24"/>
          <w:szCs w:val="24"/>
        </w:rPr>
        <w:t>were in the age group</w:t>
      </w:r>
      <w:r w:rsidRPr="00116FFD">
        <w:rPr>
          <w:rFonts w:ascii="Times New Roman" w:hAnsi="Times New Roman" w:cs="Times New Roman"/>
          <w:sz w:val="24"/>
          <w:szCs w:val="24"/>
        </w:rPr>
        <w:t xml:space="preserve"> 16-17 years.</w:t>
      </w:r>
    </w:p>
    <w:p w:rsidR="00116FFD" w:rsidRPr="00116FFD" w:rsidRDefault="00116FFD" w:rsidP="00116FF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6FFD" w:rsidRPr="00116FFD" w:rsidRDefault="00116FFD" w:rsidP="00116FF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6FFD" w:rsidRPr="00116FFD" w:rsidRDefault="002D1F97" w:rsidP="002D1F9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116FFD">
        <w:rPr>
          <w:rFonts w:ascii="Times New Roman" w:hAnsi="Times New Roman" w:cs="Times New Roman"/>
          <w:b/>
          <w:bCs/>
          <w:sz w:val="24"/>
          <w:szCs w:val="24"/>
        </w:rPr>
        <w:t xml:space="preserve">hildren </w:t>
      </w:r>
      <w:r w:rsidR="00116FFD" w:rsidRPr="00116FFD">
        <w:rPr>
          <w:rFonts w:ascii="Times New Roman" w:hAnsi="Times New Roman" w:cs="Times New Roman"/>
          <w:b/>
          <w:bCs/>
          <w:sz w:val="24"/>
          <w:szCs w:val="24"/>
        </w:rPr>
        <w:t xml:space="preserve">Forced </w:t>
      </w:r>
      <w:r>
        <w:rPr>
          <w:rFonts w:ascii="Times New Roman" w:hAnsi="Times New Roman" w:cs="Times New Roman"/>
          <w:b/>
          <w:bCs/>
          <w:sz w:val="24"/>
          <w:szCs w:val="24"/>
        </w:rPr>
        <w:t>Displacement</w:t>
      </w:r>
    </w:p>
    <w:p w:rsidR="00116FFD" w:rsidRPr="00116FFD" w:rsidRDefault="00116FFD" w:rsidP="00AC4153">
      <w:pPr>
        <w:jc w:val="both"/>
        <w:rPr>
          <w:rFonts w:ascii="Times New Roman" w:hAnsi="Times New Roman" w:cs="Times New Roman"/>
          <w:sz w:val="24"/>
          <w:szCs w:val="24"/>
        </w:rPr>
      </w:pPr>
      <w:r w:rsidRPr="00116FFD">
        <w:rPr>
          <w:rFonts w:ascii="Times New Roman" w:hAnsi="Times New Roman" w:cs="Times New Roman"/>
          <w:sz w:val="24"/>
          <w:szCs w:val="24"/>
        </w:rPr>
        <w:t xml:space="preserve">418 houses and 646 </w:t>
      </w:r>
      <w:r w:rsidR="002D1F97">
        <w:rPr>
          <w:rFonts w:ascii="Times New Roman" w:hAnsi="Times New Roman" w:cs="Times New Roman"/>
          <w:sz w:val="24"/>
          <w:szCs w:val="24"/>
        </w:rPr>
        <w:t>establishments</w:t>
      </w:r>
      <w:r w:rsidRPr="00116FFD">
        <w:rPr>
          <w:rFonts w:ascii="Times New Roman" w:hAnsi="Times New Roman" w:cs="Times New Roman"/>
          <w:sz w:val="24"/>
          <w:szCs w:val="24"/>
        </w:rPr>
        <w:t xml:space="preserve"> were demolished in 2016</w:t>
      </w:r>
      <w:r w:rsidR="002D1F97">
        <w:rPr>
          <w:rFonts w:ascii="Times New Roman" w:hAnsi="Times New Roman" w:cs="Times New Roman"/>
          <w:sz w:val="24"/>
          <w:szCs w:val="24"/>
        </w:rPr>
        <w:t xml:space="preserve"> by the Israeli occupation</w:t>
      </w:r>
      <w:r w:rsidRPr="00116FFD">
        <w:rPr>
          <w:rFonts w:ascii="Times New Roman" w:hAnsi="Times New Roman" w:cs="Times New Roman"/>
          <w:sz w:val="24"/>
          <w:szCs w:val="24"/>
        </w:rPr>
        <w:t xml:space="preserve">, </w:t>
      </w:r>
      <w:r w:rsidR="002D1F97">
        <w:rPr>
          <w:rFonts w:ascii="Times New Roman" w:hAnsi="Times New Roman" w:cs="Times New Roman"/>
          <w:sz w:val="24"/>
          <w:szCs w:val="24"/>
        </w:rPr>
        <w:t xml:space="preserve">causing </w:t>
      </w:r>
      <w:r w:rsidRPr="00116FFD">
        <w:rPr>
          <w:rFonts w:ascii="Times New Roman" w:hAnsi="Times New Roman" w:cs="Times New Roman"/>
          <w:sz w:val="24"/>
          <w:szCs w:val="24"/>
        </w:rPr>
        <w:t>displac</w:t>
      </w:r>
      <w:r w:rsidR="002D1F97">
        <w:rPr>
          <w:rFonts w:ascii="Times New Roman" w:hAnsi="Times New Roman" w:cs="Times New Roman"/>
          <w:sz w:val="24"/>
          <w:szCs w:val="24"/>
        </w:rPr>
        <w:t>ement of</w:t>
      </w:r>
      <w:r w:rsidRPr="00116FFD">
        <w:rPr>
          <w:rFonts w:ascii="Times New Roman" w:hAnsi="Times New Roman" w:cs="Times New Roman"/>
          <w:sz w:val="24"/>
          <w:szCs w:val="24"/>
        </w:rPr>
        <w:t xml:space="preserve"> 1,852 </w:t>
      </w:r>
      <w:r w:rsidR="002D1F97">
        <w:rPr>
          <w:rFonts w:ascii="Times New Roman" w:hAnsi="Times New Roman" w:cs="Times New Roman"/>
          <w:sz w:val="24"/>
          <w:szCs w:val="24"/>
        </w:rPr>
        <w:t>individuals</w:t>
      </w:r>
      <w:r w:rsidRPr="00116FFD">
        <w:rPr>
          <w:rFonts w:ascii="Times New Roman" w:hAnsi="Times New Roman" w:cs="Times New Roman"/>
          <w:sz w:val="24"/>
          <w:szCs w:val="24"/>
        </w:rPr>
        <w:t xml:space="preserve">, </w:t>
      </w:r>
      <w:r w:rsidR="002D1F97">
        <w:rPr>
          <w:rFonts w:ascii="Times New Roman" w:hAnsi="Times New Roman" w:cs="Times New Roman"/>
          <w:sz w:val="24"/>
          <w:szCs w:val="24"/>
        </w:rPr>
        <w:t xml:space="preserve">out of whom were </w:t>
      </w:r>
      <w:r w:rsidRPr="00116FFD">
        <w:rPr>
          <w:rFonts w:ascii="Times New Roman" w:hAnsi="Times New Roman" w:cs="Times New Roman"/>
          <w:sz w:val="24"/>
          <w:szCs w:val="24"/>
        </w:rPr>
        <w:t>848 children, as a result of the demolition of their homes</w:t>
      </w:r>
      <w:r w:rsidR="002D1F97">
        <w:rPr>
          <w:rFonts w:ascii="Times New Roman" w:hAnsi="Times New Roman" w:cs="Times New Roman"/>
          <w:sz w:val="24"/>
          <w:szCs w:val="24"/>
        </w:rPr>
        <w:t>.</w:t>
      </w:r>
      <w:r w:rsidRPr="00116FFD">
        <w:rPr>
          <w:rFonts w:ascii="Times New Roman" w:hAnsi="Times New Roman" w:cs="Times New Roman"/>
          <w:sz w:val="24"/>
          <w:szCs w:val="24"/>
        </w:rPr>
        <w:t xml:space="preserve"> </w:t>
      </w:r>
      <w:r w:rsidR="002D1F97">
        <w:rPr>
          <w:rFonts w:ascii="Times New Roman" w:hAnsi="Times New Roman" w:cs="Times New Roman"/>
          <w:sz w:val="24"/>
          <w:szCs w:val="24"/>
        </w:rPr>
        <w:t xml:space="preserve">While the demolition of establishments affected </w:t>
      </w:r>
      <w:r w:rsidRPr="00116FFD">
        <w:rPr>
          <w:rFonts w:ascii="Times New Roman" w:hAnsi="Times New Roman" w:cs="Times New Roman"/>
          <w:sz w:val="24"/>
          <w:szCs w:val="24"/>
        </w:rPr>
        <w:t>8,000</w:t>
      </w:r>
      <w:r w:rsidR="002D1F97">
        <w:rPr>
          <w:rFonts w:ascii="Times New Roman" w:hAnsi="Times New Roman" w:cs="Times New Roman"/>
          <w:sz w:val="24"/>
          <w:szCs w:val="24"/>
        </w:rPr>
        <w:t xml:space="preserve"> individuals, out of whom were </w:t>
      </w:r>
      <w:r w:rsidRPr="00116FFD">
        <w:rPr>
          <w:rFonts w:ascii="Times New Roman" w:hAnsi="Times New Roman" w:cs="Times New Roman"/>
          <w:sz w:val="24"/>
          <w:szCs w:val="24"/>
        </w:rPr>
        <w:t>4,300 children. Housing demolitions were concentrated in Jerusalem governorate, which accounted for 39% of the demolished houses in 2016, followed by Nablus governorate with 19% and Hebron governorate with 17%.</w:t>
      </w:r>
    </w:p>
    <w:p w:rsidR="00116FFD" w:rsidRPr="00116FFD" w:rsidRDefault="00116FFD" w:rsidP="00116FF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6FFD" w:rsidRPr="00116FFD" w:rsidRDefault="00116FFD" w:rsidP="004A0A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FFD">
        <w:rPr>
          <w:rFonts w:ascii="Times New Roman" w:hAnsi="Times New Roman" w:cs="Times New Roman"/>
          <w:b/>
          <w:bCs/>
          <w:sz w:val="24"/>
          <w:szCs w:val="24"/>
        </w:rPr>
        <w:t xml:space="preserve">Child </w:t>
      </w:r>
      <w:r w:rsidR="004A0A78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116FFD">
        <w:rPr>
          <w:rFonts w:ascii="Times New Roman" w:hAnsi="Times New Roman" w:cs="Times New Roman"/>
          <w:b/>
          <w:bCs/>
          <w:sz w:val="24"/>
          <w:szCs w:val="24"/>
        </w:rPr>
        <w:t>abo</w:t>
      </w:r>
      <w:r w:rsidR="00AC4153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116FFD">
        <w:rPr>
          <w:rFonts w:ascii="Times New Roman" w:hAnsi="Times New Roman" w:cs="Times New Roman"/>
          <w:b/>
          <w:bCs/>
          <w:sz w:val="24"/>
          <w:szCs w:val="24"/>
        </w:rPr>
        <w:t>r</w:t>
      </w:r>
    </w:p>
    <w:p w:rsidR="00116FFD" w:rsidRPr="00116FFD" w:rsidRDefault="00116FFD" w:rsidP="00AC4153">
      <w:pPr>
        <w:jc w:val="both"/>
        <w:rPr>
          <w:rFonts w:ascii="Times New Roman" w:hAnsi="Times New Roman" w:cs="Times New Roman"/>
          <w:sz w:val="24"/>
          <w:szCs w:val="24"/>
        </w:rPr>
      </w:pPr>
      <w:r w:rsidRPr="00116FFD">
        <w:rPr>
          <w:rFonts w:ascii="Times New Roman" w:hAnsi="Times New Roman" w:cs="Times New Roman"/>
          <w:sz w:val="24"/>
          <w:szCs w:val="24"/>
        </w:rPr>
        <w:t>The percentage of working children, whether paid or unpaid, in Palestine was 3.9% of the total number of children aged 10-17</w:t>
      </w:r>
      <w:r w:rsidR="00AC4153">
        <w:rPr>
          <w:rFonts w:ascii="Times New Roman" w:hAnsi="Times New Roman" w:cs="Times New Roman"/>
          <w:sz w:val="24"/>
          <w:szCs w:val="24"/>
        </w:rPr>
        <w:t xml:space="preserve"> years</w:t>
      </w:r>
      <w:r w:rsidRPr="00116FFD">
        <w:rPr>
          <w:rFonts w:ascii="Times New Roman" w:hAnsi="Times New Roman" w:cs="Times New Roman"/>
          <w:sz w:val="24"/>
          <w:szCs w:val="24"/>
        </w:rPr>
        <w:t xml:space="preserve"> in 2016</w:t>
      </w:r>
      <w:r w:rsidR="00AC4153">
        <w:rPr>
          <w:rFonts w:ascii="Times New Roman" w:hAnsi="Times New Roman" w:cs="Times New Roman"/>
          <w:sz w:val="24"/>
          <w:szCs w:val="24"/>
        </w:rPr>
        <w:t xml:space="preserve"> (</w:t>
      </w:r>
      <w:r w:rsidRPr="00116FFD">
        <w:rPr>
          <w:rFonts w:ascii="Times New Roman" w:hAnsi="Times New Roman" w:cs="Times New Roman"/>
          <w:sz w:val="24"/>
          <w:szCs w:val="24"/>
        </w:rPr>
        <w:t>5.3% in the West Bank and 1.9% in Gaza Strip</w:t>
      </w:r>
      <w:r w:rsidR="00AC4153">
        <w:rPr>
          <w:rFonts w:ascii="Times New Roman" w:hAnsi="Times New Roman" w:cs="Times New Roman"/>
          <w:sz w:val="24"/>
          <w:szCs w:val="24"/>
        </w:rPr>
        <w:t>)</w:t>
      </w:r>
      <w:r w:rsidRPr="00116FFD">
        <w:rPr>
          <w:rFonts w:ascii="Times New Roman" w:hAnsi="Times New Roman" w:cs="Times New Roman"/>
          <w:sz w:val="24"/>
          <w:szCs w:val="24"/>
        </w:rPr>
        <w:t xml:space="preserve">. </w:t>
      </w:r>
      <w:r w:rsidR="00AC4153">
        <w:rPr>
          <w:rFonts w:ascii="Times New Roman" w:hAnsi="Times New Roman" w:cs="Times New Roman"/>
          <w:sz w:val="24"/>
          <w:szCs w:val="24"/>
        </w:rPr>
        <w:t xml:space="preserve">The </w:t>
      </w:r>
      <w:r w:rsidR="00443DAB">
        <w:rPr>
          <w:rFonts w:ascii="Times New Roman" w:hAnsi="Times New Roman" w:cs="Times New Roman"/>
          <w:sz w:val="24"/>
          <w:szCs w:val="24"/>
        </w:rPr>
        <w:t xml:space="preserve">given </w:t>
      </w:r>
      <w:r w:rsidR="00AC4153">
        <w:rPr>
          <w:rFonts w:ascii="Times New Roman" w:hAnsi="Times New Roman" w:cs="Times New Roman"/>
          <w:sz w:val="24"/>
          <w:szCs w:val="24"/>
        </w:rPr>
        <w:t>percentages showed that the employed male children were higher than the employed female children (7.4% for male</w:t>
      </w:r>
      <w:r w:rsidRPr="00116FFD">
        <w:rPr>
          <w:rFonts w:ascii="Times New Roman" w:hAnsi="Times New Roman" w:cs="Times New Roman"/>
          <w:sz w:val="24"/>
          <w:szCs w:val="24"/>
        </w:rPr>
        <w:t xml:space="preserve">s compared to 0.3% </w:t>
      </w:r>
      <w:r w:rsidR="00AC4153">
        <w:rPr>
          <w:rFonts w:ascii="Times New Roman" w:hAnsi="Times New Roman" w:cs="Times New Roman"/>
          <w:sz w:val="24"/>
          <w:szCs w:val="24"/>
        </w:rPr>
        <w:t xml:space="preserve">for </w:t>
      </w:r>
      <w:r w:rsidRPr="00116FFD">
        <w:rPr>
          <w:rFonts w:ascii="Times New Roman" w:hAnsi="Times New Roman" w:cs="Times New Roman"/>
          <w:sz w:val="24"/>
          <w:szCs w:val="24"/>
        </w:rPr>
        <w:t>females).</w:t>
      </w:r>
    </w:p>
    <w:p w:rsidR="00116FFD" w:rsidRPr="00116FFD" w:rsidRDefault="00116FFD" w:rsidP="00443DAB">
      <w:pPr>
        <w:jc w:val="both"/>
        <w:rPr>
          <w:rFonts w:ascii="Times New Roman" w:hAnsi="Times New Roman" w:cs="Times New Roman"/>
          <w:sz w:val="24"/>
          <w:szCs w:val="24"/>
        </w:rPr>
      </w:pPr>
      <w:r w:rsidRPr="00116FFD">
        <w:rPr>
          <w:rFonts w:ascii="Times New Roman" w:hAnsi="Times New Roman" w:cs="Times New Roman"/>
          <w:sz w:val="24"/>
          <w:szCs w:val="24"/>
        </w:rPr>
        <w:t xml:space="preserve">The percentage of </w:t>
      </w:r>
      <w:r w:rsidR="00443DAB" w:rsidRPr="00116FFD">
        <w:rPr>
          <w:rFonts w:ascii="Times New Roman" w:hAnsi="Times New Roman" w:cs="Times New Roman"/>
          <w:sz w:val="24"/>
          <w:szCs w:val="24"/>
        </w:rPr>
        <w:t>employed</w:t>
      </w:r>
      <w:r w:rsidR="00443DAB">
        <w:rPr>
          <w:rFonts w:ascii="Times New Roman" w:hAnsi="Times New Roman" w:cs="Times New Roman"/>
          <w:sz w:val="24"/>
          <w:szCs w:val="24"/>
        </w:rPr>
        <w:t xml:space="preserve"> </w:t>
      </w:r>
      <w:r w:rsidRPr="00116FFD">
        <w:rPr>
          <w:rFonts w:ascii="Times New Roman" w:hAnsi="Times New Roman" w:cs="Times New Roman"/>
          <w:sz w:val="24"/>
          <w:szCs w:val="24"/>
        </w:rPr>
        <w:t xml:space="preserve">children </w:t>
      </w:r>
      <w:r w:rsidR="00443DAB">
        <w:rPr>
          <w:rFonts w:ascii="Times New Roman" w:hAnsi="Times New Roman" w:cs="Times New Roman"/>
          <w:sz w:val="24"/>
          <w:szCs w:val="24"/>
        </w:rPr>
        <w:t xml:space="preserve">who </w:t>
      </w:r>
      <w:r w:rsidRPr="00116FFD">
        <w:rPr>
          <w:rFonts w:ascii="Times New Roman" w:hAnsi="Times New Roman" w:cs="Times New Roman"/>
          <w:sz w:val="24"/>
          <w:szCs w:val="24"/>
        </w:rPr>
        <w:t xml:space="preserve">enrolled in schools </w:t>
      </w:r>
      <w:r w:rsidR="00AC4153">
        <w:rPr>
          <w:rFonts w:ascii="Times New Roman" w:hAnsi="Times New Roman" w:cs="Times New Roman"/>
          <w:sz w:val="24"/>
          <w:szCs w:val="24"/>
        </w:rPr>
        <w:t>was</w:t>
      </w:r>
      <w:r w:rsidRPr="00116FFD">
        <w:rPr>
          <w:rFonts w:ascii="Times New Roman" w:hAnsi="Times New Roman" w:cs="Times New Roman"/>
          <w:sz w:val="24"/>
          <w:szCs w:val="24"/>
        </w:rPr>
        <w:t xml:space="preserve"> 1.7% </w:t>
      </w:r>
      <w:r w:rsidR="00AC4153">
        <w:rPr>
          <w:rFonts w:ascii="Times New Roman" w:hAnsi="Times New Roman" w:cs="Times New Roman"/>
          <w:sz w:val="24"/>
          <w:szCs w:val="24"/>
        </w:rPr>
        <w:t>(</w:t>
      </w:r>
      <w:r w:rsidRPr="00116FFD">
        <w:rPr>
          <w:rFonts w:ascii="Times New Roman" w:hAnsi="Times New Roman" w:cs="Times New Roman"/>
          <w:sz w:val="24"/>
          <w:szCs w:val="24"/>
        </w:rPr>
        <w:t>2.4% in the West Bank and 0.8% in Gaza Strip</w:t>
      </w:r>
      <w:r w:rsidR="00AC4153">
        <w:rPr>
          <w:rFonts w:ascii="Times New Roman" w:hAnsi="Times New Roman" w:cs="Times New Roman"/>
          <w:sz w:val="24"/>
          <w:szCs w:val="24"/>
        </w:rPr>
        <w:t>)</w:t>
      </w:r>
      <w:r w:rsidRPr="00116FFD">
        <w:rPr>
          <w:rFonts w:ascii="Times New Roman" w:hAnsi="Times New Roman" w:cs="Times New Roman"/>
          <w:sz w:val="24"/>
          <w:szCs w:val="24"/>
        </w:rPr>
        <w:t xml:space="preserve">. </w:t>
      </w:r>
      <w:r w:rsidR="00443DAB" w:rsidRPr="00116FFD">
        <w:rPr>
          <w:rFonts w:ascii="Times New Roman" w:hAnsi="Times New Roman" w:cs="Times New Roman"/>
          <w:sz w:val="24"/>
          <w:szCs w:val="24"/>
        </w:rPr>
        <w:t>T</w:t>
      </w:r>
      <w:r w:rsidRPr="00116FFD">
        <w:rPr>
          <w:rFonts w:ascii="Times New Roman" w:hAnsi="Times New Roman" w:cs="Times New Roman"/>
          <w:sz w:val="24"/>
          <w:szCs w:val="24"/>
        </w:rPr>
        <w:t>h</w:t>
      </w:r>
      <w:r w:rsidR="00443DAB">
        <w:rPr>
          <w:rFonts w:ascii="Times New Roman" w:hAnsi="Times New Roman" w:cs="Times New Roman"/>
          <w:sz w:val="24"/>
          <w:szCs w:val="24"/>
        </w:rPr>
        <w:t xml:space="preserve">is </w:t>
      </w:r>
      <w:r w:rsidRPr="00116FFD">
        <w:rPr>
          <w:rFonts w:ascii="Times New Roman" w:hAnsi="Times New Roman" w:cs="Times New Roman"/>
          <w:sz w:val="24"/>
          <w:szCs w:val="24"/>
        </w:rPr>
        <w:t>percentage was</w:t>
      </w:r>
      <w:r w:rsidR="00443DAB">
        <w:rPr>
          <w:rFonts w:ascii="Times New Roman" w:hAnsi="Times New Roman" w:cs="Times New Roman"/>
          <w:sz w:val="24"/>
          <w:szCs w:val="24"/>
        </w:rPr>
        <w:t xml:space="preserve"> disaggregated by</w:t>
      </w:r>
      <w:r w:rsidRPr="00116FFD">
        <w:rPr>
          <w:rFonts w:ascii="Times New Roman" w:hAnsi="Times New Roman" w:cs="Times New Roman"/>
          <w:sz w:val="24"/>
          <w:szCs w:val="24"/>
        </w:rPr>
        <w:t xml:space="preserve"> 3.3% for males and 0.3% for females in 2016.</w:t>
      </w:r>
    </w:p>
    <w:p w:rsidR="00116FFD" w:rsidRPr="00116FFD" w:rsidRDefault="00116FFD" w:rsidP="00116F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6FFD" w:rsidRPr="00116FFD" w:rsidRDefault="00116FFD" w:rsidP="00443DAB">
      <w:pPr>
        <w:jc w:val="both"/>
        <w:rPr>
          <w:rFonts w:ascii="Times New Roman" w:hAnsi="Times New Roman" w:cs="Times New Roman"/>
          <w:sz w:val="24"/>
          <w:szCs w:val="24"/>
        </w:rPr>
      </w:pPr>
      <w:r w:rsidRPr="00116FFD">
        <w:rPr>
          <w:rFonts w:ascii="Times New Roman" w:hAnsi="Times New Roman" w:cs="Times New Roman"/>
          <w:sz w:val="24"/>
          <w:szCs w:val="24"/>
        </w:rPr>
        <w:t>While the average daily wage for children</w:t>
      </w:r>
      <w:r w:rsidR="00AC4153">
        <w:rPr>
          <w:rFonts w:ascii="Times New Roman" w:hAnsi="Times New Roman" w:cs="Times New Roman"/>
          <w:sz w:val="24"/>
          <w:szCs w:val="24"/>
        </w:rPr>
        <w:t xml:space="preserve"> aged</w:t>
      </w:r>
      <w:r w:rsidRPr="00116FFD">
        <w:rPr>
          <w:rFonts w:ascii="Times New Roman" w:hAnsi="Times New Roman" w:cs="Times New Roman"/>
          <w:sz w:val="24"/>
          <w:szCs w:val="24"/>
        </w:rPr>
        <w:t xml:space="preserve"> 10-17 years working as wage </w:t>
      </w:r>
      <w:r w:rsidR="00192F42">
        <w:rPr>
          <w:rFonts w:ascii="Times New Roman" w:hAnsi="Times New Roman" w:cs="Times New Roman"/>
          <w:sz w:val="24"/>
          <w:szCs w:val="24"/>
        </w:rPr>
        <w:t>employees</w:t>
      </w:r>
      <w:r w:rsidRPr="00116FFD">
        <w:rPr>
          <w:rFonts w:ascii="Times New Roman" w:hAnsi="Times New Roman" w:cs="Times New Roman"/>
          <w:sz w:val="24"/>
          <w:szCs w:val="24"/>
        </w:rPr>
        <w:t xml:space="preserve"> </w:t>
      </w:r>
      <w:r w:rsidR="00192F42">
        <w:rPr>
          <w:rFonts w:ascii="Times New Roman" w:hAnsi="Times New Roman" w:cs="Times New Roman"/>
          <w:sz w:val="24"/>
          <w:szCs w:val="24"/>
        </w:rPr>
        <w:t xml:space="preserve">was </w:t>
      </w:r>
      <w:r w:rsidR="00443DAB">
        <w:rPr>
          <w:rFonts w:ascii="Times New Roman" w:hAnsi="Times New Roman" w:cs="Times New Roman"/>
          <w:sz w:val="24"/>
          <w:szCs w:val="24"/>
        </w:rPr>
        <w:t>56.0</w:t>
      </w:r>
      <w:r w:rsidR="00443DAB" w:rsidRPr="00443DAB">
        <w:rPr>
          <w:rFonts w:ascii="Times New Roman" w:hAnsi="Times New Roman" w:cs="Times New Roman"/>
          <w:sz w:val="24"/>
          <w:szCs w:val="24"/>
        </w:rPr>
        <w:t xml:space="preserve"> </w:t>
      </w:r>
      <w:r w:rsidR="00443DAB">
        <w:rPr>
          <w:rFonts w:ascii="Times New Roman" w:hAnsi="Times New Roman" w:cs="Times New Roman"/>
          <w:sz w:val="24"/>
          <w:szCs w:val="24"/>
        </w:rPr>
        <w:t>New Israeli S</w:t>
      </w:r>
      <w:r w:rsidR="00443DAB" w:rsidRPr="00116FFD">
        <w:rPr>
          <w:rFonts w:ascii="Times New Roman" w:hAnsi="Times New Roman" w:cs="Times New Roman"/>
          <w:sz w:val="24"/>
          <w:szCs w:val="24"/>
        </w:rPr>
        <w:t>hekels</w:t>
      </w:r>
      <w:r w:rsidRPr="00116FFD">
        <w:rPr>
          <w:rFonts w:ascii="Times New Roman" w:hAnsi="Times New Roman" w:cs="Times New Roman"/>
          <w:sz w:val="24"/>
          <w:szCs w:val="24"/>
        </w:rPr>
        <w:t xml:space="preserve">, and the average weekly working hours for </w:t>
      </w:r>
      <w:r w:rsidR="00192F42">
        <w:rPr>
          <w:rFonts w:ascii="Times New Roman" w:hAnsi="Times New Roman" w:cs="Times New Roman"/>
          <w:sz w:val="24"/>
          <w:szCs w:val="24"/>
        </w:rPr>
        <w:t>employed</w:t>
      </w:r>
      <w:r w:rsidRPr="00116FFD">
        <w:rPr>
          <w:rFonts w:ascii="Times New Roman" w:hAnsi="Times New Roman" w:cs="Times New Roman"/>
          <w:sz w:val="24"/>
          <w:szCs w:val="24"/>
        </w:rPr>
        <w:t xml:space="preserve"> children </w:t>
      </w:r>
      <w:r w:rsidR="00192F42">
        <w:rPr>
          <w:rFonts w:ascii="Times New Roman" w:hAnsi="Times New Roman" w:cs="Times New Roman"/>
          <w:sz w:val="24"/>
          <w:szCs w:val="24"/>
        </w:rPr>
        <w:t xml:space="preserve">was </w:t>
      </w:r>
      <w:r w:rsidRPr="00116FFD">
        <w:rPr>
          <w:rFonts w:ascii="Times New Roman" w:hAnsi="Times New Roman" w:cs="Times New Roman"/>
          <w:sz w:val="24"/>
          <w:szCs w:val="24"/>
        </w:rPr>
        <w:t>44.0 hours per week during the year 2016.</w:t>
      </w:r>
    </w:p>
    <w:p w:rsidR="00116FFD" w:rsidRPr="00116FFD" w:rsidRDefault="00116FFD" w:rsidP="00116FF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6FFD" w:rsidRPr="00116FFD" w:rsidRDefault="00192F42" w:rsidP="004A0A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116FFD">
        <w:rPr>
          <w:rFonts w:ascii="Times New Roman" w:hAnsi="Times New Roman" w:cs="Times New Roman"/>
          <w:b/>
          <w:bCs/>
          <w:sz w:val="24"/>
          <w:szCs w:val="24"/>
        </w:rPr>
        <w:t>ropout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from</w:t>
      </w:r>
      <w:r w:rsidRPr="00116F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6FFD" w:rsidRPr="00116FFD">
        <w:rPr>
          <w:rFonts w:ascii="Times New Roman" w:hAnsi="Times New Roman" w:cs="Times New Roman"/>
          <w:b/>
          <w:bCs/>
          <w:sz w:val="24"/>
          <w:szCs w:val="24"/>
        </w:rPr>
        <w:t>School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116FFD" w:rsidRPr="00116F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among </w:t>
      </w:r>
      <w:r w:rsidR="004A0A78">
        <w:rPr>
          <w:rFonts w:ascii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ale </w:t>
      </w:r>
      <w:r w:rsidR="004A0A78">
        <w:rPr>
          <w:rFonts w:ascii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>hildren</w:t>
      </w:r>
      <w:r w:rsidR="00116FFD" w:rsidRPr="00116F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0A78">
        <w:rPr>
          <w:rFonts w:ascii="Times New Roman" w:hAnsi="Times New Roman" w:cs="Times New Roman"/>
          <w:b/>
          <w:bCs/>
          <w:sz w:val="24"/>
          <w:szCs w:val="24"/>
        </w:rPr>
        <w:t>is</w:t>
      </w:r>
      <w:r w:rsidR="00116FFD" w:rsidRPr="00116F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0A78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116FFD" w:rsidRPr="00116FFD">
        <w:rPr>
          <w:rFonts w:ascii="Times New Roman" w:hAnsi="Times New Roman" w:cs="Times New Roman"/>
          <w:b/>
          <w:bCs/>
          <w:sz w:val="24"/>
          <w:szCs w:val="24"/>
        </w:rPr>
        <w:t xml:space="preserve">igher than among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4A0A78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116FFD" w:rsidRPr="00116FFD">
        <w:rPr>
          <w:rFonts w:ascii="Times New Roman" w:hAnsi="Times New Roman" w:cs="Times New Roman"/>
          <w:b/>
          <w:bCs/>
          <w:sz w:val="24"/>
          <w:szCs w:val="24"/>
        </w:rPr>
        <w:t>emales</w:t>
      </w:r>
    </w:p>
    <w:p w:rsidR="00116FFD" w:rsidRPr="00116FFD" w:rsidRDefault="00116FFD" w:rsidP="00BB64D3">
      <w:pPr>
        <w:jc w:val="both"/>
        <w:rPr>
          <w:rFonts w:ascii="Times New Roman" w:hAnsi="Times New Roman" w:cs="Times New Roman"/>
          <w:sz w:val="24"/>
          <w:szCs w:val="24"/>
        </w:rPr>
      </w:pPr>
      <w:r w:rsidRPr="00116FFD">
        <w:rPr>
          <w:rFonts w:ascii="Times New Roman" w:hAnsi="Times New Roman" w:cs="Times New Roman"/>
          <w:sz w:val="24"/>
          <w:szCs w:val="24"/>
        </w:rPr>
        <w:t xml:space="preserve">The number of school students in the </w:t>
      </w:r>
      <w:r w:rsidR="00192F42">
        <w:rPr>
          <w:rFonts w:ascii="Times New Roman" w:hAnsi="Times New Roman" w:cs="Times New Roman"/>
          <w:sz w:val="24"/>
          <w:szCs w:val="24"/>
        </w:rPr>
        <w:t>scholastic</w:t>
      </w:r>
      <w:r w:rsidR="00BB64D3">
        <w:rPr>
          <w:rFonts w:ascii="Times New Roman" w:hAnsi="Times New Roman" w:cs="Times New Roman"/>
          <w:sz w:val="24"/>
          <w:szCs w:val="24"/>
        </w:rPr>
        <w:t xml:space="preserve"> year 2016/2017 in </w:t>
      </w:r>
      <w:r w:rsidRPr="00116FFD">
        <w:rPr>
          <w:rFonts w:ascii="Times New Roman" w:hAnsi="Times New Roman" w:cs="Times New Roman"/>
          <w:sz w:val="24"/>
          <w:szCs w:val="24"/>
        </w:rPr>
        <w:t xml:space="preserve">Palestine </w:t>
      </w:r>
      <w:r w:rsidR="00192F42">
        <w:rPr>
          <w:rFonts w:ascii="Times New Roman" w:hAnsi="Times New Roman" w:cs="Times New Roman"/>
          <w:sz w:val="24"/>
          <w:szCs w:val="24"/>
        </w:rPr>
        <w:t xml:space="preserve">reached </w:t>
      </w:r>
      <w:r w:rsidRPr="00116FFD">
        <w:rPr>
          <w:rFonts w:ascii="Times New Roman" w:hAnsi="Times New Roman" w:cs="Times New Roman"/>
          <w:sz w:val="24"/>
          <w:szCs w:val="24"/>
        </w:rPr>
        <w:t xml:space="preserve">about 1.23 million students, including about 1.09 million students in the </w:t>
      </w:r>
      <w:r w:rsidR="00192F42">
        <w:rPr>
          <w:rFonts w:ascii="Times New Roman" w:hAnsi="Times New Roman" w:cs="Times New Roman"/>
          <w:sz w:val="24"/>
          <w:szCs w:val="24"/>
        </w:rPr>
        <w:t>basic</w:t>
      </w:r>
      <w:r w:rsidRPr="00116FFD">
        <w:rPr>
          <w:rFonts w:ascii="Times New Roman" w:hAnsi="Times New Roman" w:cs="Times New Roman"/>
          <w:sz w:val="24"/>
          <w:szCs w:val="24"/>
        </w:rPr>
        <w:t xml:space="preserve"> </w:t>
      </w:r>
      <w:r w:rsidR="00192F42">
        <w:rPr>
          <w:rFonts w:ascii="Times New Roman" w:hAnsi="Times New Roman" w:cs="Times New Roman"/>
          <w:sz w:val="24"/>
          <w:szCs w:val="24"/>
        </w:rPr>
        <w:t>schools</w:t>
      </w:r>
      <w:r w:rsidRPr="00116FFD">
        <w:rPr>
          <w:rFonts w:ascii="Times New Roman" w:hAnsi="Times New Roman" w:cs="Times New Roman"/>
          <w:sz w:val="24"/>
          <w:szCs w:val="24"/>
        </w:rPr>
        <w:t xml:space="preserve"> and 145 thousand students in secondary school</w:t>
      </w:r>
      <w:r w:rsidR="00BB64D3">
        <w:rPr>
          <w:rFonts w:ascii="Times New Roman" w:hAnsi="Times New Roman" w:cs="Times New Roman"/>
          <w:sz w:val="24"/>
          <w:szCs w:val="24"/>
        </w:rPr>
        <w:t>s</w:t>
      </w:r>
      <w:r w:rsidRPr="00116FFD">
        <w:rPr>
          <w:rFonts w:ascii="Times New Roman" w:hAnsi="Times New Roman" w:cs="Times New Roman"/>
          <w:sz w:val="24"/>
          <w:szCs w:val="24"/>
        </w:rPr>
        <w:t xml:space="preserve">. While the number of children enrolled in kindergartens in the West Bank </w:t>
      </w:r>
      <w:r w:rsidR="00192F42">
        <w:rPr>
          <w:rFonts w:ascii="Times New Roman" w:hAnsi="Times New Roman" w:cs="Times New Roman"/>
          <w:sz w:val="24"/>
          <w:szCs w:val="24"/>
        </w:rPr>
        <w:t>for</w:t>
      </w:r>
      <w:r w:rsidRPr="00116FFD">
        <w:rPr>
          <w:rFonts w:ascii="Times New Roman" w:hAnsi="Times New Roman" w:cs="Times New Roman"/>
          <w:sz w:val="24"/>
          <w:szCs w:val="24"/>
        </w:rPr>
        <w:t xml:space="preserve"> the same scho</w:t>
      </w:r>
      <w:r w:rsidR="00192F42">
        <w:rPr>
          <w:rFonts w:ascii="Times New Roman" w:hAnsi="Times New Roman" w:cs="Times New Roman"/>
          <w:sz w:val="24"/>
          <w:szCs w:val="24"/>
        </w:rPr>
        <w:t>lastic</w:t>
      </w:r>
      <w:r w:rsidRPr="00116FFD">
        <w:rPr>
          <w:rFonts w:ascii="Times New Roman" w:hAnsi="Times New Roman" w:cs="Times New Roman"/>
          <w:sz w:val="24"/>
          <w:szCs w:val="24"/>
        </w:rPr>
        <w:t xml:space="preserve"> year </w:t>
      </w:r>
      <w:r w:rsidR="00192F42">
        <w:rPr>
          <w:rFonts w:ascii="Times New Roman" w:hAnsi="Times New Roman" w:cs="Times New Roman"/>
          <w:sz w:val="24"/>
          <w:szCs w:val="24"/>
        </w:rPr>
        <w:t xml:space="preserve">reached </w:t>
      </w:r>
      <w:r w:rsidRPr="00116FFD">
        <w:rPr>
          <w:rFonts w:ascii="Times New Roman" w:hAnsi="Times New Roman" w:cs="Times New Roman"/>
          <w:sz w:val="24"/>
          <w:szCs w:val="24"/>
        </w:rPr>
        <w:t>about 80 thousand children.</w:t>
      </w:r>
    </w:p>
    <w:p w:rsidR="00116FFD" w:rsidRPr="00116FFD" w:rsidRDefault="00116FFD" w:rsidP="00116F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6FFD" w:rsidRPr="00116FFD" w:rsidRDefault="00116FFD" w:rsidP="00BB64D3">
      <w:pPr>
        <w:jc w:val="both"/>
        <w:rPr>
          <w:rFonts w:ascii="Times New Roman" w:hAnsi="Times New Roman" w:cs="Times New Roman"/>
          <w:sz w:val="24"/>
          <w:szCs w:val="24"/>
        </w:rPr>
      </w:pPr>
      <w:r w:rsidRPr="00116FFD">
        <w:rPr>
          <w:rFonts w:ascii="Times New Roman" w:hAnsi="Times New Roman" w:cs="Times New Roman"/>
          <w:sz w:val="24"/>
          <w:szCs w:val="24"/>
        </w:rPr>
        <w:t xml:space="preserve">In the </w:t>
      </w:r>
      <w:r w:rsidR="00192F42" w:rsidRPr="00116FFD">
        <w:rPr>
          <w:rFonts w:ascii="Times New Roman" w:hAnsi="Times New Roman" w:cs="Times New Roman"/>
          <w:sz w:val="24"/>
          <w:szCs w:val="24"/>
        </w:rPr>
        <w:t>scho</w:t>
      </w:r>
      <w:r w:rsidR="00192F42">
        <w:rPr>
          <w:rFonts w:ascii="Times New Roman" w:hAnsi="Times New Roman" w:cs="Times New Roman"/>
          <w:sz w:val="24"/>
          <w:szCs w:val="24"/>
        </w:rPr>
        <w:t>lastic</w:t>
      </w:r>
      <w:r w:rsidR="00192F42" w:rsidRPr="00116FFD">
        <w:rPr>
          <w:rFonts w:ascii="Times New Roman" w:hAnsi="Times New Roman" w:cs="Times New Roman"/>
          <w:sz w:val="24"/>
          <w:szCs w:val="24"/>
        </w:rPr>
        <w:t xml:space="preserve"> year </w:t>
      </w:r>
      <w:r w:rsidRPr="00116FFD">
        <w:rPr>
          <w:rFonts w:ascii="Times New Roman" w:hAnsi="Times New Roman" w:cs="Times New Roman"/>
          <w:sz w:val="24"/>
          <w:szCs w:val="24"/>
        </w:rPr>
        <w:t>2015</w:t>
      </w:r>
      <w:r w:rsidR="00BB64D3">
        <w:rPr>
          <w:rFonts w:ascii="Times New Roman" w:hAnsi="Times New Roman" w:cs="Times New Roman"/>
          <w:sz w:val="24"/>
          <w:szCs w:val="24"/>
        </w:rPr>
        <w:t>/</w:t>
      </w:r>
      <w:r w:rsidRPr="00116FFD">
        <w:rPr>
          <w:rFonts w:ascii="Times New Roman" w:hAnsi="Times New Roman" w:cs="Times New Roman"/>
          <w:sz w:val="24"/>
          <w:szCs w:val="24"/>
        </w:rPr>
        <w:t xml:space="preserve">2016, the dropout </w:t>
      </w:r>
      <w:r w:rsidR="002813E0" w:rsidRPr="00116FFD">
        <w:rPr>
          <w:rFonts w:ascii="Times New Roman" w:hAnsi="Times New Roman" w:cs="Times New Roman"/>
          <w:sz w:val="24"/>
          <w:szCs w:val="24"/>
        </w:rPr>
        <w:t xml:space="preserve">rate </w:t>
      </w:r>
      <w:r w:rsidR="00192F42">
        <w:rPr>
          <w:rFonts w:ascii="Times New Roman" w:hAnsi="Times New Roman" w:cs="Times New Roman"/>
          <w:sz w:val="24"/>
          <w:szCs w:val="24"/>
        </w:rPr>
        <w:t xml:space="preserve">from basic </w:t>
      </w:r>
      <w:r w:rsidR="00BB64D3" w:rsidRPr="00116FFD">
        <w:rPr>
          <w:rFonts w:ascii="Times New Roman" w:hAnsi="Times New Roman" w:cs="Times New Roman"/>
          <w:sz w:val="24"/>
          <w:szCs w:val="24"/>
        </w:rPr>
        <w:t xml:space="preserve">education stage </w:t>
      </w:r>
      <w:r w:rsidRPr="00116FFD">
        <w:rPr>
          <w:rFonts w:ascii="Times New Roman" w:hAnsi="Times New Roman" w:cs="Times New Roman"/>
          <w:sz w:val="24"/>
          <w:szCs w:val="24"/>
        </w:rPr>
        <w:t>was</w:t>
      </w:r>
      <w:r w:rsidR="00192F42">
        <w:rPr>
          <w:rFonts w:ascii="Times New Roman" w:hAnsi="Times New Roman" w:cs="Times New Roman"/>
          <w:sz w:val="24"/>
          <w:szCs w:val="24"/>
        </w:rPr>
        <w:t xml:space="preserve"> about</w:t>
      </w:r>
      <w:r w:rsidRPr="00116FFD">
        <w:rPr>
          <w:rFonts w:ascii="Times New Roman" w:hAnsi="Times New Roman" w:cs="Times New Roman"/>
          <w:sz w:val="24"/>
          <w:szCs w:val="24"/>
        </w:rPr>
        <w:t xml:space="preserve"> 1.2% among males and 0.7% among females. </w:t>
      </w:r>
      <w:r w:rsidR="002813E0">
        <w:rPr>
          <w:rFonts w:ascii="Times New Roman" w:hAnsi="Times New Roman" w:cs="Times New Roman"/>
          <w:sz w:val="24"/>
          <w:szCs w:val="24"/>
        </w:rPr>
        <w:t xml:space="preserve">While the </w:t>
      </w:r>
      <w:r w:rsidR="002813E0" w:rsidRPr="00116FFD">
        <w:rPr>
          <w:rFonts w:ascii="Times New Roman" w:hAnsi="Times New Roman" w:cs="Times New Roman"/>
          <w:sz w:val="24"/>
          <w:szCs w:val="24"/>
        </w:rPr>
        <w:t>dropout</w:t>
      </w:r>
      <w:r w:rsidR="002813E0">
        <w:rPr>
          <w:rFonts w:ascii="Times New Roman" w:hAnsi="Times New Roman" w:cs="Times New Roman"/>
          <w:sz w:val="24"/>
          <w:szCs w:val="24"/>
        </w:rPr>
        <w:t xml:space="preserve"> rate from</w:t>
      </w:r>
      <w:r w:rsidRPr="00116FFD">
        <w:rPr>
          <w:rFonts w:ascii="Times New Roman" w:hAnsi="Times New Roman" w:cs="Times New Roman"/>
          <w:sz w:val="24"/>
          <w:szCs w:val="24"/>
        </w:rPr>
        <w:t xml:space="preserve"> secondary </w:t>
      </w:r>
      <w:r w:rsidR="00BB64D3" w:rsidRPr="00116FFD">
        <w:rPr>
          <w:rFonts w:ascii="Times New Roman" w:hAnsi="Times New Roman" w:cs="Times New Roman"/>
          <w:sz w:val="24"/>
          <w:szCs w:val="24"/>
        </w:rPr>
        <w:t xml:space="preserve">education stage </w:t>
      </w:r>
      <w:r w:rsidR="002813E0">
        <w:rPr>
          <w:rFonts w:ascii="Times New Roman" w:hAnsi="Times New Roman" w:cs="Times New Roman"/>
          <w:sz w:val="24"/>
          <w:szCs w:val="24"/>
        </w:rPr>
        <w:t xml:space="preserve">reached about </w:t>
      </w:r>
      <w:r w:rsidRPr="00116FFD">
        <w:rPr>
          <w:rFonts w:ascii="Times New Roman" w:hAnsi="Times New Roman" w:cs="Times New Roman"/>
          <w:sz w:val="24"/>
          <w:szCs w:val="24"/>
        </w:rPr>
        <w:t>1.3% among males and 1.1% among females.</w:t>
      </w:r>
    </w:p>
    <w:p w:rsidR="00116FFD" w:rsidRPr="00116FFD" w:rsidRDefault="00116FFD" w:rsidP="00116F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6FFD" w:rsidRPr="00116FFD" w:rsidRDefault="00116FFD" w:rsidP="00BB64D3">
      <w:pPr>
        <w:jc w:val="both"/>
        <w:rPr>
          <w:rFonts w:ascii="Times New Roman" w:hAnsi="Times New Roman" w:cs="Times New Roman"/>
          <w:sz w:val="24"/>
          <w:szCs w:val="24"/>
        </w:rPr>
      </w:pPr>
      <w:r w:rsidRPr="00116FFD">
        <w:rPr>
          <w:rFonts w:ascii="Times New Roman" w:hAnsi="Times New Roman" w:cs="Times New Roman"/>
          <w:sz w:val="24"/>
          <w:szCs w:val="24"/>
        </w:rPr>
        <w:t xml:space="preserve">In terms of </w:t>
      </w:r>
      <w:r w:rsidR="00BB64D3">
        <w:rPr>
          <w:rFonts w:ascii="Times New Roman" w:hAnsi="Times New Roman" w:cs="Times New Roman"/>
          <w:sz w:val="24"/>
          <w:szCs w:val="24"/>
        </w:rPr>
        <w:t>r</w:t>
      </w:r>
      <w:r w:rsidR="00BB64D3" w:rsidRPr="00BB64D3">
        <w:rPr>
          <w:rFonts w:ascii="Times New Roman" w:hAnsi="Times New Roman" w:cs="Times New Roman"/>
          <w:sz w:val="24"/>
          <w:szCs w:val="24"/>
        </w:rPr>
        <w:t xml:space="preserve">epetition </w:t>
      </w:r>
      <w:r w:rsidR="002813E0" w:rsidRPr="002813E0">
        <w:rPr>
          <w:rFonts w:ascii="Times New Roman" w:hAnsi="Times New Roman" w:cs="Times New Roman"/>
          <w:sz w:val="24"/>
          <w:szCs w:val="24"/>
        </w:rPr>
        <w:t>at school</w:t>
      </w:r>
      <w:r w:rsidR="00BB64D3">
        <w:rPr>
          <w:rFonts w:ascii="Times New Roman" w:hAnsi="Times New Roman" w:cs="Times New Roman"/>
          <w:sz w:val="24"/>
          <w:szCs w:val="24"/>
        </w:rPr>
        <w:t>s</w:t>
      </w:r>
      <w:r w:rsidRPr="00116FFD">
        <w:rPr>
          <w:rFonts w:ascii="Times New Roman" w:hAnsi="Times New Roman" w:cs="Times New Roman"/>
          <w:sz w:val="24"/>
          <w:szCs w:val="24"/>
        </w:rPr>
        <w:t xml:space="preserve">, the percentage of </w:t>
      </w:r>
      <w:r w:rsidR="00BB64D3">
        <w:rPr>
          <w:rFonts w:ascii="Times New Roman" w:hAnsi="Times New Roman" w:cs="Times New Roman"/>
          <w:sz w:val="24"/>
          <w:szCs w:val="24"/>
        </w:rPr>
        <w:t>r</w:t>
      </w:r>
      <w:r w:rsidR="00BB64D3" w:rsidRPr="00BB64D3">
        <w:rPr>
          <w:rFonts w:ascii="Times New Roman" w:hAnsi="Times New Roman" w:cs="Times New Roman"/>
          <w:sz w:val="24"/>
          <w:szCs w:val="24"/>
        </w:rPr>
        <w:t xml:space="preserve">epetition </w:t>
      </w:r>
      <w:r w:rsidRPr="00116FFD">
        <w:rPr>
          <w:rFonts w:ascii="Times New Roman" w:hAnsi="Times New Roman" w:cs="Times New Roman"/>
          <w:sz w:val="24"/>
          <w:szCs w:val="24"/>
        </w:rPr>
        <w:t>was 1.2% for males and females in basic education stage in</w:t>
      </w:r>
      <w:r w:rsidR="002813E0">
        <w:rPr>
          <w:rFonts w:ascii="Times New Roman" w:hAnsi="Times New Roman" w:cs="Times New Roman"/>
          <w:sz w:val="24"/>
          <w:szCs w:val="24"/>
        </w:rPr>
        <w:t xml:space="preserve"> the scholastic year</w:t>
      </w:r>
      <w:r w:rsidRPr="00116FFD">
        <w:rPr>
          <w:rFonts w:ascii="Times New Roman" w:hAnsi="Times New Roman" w:cs="Times New Roman"/>
          <w:sz w:val="24"/>
          <w:szCs w:val="24"/>
        </w:rPr>
        <w:t xml:space="preserve"> 2015/2016. </w:t>
      </w:r>
      <w:r w:rsidR="002813E0">
        <w:rPr>
          <w:rFonts w:ascii="Times New Roman" w:hAnsi="Times New Roman" w:cs="Times New Roman"/>
          <w:sz w:val="24"/>
          <w:szCs w:val="24"/>
        </w:rPr>
        <w:t>While t</w:t>
      </w:r>
      <w:r w:rsidRPr="00116FFD">
        <w:rPr>
          <w:rFonts w:ascii="Times New Roman" w:hAnsi="Times New Roman" w:cs="Times New Roman"/>
          <w:sz w:val="24"/>
          <w:szCs w:val="24"/>
        </w:rPr>
        <w:t xml:space="preserve">he percentage of </w:t>
      </w:r>
      <w:r w:rsidR="00BB64D3">
        <w:rPr>
          <w:rFonts w:ascii="Times New Roman" w:hAnsi="Times New Roman" w:cs="Times New Roman"/>
          <w:sz w:val="24"/>
          <w:szCs w:val="24"/>
        </w:rPr>
        <w:t>r</w:t>
      </w:r>
      <w:r w:rsidR="00BB64D3" w:rsidRPr="00BB64D3">
        <w:rPr>
          <w:rFonts w:ascii="Times New Roman" w:hAnsi="Times New Roman" w:cs="Times New Roman"/>
          <w:sz w:val="24"/>
          <w:szCs w:val="24"/>
        </w:rPr>
        <w:t xml:space="preserve">epetition </w:t>
      </w:r>
      <w:r w:rsidRPr="00116FFD">
        <w:rPr>
          <w:rFonts w:ascii="Times New Roman" w:hAnsi="Times New Roman" w:cs="Times New Roman"/>
          <w:sz w:val="24"/>
          <w:szCs w:val="24"/>
        </w:rPr>
        <w:t>in secondary education was 0.6% for males compared to 0.7% for females in the same scho</w:t>
      </w:r>
      <w:r w:rsidR="002813E0">
        <w:rPr>
          <w:rFonts w:ascii="Times New Roman" w:hAnsi="Times New Roman" w:cs="Times New Roman"/>
          <w:sz w:val="24"/>
          <w:szCs w:val="24"/>
        </w:rPr>
        <w:t>lastic</w:t>
      </w:r>
      <w:r w:rsidRPr="00116FFD">
        <w:rPr>
          <w:rFonts w:ascii="Times New Roman" w:hAnsi="Times New Roman" w:cs="Times New Roman"/>
          <w:sz w:val="24"/>
          <w:szCs w:val="24"/>
        </w:rPr>
        <w:t xml:space="preserve"> year.</w:t>
      </w:r>
    </w:p>
    <w:p w:rsidR="00116FFD" w:rsidRPr="00116FFD" w:rsidRDefault="00116FFD" w:rsidP="00116FF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FFD">
        <w:rPr>
          <w:rFonts w:ascii="Times New Roman" w:hAnsi="Times New Roman" w:cs="Times New Roman"/>
          <w:b/>
          <w:bCs/>
          <w:sz w:val="24"/>
          <w:szCs w:val="24"/>
        </w:rPr>
        <w:t>Data Sources:</w:t>
      </w:r>
    </w:p>
    <w:p w:rsidR="00116FFD" w:rsidRPr="00116FFD" w:rsidRDefault="00116FFD" w:rsidP="00116FFD">
      <w:pPr>
        <w:jc w:val="both"/>
        <w:rPr>
          <w:rFonts w:ascii="Times New Roman" w:hAnsi="Times New Roman" w:cs="Times New Roman"/>
          <w:sz w:val="24"/>
          <w:szCs w:val="24"/>
        </w:rPr>
      </w:pPr>
      <w:r w:rsidRPr="00116FFD">
        <w:rPr>
          <w:rFonts w:ascii="Times New Roman" w:hAnsi="Times New Roman" w:cs="Times New Roman"/>
          <w:sz w:val="24"/>
          <w:szCs w:val="24"/>
        </w:rPr>
        <w:t>1. Palestinian Central Bureau of Statistics, 2017</w:t>
      </w:r>
    </w:p>
    <w:p w:rsidR="00116FFD" w:rsidRPr="00116FFD" w:rsidRDefault="00116FFD" w:rsidP="00116FFD">
      <w:pPr>
        <w:jc w:val="both"/>
        <w:rPr>
          <w:rFonts w:ascii="Times New Roman" w:hAnsi="Times New Roman" w:cs="Times New Roman"/>
          <w:sz w:val="24"/>
          <w:szCs w:val="24"/>
        </w:rPr>
      </w:pPr>
      <w:r w:rsidRPr="00116FFD">
        <w:rPr>
          <w:rFonts w:ascii="Times New Roman" w:hAnsi="Times New Roman" w:cs="Times New Roman"/>
          <w:sz w:val="24"/>
          <w:szCs w:val="24"/>
        </w:rPr>
        <w:t>2. International Movement for the Defense of Children in Palestine, 2017</w:t>
      </w:r>
    </w:p>
    <w:p w:rsidR="00116FFD" w:rsidRPr="00116FFD" w:rsidRDefault="00116FFD" w:rsidP="00116FFD">
      <w:pPr>
        <w:jc w:val="both"/>
        <w:rPr>
          <w:rFonts w:ascii="Times New Roman" w:hAnsi="Times New Roman" w:cs="Times New Roman"/>
          <w:sz w:val="24"/>
          <w:szCs w:val="24"/>
        </w:rPr>
      </w:pPr>
      <w:r w:rsidRPr="00116FFD">
        <w:rPr>
          <w:rFonts w:ascii="Times New Roman" w:hAnsi="Times New Roman" w:cs="Times New Roman"/>
          <w:sz w:val="24"/>
          <w:szCs w:val="24"/>
        </w:rPr>
        <w:t>3. Abdullah Al-Hourani Center for Studies and Documentation, 2017</w:t>
      </w:r>
    </w:p>
    <w:p w:rsidR="00D93140" w:rsidRPr="004A0A78" w:rsidRDefault="00116FFD" w:rsidP="004A0A78">
      <w:pPr>
        <w:jc w:val="both"/>
        <w:rPr>
          <w:rFonts w:ascii="Times New Roman" w:hAnsi="Times New Roman" w:cs="Times New Roman"/>
          <w:sz w:val="24"/>
          <w:szCs w:val="24"/>
        </w:rPr>
      </w:pPr>
      <w:r w:rsidRPr="00116FFD">
        <w:rPr>
          <w:rFonts w:ascii="Times New Roman" w:hAnsi="Times New Roman" w:cs="Times New Roman"/>
          <w:sz w:val="24"/>
          <w:szCs w:val="24"/>
        </w:rPr>
        <w:t xml:space="preserve">4. </w:t>
      </w:r>
      <w:r w:rsidR="004A0A78">
        <w:rPr>
          <w:rFonts w:ascii="Times New Roman" w:hAnsi="Times New Roman" w:cs="Times New Roman"/>
          <w:sz w:val="24"/>
          <w:szCs w:val="24"/>
        </w:rPr>
        <w:t>Commission of Detainees and Ex-Detainees</w:t>
      </w:r>
      <w:r w:rsidRPr="00116FFD">
        <w:rPr>
          <w:rFonts w:ascii="Times New Roman" w:hAnsi="Times New Roman" w:cs="Times New Roman"/>
          <w:sz w:val="24"/>
          <w:szCs w:val="24"/>
        </w:rPr>
        <w:t xml:space="preserve"> Affairs, 2017</w:t>
      </w:r>
    </w:p>
    <w:sectPr w:rsidR="00D93140" w:rsidRPr="004A0A78" w:rsidSect="00991F18">
      <w:headerReference w:type="default" r:id="rId7"/>
      <w:footerReference w:type="even" r:id="rId8"/>
      <w:footerReference w:type="default" r:id="rId9"/>
      <w:pgSz w:w="11900" w:h="16840" w:code="9"/>
      <w:pgMar w:top="2268" w:right="1134" w:bottom="1701" w:left="1134" w:header="709" w:footer="737" w:gutter="0"/>
      <w:cols w:space="79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DD9" w:rsidRDefault="00E84DD9" w:rsidP="0089530C">
      <w:r>
        <w:separator/>
      </w:r>
    </w:p>
  </w:endnote>
  <w:endnote w:type="continuationSeparator" w:id="0">
    <w:p w:rsidR="00E84DD9" w:rsidRDefault="00E84DD9" w:rsidP="00895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dobeArabic-Regular">
    <w:charset w:val="00"/>
    <w:family w:val="auto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55C" w:rsidRDefault="00E20777" w:rsidP="003B4A35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0755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0755C" w:rsidRDefault="00E20777" w:rsidP="003B4A35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 w:rsidR="0020755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0755C" w:rsidRDefault="0020755C" w:rsidP="0020755C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55C" w:rsidRDefault="00E20777" w:rsidP="0020755C">
    <w:pPr>
      <w:pStyle w:val="Footer"/>
      <w:framePr w:wrap="none" w:vAnchor="text" w:hAnchor="page" w:x="5902" w:y="391"/>
      <w:rPr>
        <w:rStyle w:val="PageNumber"/>
      </w:rPr>
    </w:pPr>
    <w:r>
      <w:rPr>
        <w:rStyle w:val="PageNumber"/>
      </w:rPr>
      <w:fldChar w:fldCharType="begin"/>
    </w:r>
    <w:r w:rsidR="0020755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3039">
      <w:rPr>
        <w:rStyle w:val="PageNumber"/>
        <w:noProof/>
      </w:rPr>
      <w:t>2</w:t>
    </w:r>
    <w:r>
      <w:rPr>
        <w:rStyle w:val="PageNumber"/>
      </w:rPr>
      <w:fldChar w:fldCharType="end"/>
    </w:r>
  </w:p>
  <w:p w:rsidR="00E76D45" w:rsidRDefault="001B292F" w:rsidP="0020755C">
    <w:pPr>
      <w:pStyle w:val="Footer"/>
      <w:ind w:firstLine="360"/>
    </w:pP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-571500</wp:posOffset>
          </wp:positionV>
          <wp:extent cx="7572375" cy="1076325"/>
          <wp:effectExtent l="1905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 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DD9" w:rsidRDefault="00E84DD9" w:rsidP="0089530C">
      <w:r>
        <w:separator/>
      </w:r>
    </w:p>
  </w:footnote>
  <w:footnote w:type="continuationSeparator" w:id="0">
    <w:p w:rsidR="00E84DD9" w:rsidRDefault="00E84DD9" w:rsidP="008953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1C5" w:rsidRDefault="007D73EA" w:rsidP="00C14BC7">
    <w:pPr>
      <w:pStyle w:val="Header"/>
      <w:tabs>
        <w:tab w:val="clear" w:pos="4680"/>
        <w:tab w:val="clear" w:pos="9360"/>
        <w:tab w:val="left" w:pos="6074"/>
      </w:tabs>
    </w:pP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-767715</wp:posOffset>
          </wp:positionH>
          <wp:positionV relativeFrom="paragraph">
            <wp:posOffset>-335915</wp:posOffset>
          </wp:positionV>
          <wp:extent cx="7648575" cy="1485900"/>
          <wp:effectExtent l="1905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CBS+Census Header 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8575" cy="148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0777">
      <w:rPr>
        <w:noProof/>
      </w:rPr>
      <w:pict>
        <v:rect id="Rectangle 1" o:spid="_x0000_s2049" style="position:absolute;margin-left:398pt;margin-top:-26.25pt;width:83.35pt;height:116.75pt;z-index:251660288;visibility:visible;mso-position-horizontal-relative:text;mso-position-vertical-relative:text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" filled="f" stroked="f" strokeweight="1pt">
          <w10:wrap type="square"/>
        </v:rect>
      </w:pict>
    </w:r>
    <w:r w:rsidR="00C14BC7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86F9A"/>
    <w:multiLevelType w:val="hybridMultilevel"/>
    <w:tmpl w:val="584489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9530C"/>
    <w:rsid w:val="000F2B27"/>
    <w:rsid w:val="00110ECA"/>
    <w:rsid w:val="00116FFD"/>
    <w:rsid w:val="0018441C"/>
    <w:rsid w:val="00192F42"/>
    <w:rsid w:val="00195F2D"/>
    <w:rsid w:val="001B292F"/>
    <w:rsid w:val="001D36DE"/>
    <w:rsid w:val="0020755C"/>
    <w:rsid w:val="00240A97"/>
    <w:rsid w:val="002813E0"/>
    <w:rsid w:val="002D1F97"/>
    <w:rsid w:val="003169B5"/>
    <w:rsid w:val="003261C5"/>
    <w:rsid w:val="00363039"/>
    <w:rsid w:val="003C749E"/>
    <w:rsid w:val="00443DAB"/>
    <w:rsid w:val="004530FD"/>
    <w:rsid w:val="004A0A78"/>
    <w:rsid w:val="004A1A26"/>
    <w:rsid w:val="004C3543"/>
    <w:rsid w:val="00516C24"/>
    <w:rsid w:val="005322A0"/>
    <w:rsid w:val="00547477"/>
    <w:rsid w:val="00554851"/>
    <w:rsid w:val="005D6762"/>
    <w:rsid w:val="005F6AD2"/>
    <w:rsid w:val="00617C43"/>
    <w:rsid w:val="006957CF"/>
    <w:rsid w:val="0070790E"/>
    <w:rsid w:val="00723FD2"/>
    <w:rsid w:val="007626D3"/>
    <w:rsid w:val="007D73EA"/>
    <w:rsid w:val="00816FF4"/>
    <w:rsid w:val="008739C6"/>
    <w:rsid w:val="0089530C"/>
    <w:rsid w:val="008B3E71"/>
    <w:rsid w:val="008C5746"/>
    <w:rsid w:val="00991F18"/>
    <w:rsid w:val="009B2B6C"/>
    <w:rsid w:val="009E38F5"/>
    <w:rsid w:val="009F090A"/>
    <w:rsid w:val="00A41F6C"/>
    <w:rsid w:val="00AC1324"/>
    <w:rsid w:val="00AC33DC"/>
    <w:rsid w:val="00AC4153"/>
    <w:rsid w:val="00AD268D"/>
    <w:rsid w:val="00AF7269"/>
    <w:rsid w:val="00BB64D3"/>
    <w:rsid w:val="00C07884"/>
    <w:rsid w:val="00C14BC7"/>
    <w:rsid w:val="00CA0566"/>
    <w:rsid w:val="00CC79C0"/>
    <w:rsid w:val="00CD1E22"/>
    <w:rsid w:val="00CF3357"/>
    <w:rsid w:val="00D1402A"/>
    <w:rsid w:val="00D93140"/>
    <w:rsid w:val="00E20777"/>
    <w:rsid w:val="00E316C4"/>
    <w:rsid w:val="00E3667A"/>
    <w:rsid w:val="00E56271"/>
    <w:rsid w:val="00E76D45"/>
    <w:rsid w:val="00E8119C"/>
    <w:rsid w:val="00E84DD9"/>
    <w:rsid w:val="00F57C7B"/>
    <w:rsid w:val="00FA2CE0"/>
    <w:rsid w:val="00FC33A0"/>
    <w:rsid w:val="00FC7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2B6C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eastAsia="it-IT"/>
    </w:rPr>
  </w:style>
  <w:style w:type="paragraph" w:styleId="Heading1">
    <w:name w:val="heading 1"/>
    <w:basedOn w:val="Normal"/>
    <w:next w:val="Normal"/>
    <w:link w:val="Heading1Char"/>
    <w:qFormat/>
    <w:rsid w:val="00991F18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overflowPunct w:val="0"/>
      <w:autoSpaceDE w:val="0"/>
      <w:autoSpaceDN w:val="0"/>
      <w:bidi/>
      <w:adjustRightInd w:val="0"/>
      <w:spacing w:line="240" w:lineRule="auto"/>
      <w:textAlignment w:val="baseline"/>
      <w:outlineLvl w:val="0"/>
    </w:pPr>
    <w:rPr>
      <w:rFonts w:ascii="Times New Roman" w:eastAsia="Times New Roman" w:hAnsi="Times New Roman" w:cs="Simplified Arabic"/>
      <w:color w:val="auto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9530C"/>
  </w:style>
  <w:style w:type="paragraph" w:styleId="Footer">
    <w:name w:val="footer"/>
    <w:basedOn w:val="Normal"/>
    <w:link w:val="Foot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9530C"/>
  </w:style>
  <w:style w:type="character" w:styleId="PageNumber">
    <w:name w:val="page number"/>
    <w:basedOn w:val="DefaultParagraphFont"/>
    <w:uiPriority w:val="99"/>
    <w:semiHidden/>
    <w:unhideWhenUsed/>
    <w:rsid w:val="0020755C"/>
  </w:style>
  <w:style w:type="paragraph" w:customStyle="1" w:styleId="BasicParagraph">
    <w:name w:val="[Basic Paragraph]"/>
    <w:basedOn w:val="Normal"/>
    <w:uiPriority w:val="99"/>
    <w:rsid w:val="00C0788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bidi/>
      <w:adjustRightInd w:val="0"/>
      <w:spacing w:line="288" w:lineRule="auto"/>
      <w:textAlignment w:val="center"/>
    </w:pPr>
    <w:rPr>
      <w:rFonts w:ascii="AdobeArabic-Regular" w:eastAsiaTheme="minorHAnsi" w:hAnsi="AdobeArabic-Regular" w:cs="AdobeArabic-Regular"/>
      <w:sz w:val="24"/>
      <w:szCs w:val="24"/>
      <w:lang w:eastAsia="en-US" w:bidi="ar-YE"/>
    </w:rPr>
  </w:style>
  <w:style w:type="character" w:customStyle="1" w:styleId="Heading1Char">
    <w:name w:val="Heading 1 Char"/>
    <w:basedOn w:val="DefaultParagraphFont"/>
    <w:link w:val="Heading1"/>
    <w:rsid w:val="00991F18"/>
    <w:rPr>
      <w:rFonts w:ascii="Times New Roman" w:eastAsia="Times New Roman" w:hAnsi="Times New Roman" w:cs="Simplified Arabic"/>
    </w:rPr>
  </w:style>
  <w:style w:type="paragraph" w:styleId="BodyText2">
    <w:name w:val="Body Text 2"/>
    <w:basedOn w:val="Normal"/>
    <w:link w:val="BodyText2Char"/>
    <w:semiHidden/>
    <w:rsid w:val="00991F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overflowPunct w:val="0"/>
      <w:autoSpaceDE w:val="0"/>
      <w:autoSpaceDN w:val="0"/>
      <w:bidi/>
      <w:adjustRightInd w:val="0"/>
      <w:spacing w:line="240" w:lineRule="auto"/>
      <w:textAlignment w:val="baseline"/>
    </w:pPr>
    <w:rPr>
      <w:rFonts w:ascii="Times New Roman" w:eastAsia="Times New Roman" w:hAnsi="Times New Roman" w:cs="Simplified Arabic"/>
      <w:b/>
      <w:bCs/>
      <w:i/>
      <w:iCs/>
      <w:color w:val="aut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991F18"/>
    <w:rPr>
      <w:rFonts w:ascii="Times New Roman" w:eastAsia="Times New Roman" w:hAnsi="Times New Roman" w:cs="Simplified Arabic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991F1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91F18"/>
    <w:rPr>
      <w:rFonts w:ascii="Arial" w:eastAsia="Arial" w:hAnsi="Arial" w:cs="Arial"/>
      <w:color w:val="000000"/>
      <w:sz w:val="22"/>
      <w:szCs w:val="22"/>
      <w:lang w:eastAsia="it-IT"/>
    </w:rPr>
  </w:style>
  <w:style w:type="character" w:styleId="Strong">
    <w:name w:val="Strong"/>
    <w:basedOn w:val="DefaultParagraphFont"/>
    <w:uiPriority w:val="22"/>
    <w:qFormat/>
    <w:rsid w:val="00991F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loays</cp:lastModifiedBy>
  <cp:revision>4</cp:revision>
  <cp:lastPrinted>2017-11-16T07:40:00Z</cp:lastPrinted>
  <dcterms:created xsi:type="dcterms:W3CDTF">2017-11-16T08:02:00Z</dcterms:created>
  <dcterms:modified xsi:type="dcterms:W3CDTF">2017-11-16T13:34:00Z</dcterms:modified>
</cp:coreProperties>
</file>