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87" w:rsidRDefault="00C95187" w:rsidP="00F93B23">
      <w:pPr>
        <w:bidi w:val="0"/>
        <w:spacing w:line="360" w:lineRule="auto"/>
        <w:jc w:val="both"/>
        <w:outlineLvl w:val="0"/>
        <w:rPr>
          <w:b/>
          <w:bCs/>
        </w:rPr>
      </w:pPr>
    </w:p>
    <w:p w:rsidR="00C95187" w:rsidRPr="00C95187" w:rsidRDefault="00C95187" w:rsidP="00C95187">
      <w:pPr>
        <w:pStyle w:val="Heading1"/>
        <w:jc w:val="center"/>
        <w:rPr>
          <w:b w:val="0"/>
          <w:bCs w:val="0"/>
          <w:sz w:val="32"/>
          <w:szCs w:val="32"/>
        </w:rPr>
      </w:pPr>
      <w:r w:rsidRPr="00C95187">
        <w:rPr>
          <w:sz w:val="32"/>
          <w:szCs w:val="32"/>
        </w:rPr>
        <w:t>Palestinian Central Bureau</w:t>
      </w:r>
      <w:r w:rsidRPr="00C95187">
        <w:rPr>
          <w:sz w:val="32"/>
          <w:szCs w:val="32"/>
        </w:rPr>
        <w:t xml:space="preserve"> </w:t>
      </w:r>
      <w:r w:rsidRPr="00C95187">
        <w:rPr>
          <w:rFonts w:cs="Simplified Arabic"/>
          <w:sz w:val="32"/>
          <w:szCs w:val="32"/>
        </w:rPr>
        <w:t>of Statistics</w:t>
      </w:r>
      <w:r w:rsidRPr="00C95187">
        <w:rPr>
          <w:rFonts w:cs="Simplified Arabic"/>
          <w:sz w:val="32"/>
          <w:szCs w:val="32"/>
        </w:rPr>
        <w:t xml:space="preserve"> (PCBS)</w:t>
      </w:r>
    </w:p>
    <w:p w:rsidR="00C95187" w:rsidRDefault="00C95187" w:rsidP="00C95187">
      <w:pPr>
        <w:bidi w:val="0"/>
        <w:spacing w:line="360" w:lineRule="auto"/>
        <w:jc w:val="both"/>
        <w:outlineLvl w:val="0"/>
        <w:rPr>
          <w:b/>
          <w:bCs/>
        </w:rPr>
      </w:pPr>
    </w:p>
    <w:p w:rsidR="00CD47F4" w:rsidRDefault="00886DAA" w:rsidP="00C95187">
      <w:pPr>
        <w:bidi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C95187">
        <w:rPr>
          <w:b/>
          <w:bCs/>
          <w:sz w:val="28"/>
          <w:szCs w:val="28"/>
        </w:rPr>
        <w:t>Increase</w:t>
      </w:r>
      <w:r w:rsidR="00CD47F4" w:rsidRPr="00C95187">
        <w:rPr>
          <w:b/>
          <w:bCs/>
          <w:sz w:val="28"/>
          <w:szCs w:val="28"/>
        </w:rPr>
        <w:t xml:space="preserve"> in the Industrial Production Index (IPI) in Palestine</w:t>
      </w:r>
      <w:r w:rsidR="00CD47F4" w:rsidRPr="00C95187">
        <w:rPr>
          <w:b/>
          <w:bCs/>
          <w:kern w:val="36"/>
          <w:sz w:val="28"/>
          <w:szCs w:val="28"/>
        </w:rPr>
        <w:t xml:space="preserve"> </w:t>
      </w:r>
      <w:r w:rsidR="00CD47F4" w:rsidRPr="00C95187">
        <w:rPr>
          <w:b/>
          <w:bCs/>
          <w:sz w:val="28"/>
          <w:szCs w:val="28"/>
        </w:rPr>
        <w:t xml:space="preserve">during </w:t>
      </w:r>
      <w:r w:rsidR="00F93B23" w:rsidRPr="00C95187">
        <w:rPr>
          <w:b/>
          <w:bCs/>
          <w:kern w:val="36"/>
          <w:sz w:val="28"/>
          <w:szCs w:val="28"/>
        </w:rPr>
        <w:t>2022</w:t>
      </w:r>
    </w:p>
    <w:p w:rsidR="00C95187" w:rsidRPr="00C95187" w:rsidRDefault="00C95187" w:rsidP="00C95187">
      <w:pPr>
        <w:bidi w:val="0"/>
        <w:spacing w:line="360" w:lineRule="auto"/>
        <w:jc w:val="both"/>
        <w:outlineLvl w:val="0"/>
        <w:rPr>
          <w:b/>
          <w:bCs/>
          <w:sz w:val="10"/>
          <w:szCs w:val="10"/>
        </w:rPr>
      </w:pPr>
    </w:p>
    <w:p w:rsidR="00CD47F4" w:rsidRPr="00C95187" w:rsidRDefault="00CD47F4" w:rsidP="00F93B23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C95187">
        <w:rPr>
          <w:sz w:val="26"/>
          <w:szCs w:val="26"/>
        </w:rPr>
        <w:t>The overall</w:t>
      </w:r>
      <w:r w:rsidRPr="00C95187">
        <w:rPr>
          <w:b/>
          <w:bCs/>
          <w:sz w:val="26"/>
          <w:szCs w:val="26"/>
        </w:rPr>
        <w:t xml:space="preserve"> IPI in Palestine </w:t>
      </w:r>
      <w:r w:rsidRPr="00C95187">
        <w:rPr>
          <w:sz w:val="26"/>
          <w:szCs w:val="26"/>
        </w:rPr>
        <w:t>with its Base Year (201</w:t>
      </w:r>
      <w:r w:rsidR="00886DAA" w:rsidRPr="00C95187">
        <w:rPr>
          <w:sz w:val="26"/>
          <w:szCs w:val="26"/>
        </w:rPr>
        <w:t>9</w:t>
      </w:r>
      <w:r w:rsidRPr="00C95187">
        <w:rPr>
          <w:sz w:val="26"/>
          <w:szCs w:val="26"/>
        </w:rPr>
        <w:t xml:space="preserve"> = 100) reached</w:t>
      </w:r>
      <w:r w:rsidRPr="00C95187">
        <w:rPr>
          <w:b/>
          <w:bCs/>
          <w:sz w:val="26"/>
          <w:szCs w:val="26"/>
        </w:rPr>
        <w:t xml:space="preserve"> </w:t>
      </w:r>
      <w:r w:rsidR="00F93B23" w:rsidRPr="00C95187">
        <w:rPr>
          <w:b/>
          <w:bCs/>
          <w:sz w:val="26"/>
          <w:szCs w:val="26"/>
        </w:rPr>
        <w:t>108.50</w:t>
      </w:r>
      <w:r w:rsidRPr="00C95187">
        <w:rPr>
          <w:sz w:val="26"/>
          <w:szCs w:val="26"/>
        </w:rPr>
        <w:t xml:space="preserve"> </w:t>
      </w:r>
      <w:r w:rsidRPr="00C95187">
        <w:rPr>
          <w:b/>
          <w:bCs/>
          <w:sz w:val="26"/>
          <w:szCs w:val="26"/>
        </w:rPr>
        <w:t xml:space="preserve">in </w:t>
      </w:r>
      <w:r w:rsidR="00F93B23" w:rsidRPr="00C95187">
        <w:rPr>
          <w:b/>
          <w:bCs/>
          <w:sz w:val="26"/>
          <w:szCs w:val="26"/>
        </w:rPr>
        <w:t>2022</w:t>
      </w:r>
      <w:r w:rsidRPr="00C95187">
        <w:rPr>
          <w:sz w:val="26"/>
          <w:szCs w:val="26"/>
        </w:rPr>
        <w:t xml:space="preserve"> </w:t>
      </w:r>
      <w:r w:rsidRPr="00C95187">
        <w:rPr>
          <w:b/>
          <w:bCs/>
          <w:sz w:val="26"/>
          <w:szCs w:val="26"/>
        </w:rPr>
        <w:t>which indicates a</w:t>
      </w:r>
      <w:r w:rsidR="00F93B23" w:rsidRPr="00C95187">
        <w:rPr>
          <w:b/>
          <w:bCs/>
          <w:sz w:val="26"/>
          <w:szCs w:val="26"/>
        </w:rPr>
        <w:t>n</w:t>
      </w:r>
      <w:r w:rsidRPr="00C95187">
        <w:rPr>
          <w:b/>
          <w:bCs/>
          <w:sz w:val="26"/>
          <w:szCs w:val="26"/>
        </w:rPr>
        <w:t xml:space="preserve"> </w:t>
      </w:r>
      <w:r w:rsidR="00886DAA" w:rsidRPr="00C95187">
        <w:rPr>
          <w:b/>
          <w:bCs/>
          <w:sz w:val="26"/>
          <w:szCs w:val="26"/>
        </w:rPr>
        <w:t>increase</w:t>
      </w:r>
      <w:r w:rsidRPr="00C95187">
        <w:rPr>
          <w:b/>
          <w:bCs/>
          <w:sz w:val="26"/>
          <w:szCs w:val="26"/>
        </w:rPr>
        <w:t xml:space="preserve"> by </w:t>
      </w:r>
      <w:r w:rsidR="00F93B23" w:rsidRPr="00C95187">
        <w:rPr>
          <w:b/>
          <w:bCs/>
          <w:sz w:val="26"/>
          <w:szCs w:val="26"/>
        </w:rPr>
        <w:t>3.27</w:t>
      </w:r>
      <w:r w:rsidRPr="00C95187">
        <w:rPr>
          <w:b/>
          <w:bCs/>
          <w:sz w:val="26"/>
          <w:szCs w:val="26"/>
        </w:rPr>
        <w:t>% compared to</w:t>
      </w:r>
      <w:r w:rsidRPr="00C95187">
        <w:rPr>
          <w:sz w:val="26"/>
          <w:szCs w:val="26"/>
        </w:rPr>
        <w:t xml:space="preserve"> </w:t>
      </w:r>
      <w:r w:rsidR="00F93B23" w:rsidRPr="00C95187">
        <w:rPr>
          <w:b/>
          <w:bCs/>
          <w:sz w:val="26"/>
          <w:szCs w:val="26"/>
        </w:rPr>
        <w:t>2021</w:t>
      </w:r>
      <w:r w:rsidRPr="00C95187">
        <w:rPr>
          <w:sz w:val="26"/>
          <w:szCs w:val="26"/>
        </w:rPr>
        <w:t>.</w:t>
      </w:r>
    </w:p>
    <w:p w:rsidR="00CD47F4" w:rsidRPr="00C95187" w:rsidRDefault="00CD47F4" w:rsidP="00CD47F4">
      <w:pPr>
        <w:spacing w:line="360" w:lineRule="auto"/>
        <w:jc w:val="both"/>
        <w:outlineLvl w:val="0"/>
        <w:rPr>
          <w:rFonts w:hint="cs"/>
          <w:sz w:val="26"/>
          <w:szCs w:val="26"/>
        </w:rPr>
      </w:pPr>
    </w:p>
    <w:p w:rsidR="00CD47F4" w:rsidRPr="00C95187" w:rsidRDefault="00CD47F4" w:rsidP="00A73D42">
      <w:pPr>
        <w:bidi w:val="0"/>
        <w:spacing w:line="360" w:lineRule="auto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C95187">
        <w:rPr>
          <w:sz w:val="26"/>
          <w:szCs w:val="26"/>
        </w:rPr>
        <w:t xml:space="preserve">IPI for </w:t>
      </w:r>
      <w:r w:rsidR="00573BB2" w:rsidRPr="00C95187">
        <w:rPr>
          <w:sz w:val="26"/>
          <w:szCs w:val="26"/>
        </w:rPr>
        <w:t>2022</w:t>
      </w:r>
      <w:r w:rsidRPr="00C95187">
        <w:rPr>
          <w:sz w:val="26"/>
          <w:szCs w:val="26"/>
        </w:rPr>
        <w:t xml:space="preserve"> </w:t>
      </w:r>
      <w:r w:rsidR="00886DAA" w:rsidRPr="00C95187">
        <w:rPr>
          <w:sz w:val="26"/>
          <w:szCs w:val="26"/>
        </w:rPr>
        <w:t>increase</w:t>
      </w:r>
      <w:r w:rsidRPr="00C95187">
        <w:rPr>
          <w:sz w:val="26"/>
          <w:szCs w:val="26"/>
        </w:rPr>
        <w:t xml:space="preserve"> due to the </w:t>
      </w:r>
      <w:r w:rsidR="00886DAA" w:rsidRPr="00C95187">
        <w:rPr>
          <w:sz w:val="26"/>
          <w:szCs w:val="26"/>
        </w:rPr>
        <w:t>increase</w:t>
      </w:r>
      <w:r w:rsidRPr="00C95187">
        <w:rPr>
          <w:sz w:val="26"/>
          <w:szCs w:val="26"/>
        </w:rPr>
        <w:t xml:space="preserve"> in </w:t>
      </w:r>
      <w:r w:rsidR="00573BB2" w:rsidRPr="00C95187">
        <w:rPr>
          <w:sz w:val="26"/>
          <w:szCs w:val="26"/>
        </w:rPr>
        <w:t xml:space="preserve">the </w:t>
      </w:r>
      <w:r w:rsidR="00573BB2" w:rsidRPr="00C95187">
        <w:rPr>
          <w:b/>
          <w:bCs/>
          <w:sz w:val="26"/>
          <w:szCs w:val="26"/>
        </w:rPr>
        <w:t>activities of</w:t>
      </w:r>
      <w:r w:rsidR="00573BB2" w:rsidRPr="00C9518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73BB2" w:rsidRPr="00C95187">
        <w:rPr>
          <w:b/>
          <w:bCs/>
          <w:sz w:val="26"/>
          <w:szCs w:val="26"/>
        </w:rPr>
        <w:t>Electricity, Gas, Steam and Air Conditioning Supply</w:t>
      </w:r>
      <w:r w:rsidR="00573BB2" w:rsidRPr="00C9518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73BB2" w:rsidRPr="00C95187">
        <w:rPr>
          <w:sz w:val="26"/>
          <w:szCs w:val="26"/>
        </w:rPr>
        <w:t xml:space="preserve">by 8.47%, the </w:t>
      </w:r>
      <w:r w:rsidR="00573BB2" w:rsidRPr="00C95187">
        <w:rPr>
          <w:b/>
          <w:bCs/>
          <w:sz w:val="26"/>
          <w:szCs w:val="26"/>
        </w:rPr>
        <w:t>activities of</w:t>
      </w:r>
      <w:r w:rsidR="00573BB2" w:rsidRPr="00C9518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73BB2" w:rsidRPr="00C95187">
        <w:rPr>
          <w:b/>
          <w:bCs/>
          <w:sz w:val="26"/>
          <w:szCs w:val="26"/>
        </w:rPr>
        <w:t>Manufacturing Industry</w:t>
      </w:r>
      <w:r w:rsidR="00573BB2" w:rsidRPr="00C95187">
        <w:rPr>
          <w:rFonts w:asciiTheme="majorBidi" w:hAnsiTheme="majorBidi" w:cstheme="majorBidi"/>
          <w:sz w:val="26"/>
          <w:szCs w:val="26"/>
        </w:rPr>
        <w:t xml:space="preserve"> </w:t>
      </w:r>
      <w:r w:rsidR="00573BB2" w:rsidRPr="00C95187">
        <w:rPr>
          <w:sz w:val="26"/>
          <w:szCs w:val="26"/>
        </w:rPr>
        <w:t>by 3.</w:t>
      </w:r>
      <w:r w:rsidR="00A73D42" w:rsidRPr="00C95187">
        <w:rPr>
          <w:sz w:val="26"/>
          <w:szCs w:val="26"/>
        </w:rPr>
        <w:t>07</w:t>
      </w:r>
      <w:r w:rsidR="00573BB2" w:rsidRPr="00C95187">
        <w:rPr>
          <w:sz w:val="26"/>
          <w:szCs w:val="26"/>
        </w:rPr>
        <w:t xml:space="preserve">%, and </w:t>
      </w:r>
      <w:r w:rsidR="00886DAA" w:rsidRPr="00C95187">
        <w:rPr>
          <w:sz w:val="26"/>
          <w:szCs w:val="26"/>
        </w:rPr>
        <w:t xml:space="preserve">the </w:t>
      </w:r>
      <w:r w:rsidR="00886DAA" w:rsidRPr="00C95187">
        <w:rPr>
          <w:b/>
          <w:bCs/>
          <w:sz w:val="26"/>
          <w:szCs w:val="26"/>
        </w:rPr>
        <w:t>activities of</w:t>
      </w:r>
      <w:r w:rsidR="00886DAA" w:rsidRPr="00C95187">
        <w:rPr>
          <w:rFonts w:asciiTheme="majorBidi" w:hAnsiTheme="majorBidi" w:cstheme="majorBidi"/>
          <w:sz w:val="26"/>
          <w:szCs w:val="26"/>
        </w:rPr>
        <w:t xml:space="preserve"> </w:t>
      </w:r>
      <w:r w:rsidR="00886DAA" w:rsidRPr="00C95187">
        <w:rPr>
          <w:b/>
          <w:bCs/>
          <w:sz w:val="26"/>
          <w:szCs w:val="26"/>
        </w:rPr>
        <w:t>Water Supply, Sewerage, Waste Management and</w:t>
      </w:r>
      <w:r w:rsidR="00886DAA" w:rsidRPr="00C95187">
        <w:rPr>
          <w:rFonts w:asciiTheme="majorBidi" w:hAnsiTheme="majorBidi" w:cstheme="majorBidi"/>
          <w:b/>
          <w:bCs/>
          <w:sz w:val="26"/>
          <w:szCs w:val="26"/>
        </w:rPr>
        <w:t xml:space="preserve"> Remediation</w:t>
      </w:r>
      <w:r w:rsidR="00886DAA" w:rsidRPr="00C95187">
        <w:rPr>
          <w:rFonts w:asciiTheme="majorBidi" w:hAnsiTheme="majorBidi" w:cstheme="majorBidi"/>
          <w:sz w:val="26"/>
          <w:szCs w:val="26"/>
        </w:rPr>
        <w:t xml:space="preserve"> </w:t>
      </w:r>
      <w:r w:rsidR="00886DAA" w:rsidRPr="00C95187">
        <w:rPr>
          <w:sz w:val="26"/>
          <w:szCs w:val="26"/>
        </w:rPr>
        <w:t xml:space="preserve">by </w:t>
      </w:r>
      <w:r w:rsidR="00573BB2" w:rsidRPr="00C95187">
        <w:rPr>
          <w:sz w:val="26"/>
          <w:szCs w:val="26"/>
        </w:rPr>
        <w:t>2.16%.</w:t>
      </w:r>
      <w:r w:rsidR="00886DAA" w:rsidRPr="00C95187">
        <w:rPr>
          <w:sz w:val="26"/>
          <w:szCs w:val="26"/>
        </w:rPr>
        <w:t xml:space="preserve"> </w:t>
      </w:r>
      <w:r w:rsidR="00573BB2" w:rsidRPr="00C95187">
        <w:rPr>
          <w:sz w:val="26"/>
          <w:szCs w:val="26"/>
        </w:rPr>
        <w:t xml:space="preserve">While, </w:t>
      </w:r>
      <w:r w:rsidRPr="00C95187">
        <w:rPr>
          <w:sz w:val="26"/>
          <w:szCs w:val="26"/>
        </w:rPr>
        <w:t xml:space="preserve">the </w:t>
      </w:r>
      <w:r w:rsidRPr="00C95187">
        <w:rPr>
          <w:b/>
          <w:bCs/>
          <w:sz w:val="26"/>
          <w:szCs w:val="26"/>
        </w:rPr>
        <w:t>activities of</w:t>
      </w:r>
      <w:r w:rsidRPr="00C9518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C95187">
        <w:rPr>
          <w:b/>
          <w:bCs/>
          <w:sz w:val="26"/>
          <w:szCs w:val="26"/>
        </w:rPr>
        <w:t>Mining and Quarrying</w:t>
      </w:r>
      <w:r w:rsidRPr="00C95187">
        <w:rPr>
          <w:rFonts w:asciiTheme="majorBidi" w:hAnsiTheme="majorBidi" w:cstheme="majorBidi"/>
          <w:sz w:val="26"/>
          <w:szCs w:val="26"/>
        </w:rPr>
        <w:t xml:space="preserve"> </w:t>
      </w:r>
      <w:r w:rsidR="00573BB2" w:rsidRPr="00C95187">
        <w:rPr>
          <w:sz w:val="26"/>
          <w:szCs w:val="26"/>
        </w:rPr>
        <w:t xml:space="preserve">decreased </w:t>
      </w:r>
      <w:r w:rsidRPr="00C95187">
        <w:rPr>
          <w:sz w:val="26"/>
          <w:szCs w:val="26"/>
        </w:rPr>
        <w:t xml:space="preserve">by </w:t>
      </w:r>
      <w:r w:rsidR="00573BB2" w:rsidRPr="00C95187">
        <w:rPr>
          <w:sz w:val="26"/>
          <w:szCs w:val="26"/>
        </w:rPr>
        <w:t>6.70%</w:t>
      </w:r>
      <w:r w:rsidR="00886DAA" w:rsidRPr="00C95187">
        <w:rPr>
          <w:sz w:val="26"/>
          <w:szCs w:val="26"/>
        </w:rPr>
        <w:t>.</w:t>
      </w:r>
    </w:p>
    <w:p w:rsidR="00CD47F4" w:rsidRPr="002A08D2" w:rsidRDefault="00CD47F4" w:rsidP="00CD47F4">
      <w:pPr>
        <w:autoSpaceDE w:val="0"/>
        <w:autoSpaceDN w:val="0"/>
        <w:adjustRightInd w:val="0"/>
        <w:spacing w:line="360" w:lineRule="auto"/>
        <w:jc w:val="both"/>
        <w:rPr>
          <w:snapToGrid w:val="0"/>
          <w:sz w:val="16"/>
          <w:szCs w:val="16"/>
        </w:rPr>
      </w:pPr>
    </w:p>
    <w:p w:rsidR="00CD47F4" w:rsidRPr="00C95187" w:rsidRDefault="00CD47F4" w:rsidP="00573BB2">
      <w:pPr>
        <w:autoSpaceDE w:val="0"/>
        <w:autoSpaceDN w:val="0"/>
        <w:bidi w:val="0"/>
        <w:adjustRightInd w:val="0"/>
        <w:spacing w:line="360" w:lineRule="auto"/>
        <w:jc w:val="both"/>
        <w:rPr>
          <w:b/>
          <w:bCs/>
        </w:rPr>
      </w:pPr>
      <w:r w:rsidRPr="00C95187">
        <w:rPr>
          <w:b/>
          <w:bCs/>
        </w:rPr>
        <w:t xml:space="preserve">The </w:t>
      </w:r>
      <w:r w:rsidR="00F70ADA" w:rsidRPr="00C95187">
        <w:rPr>
          <w:b/>
          <w:bCs/>
        </w:rPr>
        <w:t xml:space="preserve">table </w:t>
      </w:r>
      <w:r w:rsidRPr="00C95187">
        <w:rPr>
          <w:b/>
          <w:bCs/>
        </w:rPr>
        <w:t>below shows yearly percent changes in IPI in Palestine for the period 201</w:t>
      </w:r>
      <w:r w:rsidRPr="00C95187">
        <w:rPr>
          <w:b/>
          <w:bCs/>
          <w:rtl/>
        </w:rPr>
        <w:t>2</w:t>
      </w:r>
      <w:r w:rsidRPr="00C95187">
        <w:rPr>
          <w:b/>
          <w:bCs/>
        </w:rPr>
        <w:t xml:space="preserve"> –</w:t>
      </w:r>
      <w:r w:rsidR="00F70ADA" w:rsidRPr="00C95187">
        <w:rPr>
          <w:b/>
          <w:bCs/>
        </w:rPr>
        <w:t xml:space="preserve"> </w:t>
      </w:r>
      <w:r w:rsidR="00573BB2" w:rsidRPr="00C95187">
        <w:rPr>
          <w:b/>
          <w:bCs/>
        </w:rPr>
        <w:t>2022</w:t>
      </w:r>
      <w:r w:rsidRPr="00C95187">
        <w:rPr>
          <w:b/>
          <w:bCs/>
        </w:rPr>
        <w:t>:</w:t>
      </w:r>
    </w:p>
    <w:p w:rsidR="00CD47F4" w:rsidRPr="00324426" w:rsidRDefault="00CD47F4" w:rsidP="00CD47F4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4111" w:type="dxa"/>
        <w:jc w:val="center"/>
        <w:tblBorders>
          <w:top w:val="single" w:sz="12" w:space="0" w:color="00000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</w:tblGrid>
      <w:tr w:rsidR="00CD47F4" w:rsidRPr="005576F7" w:rsidTr="009B5A19">
        <w:trPr>
          <w:trHeight w:val="397"/>
          <w:jc w:val="center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</w:rPr>
            </w:pPr>
            <w:r w:rsidRPr="008F54BB">
              <w:rPr>
                <w:b/>
                <w:bCs/>
                <w:snapToGrid w:val="0"/>
              </w:rPr>
              <w:t>Year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Percent Changes %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2012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+ 6.39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2013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+ 7.82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2014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- 3.92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2015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- 3.80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2016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+ 0.96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8F54BB">
              <w:rPr>
                <w:snapToGrid w:val="0"/>
              </w:rPr>
              <w:t>2017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+ 4.11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2018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>- 3.</w:t>
            </w:r>
            <w:r>
              <w:rPr>
                <w:snapToGrid w:val="0"/>
              </w:rPr>
              <w:t>94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354955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 w:rsidRPr="00354955">
              <w:rPr>
                <w:snapToGrid w:val="0"/>
              </w:rPr>
              <w:t>2019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3.86</w:t>
            </w:r>
          </w:p>
        </w:tc>
      </w:tr>
      <w:tr w:rsidR="00CD47F4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CD47F4" w:rsidRPr="00354955" w:rsidRDefault="00CD47F4" w:rsidP="009B5A1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2020</w:t>
            </w:r>
          </w:p>
        </w:tc>
        <w:tc>
          <w:tcPr>
            <w:tcW w:w="2410" w:type="dxa"/>
            <w:vAlign w:val="center"/>
          </w:tcPr>
          <w:p w:rsidR="00CD47F4" w:rsidRPr="008F54BB" w:rsidRDefault="00CD47F4" w:rsidP="009B5A1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7.95</w:t>
            </w:r>
          </w:p>
        </w:tc>
      </w:tr>
      <w:tr w:rsidR="00D321A9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2021</w:t>
            </w:r>
          </w:p>
        </w:tc>
        <w:tc>
          <w:tcPr>
            <w:tcW w:w="2410" w:type="dxa"/>
            <w:vAlign w:val="center"/>
          </w:tcPr>
          <w:p w:rsidR="00D321A9" w:rsidRPr="008F54BB" w:rsidRDefault="00D321A9" w:rsidP="00D321A9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14.13</w:t>
            </w:r>
          </w:p>
        </w:tc>
      </w:tr>
      <w:tr w:rsidR="00573BB2" w:rsidRPr="005576F7" w:rsidTr="009B5A19">
        <w:trPr>
          <w:trHeight w:val="397"/>
          <w:jc w:val="center"/>
        </w:trPr>
        <w:tc>
          <w:tcPr>
            <w:tcW w:w="1701" w:type="dxa"/>
            <w:vAlign w:val="center"/>
          </w:tcPr>
          <w:p w:rsidR="00573BB2" w:rsidRDefault="00573BB2" w:rsidP="00573BB2">
            <w:pPr>
              <w:autoSpaceDE w:val="0"/>
              <w:autoSpaceDN w:val="0"/>
              <w:bidi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2022</w:t>
            </w:r>
          </w:p>
        </w:tc>
        <w:tc>
          <w:tcPr>
            <w:tcW w:w="2410" w:type="dxa"/>
            <w:vAlign w:val="center"/>
          </w:tcPr>
          <w:p w:rsidR="00573BB2" w:rsidRPr="008F54BB" w:rsidRDefault="00573BB2" w:rsidP="00573BB2">
            <w:pPr>
              <w:autoSpaceDE w:val="0"/>
              <w:autoSpaceDN w:val="0"/>
              <w:bidi w:val="0"/>
              <w:adjustRightInd w:val="0"/>
              <w:jc w:val="right"/>
              <w:rPr>
                <w:snapToGrid w:val="0"/>
              </w:rPr>
            </w:pPr>
            <w:r w:rsidRPr="008F54BB">
              <w:rPr>
                <w:snapToGrid w:val="0"/>
              </w:rPr>
              <w:t xml:space="preserve">+ </w:t>
            </w:r>
            <w:r>
              <w:rPr>
                <w:snapToGrid w:val="0"/>
              </w:rPr>
              <w:t>3.27</w:t>
            </w:r>
          </w:p>
        </w:tc>
      </w:tr>
    </w:tbl>
    <w:p w:rsidR="00CD47F4" w:rsidRPr="006649F0" w:rsidRDefault="00CD47F4" w:rsidP="00CD47F4">
      <w:pPr>
        <w:jc w:val="both"/>
        <w:outlineLvl w:val="0"/>
        <w:rPr>
          <w:b/>
          <w:bCs/>
          <w:sz w:val="2"/>
          <w:szCs w:val="2"/>
        </w:rPr>
      </w:pPr>
    </w:p>
    <w:p w:rsidR="00CD47F4" w:rsidRPr="002A08D2" w:rsidRDefault="00CD47F4" w:rsidP="00CD47F4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8021F0" w:rsidRDefault="008021F0" w:rsidP="008021F0">
      <w:pPr>
        <w:jc w:val="center"/>
        <w:outlineLvl w:val="0"/>
        <w:rPr>
          <w:b/>
          <w:bCs/>
          <w:sz w:val="20"/>
          <w:szCs w:val="20"/>
          <w:rtl/>
        </w:rPr>
      </w:pPr>
    </w:p>
    <w:p w:rsidR="00573BB2" w:rsidRPr="00324426" w:rsidRDefault="00573BB2" w:rsidP="008021F0">
      <w:pPr>
        <w:jc w:val="center"/>
        <w:outlineLvl w:val="0"/>
        <w:rPr>
          <w:b/>
          <w:bCs/>
          <w:sz w:val="20"/>
          <w:szCs w:val="20"/>
        </w:rPr>
      </w:pPr>
    </w:p>
    <w:p w:rsidR="002C20FD" w:rsidRDefault="00573BB2" w:rsidP="00573BB2">
      <w:pPr>
        <w:bidi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C95187">
        <w:rPr>
          <w:b/>
          <w:bCs/>
          <w:sz w:val="28"/>
          <w:szCs w:val="28"/>
        </w:rPr>
        <w:t>Increase</w:t>
      </w:r>
      <w:r w:rsidR="002C20FD" w:rsidRPr="00C95187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C95187">
        <w:rPr>
          <w:b/>
          <w:bCs/>
          <w:kern w:val="36"/>
          <w:sz w:val="28"/>
          <w:szCs w:val="28"/>
        </w:rPr>
        <w:t xml:space="preserve"> </w:t>
      </w:r>
      <w:r w:rsidR="002C20FD" w:rsidRPr="00C95187">
        <w:rPr>
          <w:b/>
          <w:bCs/>
          <w:sz w:val="28"/>
          <w:szCs w:val="28"/>
        </w:rPr>
        <w:t>duri</w:t>
      </w:r>
      <w:bookmarkStart w:id="0" w:name="_GoBack"/>
      <w:bookmarkEnd w:id="0"/>
      <w:r w:rsidR="002C20FD" w:rsidRPr="00C95187">
        <w:rPr>
          <w:b/>
          <w:bCs/>
          <w:sz w:val="28"/>
          <w:szCs w:val="28"/>
        </w:rPr>
        <w:t xml:space="preserve">ng </w:t>
      </w:r>
      <w:r w:rsidR="00D321A9" w:rsidRPr="00C95187">
        <w:rPr>
          <w:b/>
          <w:bCs/>
          <w:sz w:val="28"/>
          <w:szCs w:val="28"/>
        </w:rPr>
        <w:t>December</w:t>
      </w:r>
      <w:r w:rsidR="002C20FD" w:rsidRPr="00C95187">
        <w:rPr>
          <w:b/>
          <w:bCs/>
          <w:sz w:val="28"/>
          <w:szCs w:val="28"/>
        </w:rPr>
        <w:t xml:space="preserve"> </w:t>
      </w:r>
      <w:r w:rsidRPr="00C95187">
        <w:rPr>
          <w:b/>
          <w:bCs/>
          <w:kern w:val="36"/>
          <w:sz w:val="28"/>
          <w:szCs w:val="28"/>
        </w:rPr>
        <w:t>2022</w:t>
      </w:r>
    </w:p>
    <w:p w:rsidR="00C95187" w:rsidRPr="00C95187" w:rsidRDefault="00C95187" w:rsidP="00C95187">
      <w:pPr>
        <w:bidi w:val="0"/>
        <w:spacing w:line="360" w:lineRule="auto"/>
        <w:jc w:val="both"/>
        <w:outlineLvl w:val="0"/>
        <w:rPr>
          <w:b/>
          <w:bCs/>
          <w:sz w:val="10"/>
          <w:szCs w:val="10"/>
        </w:rPr>
      </w:pPr>
    </w:p>
    <w:p w:rsidR="002C20FD" w:rsidRDefault="002C20FD" w:rsidP="00C95187">
      <w:pPr>
        <w:bidi w:val="0"/>
        <w:spacing w:line="360" w:lineRule="auto"/>
        <w:jc w:val="both"/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573BB2">
        <w:t>110.57</w:t>
      </w:r>
      <w:r w:rsidR="00D321A9">
        <w:t xml:space="preserve"> </w:t>
      </w:r>
      <w:r w:rsidR="00635E82" w:rsidRPr="00254168">
        <w:t xml:space="preserve">during </w:t>
      </w:r>
      <w:r w:rsidR="00D321A9">
        <w:t>December</w:t>
      </w:r>
      <w:r w:rsidR="00635E82" w:rsidRPr="00254168">
        <w:t xml:space="preserve"> </w:t>
      </w:r>
      <w:r w:rsidR="00573BB2">
        <w:t>2022</w:t>
      </w:r>
      <w:r w:rsidR="00635E82">
        <w:t xml:space="preserve"> </w:t>
      </w:r>
      <w:r w:rsidR="00635E82" w:rsidRPr="00254168">
        <w:t xml:space="preserve">with </w:t>
      </w:r>
      <w:r w:rsidR="00D321A9">
        <w:t>a</w:t>
      </w:r>
      <w:r w:rsidR="00573BB2">
        <w:t>n</w:t>
      </w:r>
      <w:r w:rsidR="00507FF5">
        <w:t xml:space="preserve"> </w:t>
      </w:r>
      <w:r w:rsidR="00573BB2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D321A9">
        <w:t>0.</w:t>
      </w:r>
      <w:r w:rsidR="00573BB2">
        <w:t>85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D321A9">
        <w:t>November</w:t>
      </w:r>
      <w:r w:rsidR="00703720">
        <w:t xml:space="preserve"> </w:t>
      </w:r>
      <w:r w:rsidR="00573BB2">
        <w:t>2022</w:t>
      </w:r>
      <w:r w:rsidR="000D497F">
        <w:t xml:space="preserve"> </w:t>
      </w:r>
      <w:r w:rsidR="00635E82" w:rsidRPr="00B4580E">
        <w:t xml:space="preserve">(Base </w:t>
      </w:r>
      <w:proofErr w:type="gramStart"/>
      <w:r w:rsidR="00635E82" w:rsidRPr="00B4580E">
        <w:t>Year</w:t>
      </w:r>
      <w:r w:rsidR="00703720">
        <w:t xml:space="preserve"> </w:t>
      </w:r>
      <w:r w:rsidR="00423772">
        <w:t xml:space="preserve"> </w:t>
      </w:r>
      <w:r w:rsidR="00635E82" w:rsidRPr="00B4580E">
        <w:t>201</w:t>
      </w:r>
      <w:r w:rsidR="000D497F" w:rsidRPr="00B4580E">
        <w:t>9</w:t>
      </w:r>
      <w:proofErr w:type="gramEnd"/>
      <w:r w:rsidR="00635E82" w:rsidRPr="00B4580E">
        <w:t xml:space="preserve"> = 100)</w:t>
      </w:r>
      <w:r w:rsidRPr="00B4580E">
        <w:t>.</w:t>
      </w:r>
      <w:r w:rsidR="00C95187">
        <w:t xml:space="preserve"> </w:t>
      </w:r>
    </w:p>
    <w:p w:rsidR="00C95187" w:rsidRPr="00B4580E" w:rsidRDefault="00C95187" w:rsidP="00C95187">
      <w:pPr>
        <w:bidi w:val="0"/>
        <w:spacing w:line="360" w:lineRule="auto"/>
        <w:jc w:val="both"/>
        <w:rPr>
          <w:rtl/>
        </w:rPr>
      </w:pPr>
    </w:p>
    <w:p w:rsidR="00DF42FD" w:rsidRPr="000D497F" w:rsidRDefault="002C20FD" w:rsidP="00BC72A1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D321A9">
        <w:t>December</w:t>
      </w:r>
      <w:r w:rsidR="00D321A9" w:rsidRPr="00254168">
        <w:t xml:space="preserve"> </w:t>
      </w:r>
      <w:r w:rsidR="00573BB2">
        <w:t>2022</w:t>
      </w:r>
      <w:r w:rsidRPr="00254168">
        <w:t xml:space="preserve"> </w:t>
      </w:r>
      <w:r w:rsidR="00573BB2">
        <w:t>increased</w:t>
      </w:r>
      <w:r w:rsidRPr="00254168">
        <w:t xml:space="preserve"> due to the </w:t>
      </w:r>
      <w:r w:rsidR="00573BB2">
        <w:t>increase</w:t>
      </w:r>
      <w:r w:rsidRPr="00254168">
        <w:t xml:space="preserve"> in</w:t>
      </w:r>
      <w:r w:rsidRPr="00BD3BAB">
        <w:t xml:space="preserve"> </w:t>
      </w:r>
      <w:r w:rsidR="00573BB2">
        <w:t>the</w:t>
      </w:r>
      <w:r w:rsidR="00573BB2" w:rsidRPr="00254168">
        <w:rPr>
          <w:b/>
          <w:bCs/>
        </w:rPr>
        <w:t xml:space="preserve"> activities of Electricity, Gas, Steam and Air Conditioning Supply </w:t>
      </w:r>
      <w:r w:rsidR="00573BB2" w:rsidRPr="00254168">
        <w:t xml:space="preserve">by </w:t>
      </w:r>
      <w:r w:rsidR="00573BB2">
        <w:t>13.90</w:t>
      </w:r>
      <w:r w:rsidR="00573BB2" w:rsidRPr="00254168">
        <w:t>% which had a share o</w:t>
      </w:r>
      <w:r w:rsidR="00573BB2">
        <w:t>f 7.38% of the total industry</w:t>
      </w:r>
      <w:r w:rsidR="00573BB2">
        <w:rPr>
          <w:rFonts w:cs="Simplified Arabic"/>
          <w:snapToGrid w:val="0"/>
          <w:color w:val="000000"/>
        </w:rPr>
        <w:t xml:space="preserve">, </w:t>
      </w:r>
      <w:r w:rsidR="00573BB2">
        <w:t xml:space="preserve">and </w:t>
      </w:r>
      <w:r w:rsidR="00573BB2" w:rsidRPr="00254168">
        <w:t>the</w:t>
      </w:r>
      <w:r w:rsidR="00573BB2" w:rsidRPr="00254168">
        <w:rPr>
          <w:b/>
          <w:bCs/>
        </w:rPr>
        <w:t xml:space="preserve"> activities of</w:t>
      </w:r>
      <w:r w:rsidR="00573BB2" w:rsidRPr="00254168">
        <w:t xml:space="preserve"> </w:t>
      </w:r>
      <w:r w:rsidR="00573BB2" w:rsidRPr="00254168">
        <w:rPr>
          <w:b/>
          <w:bCs/>
        </w:rPr>
        <w:t>Manufacturing Industry</w:t>
      </w:r>
      <w:r w:rsidR="00573BB2">
        <w:t xml:space="preserve"> </w:t>
      </w:r>
      <w:r w:rsidR="00573BB2" w:rsidRPr="00254168">
        <w:t xml:space="preserve">by </w:t>
      </w:r>
      <w:r w:rsidR="00BC72A1">
        <w:t>0.10</w:t>
      </w:r>
      <w:r w:rsidR="00573BB2" w:rsidRPr="00254168">
        <w:t xml:space="preserve">% which had a share of </w:t>
      </w:r>
      <w:r w:rsidR="00573BB2">
        <w:t>87.89</w:t>
      </w:r>
      <w:r w:rsidR="00573BB2" w:rsidRPr="00254168">
        <w:t>% of the total industry</w:t>
      </w:r>
      <w:r w:rsidR="00A73D42">
        <w:rPr>
          <w:rFonts w:cs="Simplified Arabic"/>
          <w:snapToGrid w:val="0"/>
          <w:color w:val="000000"/>
        </w:rPr>
        <w:t xml:space="preserve">. </w:t>
      </w:r>
      <w:r w:rsidR="00FC481D">
        <w:rPr>
          <w:rFonts w:cs="Simplified Arabic"/>
          <w:snapToGrid w:val="0"/>
          <w:color w:val="000000"/>
        </w:rPr>
        <w:t>While</w:t>
      </w:r>
      <w:r w:rsidR="00BC72A1">
        <w:t xml:space="preserve">, the </w:t>
      </w:r>
      <w:r w:rsidR="00BC72A1" w:rsidRPr="00254168">
        <w:rPr>
          <w:b/>
          <w:bCs/>
        </w:rPr>
        <w:t>activities of Water Supply, Sewerage, Waste Management and Remediation</w:t>
      </w:r>
      <w:r w:rsidR="00BC72A1">
        <w:rPr>
          <w:b/>
          <w:bCs/>
        </w:rPr>
        <w:t xml:space="preserve"> </w:t>
      </w:r>
      <w:r w:rsidR="00BC72A1">
        <w:t xml:space="preserve">decreased </w:t>
      </w:r>
      <w:r w:rsidR="00BC72A1" w:rsidRPr="00254168">
        <w:t xml:space="preserve">by </w:t>
      </w:r>
      <w:r w:rsidR="00BC72A1">
        <w:t>7.97</w:t>
      </w:r>
      <w:r w:rsidR="00BC72A1" w:rsidRPr="00254168">
        <w:t xml:space="preserve">% which had a </w:t>
      </w:r>
      <w:r w:rsidR="00BC72A1" w:rsidRPr="00254168">
        <w:lastRenderedPageBreak/>
        <w:t xml:space="preserve">share of </w:t>
      </w:r>
      <w:r w:rsidR="00BC72A1">
        <w:t>1.84</w:t>
      </w:r>
      <w:r w:rsidR="00BC72A1" w:rsidRPr="00254168">
        <w:t>% of the total industry</w:t>
      </w:r>
      <w:r w:rsidR="00BC72A1">
        <w:rPr>
          <w:rFonts w:cs="Simplified Arabic"/>
          <w:snapToGrid w:val="0"/>
          <w:color w:val="000000"/>
        </w:rPr>
        <w:t>, and the</w:t>
      </w:r>
      <w:r w:rsidR="00BC72A1" w:rsidRPr="006F575A">
        <w:rPr>
          <w:rFonts w:cs="Simplified Arabic"/>
          <w:snapToGrid w:val="0"/>
          <w:color w:val="000000"/>
        </w:rPr>
        <w:t xml:space="preserve"> </w:t>
      </w:r>
      <w:r w:rsidR="00BC72A1" w:rsidRPr="00254168">
        <w:rPr>
          <w:b/>
          <w:bCs/>
        </w:rPr>
        <w:t>activities of Mining and Quarrying</w:t>
      </w:r>
      <w:r w:rsidR="00BC72A1">
        <w:t xml:space="preserve"> decreased </w:t>
      </w:r>
      <w:r w:rsidR="00BC72A1" w:rsidRPr="00254168">
        <w:t xml:space="preserve">by </w:t>
      </w:r>
      <w:r w:rsidR="00BC72A1">
        <w:t>5.31</w:t>
      </w:r>
      <w:r w:rsidR="00BC72A1" w:rsidRPr="00254168">
        <w:t xml:space="preserve">% which had a share of </w:t>
      </w:r>
      <w:r w:rsidR="00BC72A1">
        <w:t>2.89</w:t>
      </w:r>
      <w:r w:rsidR="00BC72A1" w:rsidRPr="00254168">
        <w:t>% of the total industry</w:t>
      </w:r>
      <w:r w:rsidR="00BC72A1">
        <w:t>.</w:t>
      </w:r>
    </w:p>
    <w:p w:rsidR="00CD47F4" w:rsidRDefault="00CD47F4" w:rsidP="00CD47F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CD47F4" w:rsidRPr="00C95187" w:rsidRDefault="00CD47F4" w:rsidP="0092533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</w:rPr>
      </w:pPr>
      <w:r w:rsidRPr="00C95187">
        <w:rPr>
          <w:rFonts w:cs="Simplified Arabic"/>
          <w:b/>
          <w:bCs/>
          <w:snapToGrid w:val="0"/>
          <w:color w:val="000000"/>
        </w:rPr>
        <w:t xml:space="preserve">The </w:t>
      </w:r>
      <w:r w:rsidR="00F70ADA" w:rsidRPr="00C95187">
        <w:rPr>
          <w:rFonts w:cs="Simplified Arabic"/>
          <w:b/>
          <w:bCs/>
          <w:snapToGrid w:val="0"/>
          <w:color w:val="000000"/>
        </w:rPr>
        <w:t xml:space="preserve">table </w:t>
      </w:r>
      <w:r w:rsidRPr="00C95187">
        <w:rPr>
          <w:rFonts w:cs="Simplified Arabic"/>
          <w:b/>
          <w:bCs/>
          <w:snapToGrid w:val="0"/>
          <w:color w:val="000000"/>
        </w:rPr>
        <w:t xml:space="preserve">below shows </w:t>
      </w:r>
      <w:r w:rsidR="00F70ADA" w:rsidRPr="00C95187">
        <w:rPr>
          <w:rFonts w:cs="Simplified Arabic"/>
          <w:b/>
          <w:bCs/>
          <w:snapToGrid w:val="0"/>
          <w:color w:val="000000"/>
        </w:rPr>
        <w:t xml:space="preserve">monthly </w:t>
      </w:r>
      <w:r w:rsidRPr="00C95187">
        <w:rPr>
          <w:rFonts w:cs="Simplified Arabic"/>
          <w:b/>
          <w:bCs/>
          <w:snapToGrid w:val="0"/>
          <w:color w:val="000000"/>
        </w:rPr>
        <w:t xml:space="preserve">percent changes in IPI for the </w:t>
      </w:r>
      <w:r w:rsidRPr="00C95187">
        <w:rPr>
          <w:b/>
          <w:bCs/>
        </w:rPr>
        <w:t>period</w:t>
      </w:r>
      <w:r w:rsidRPr="00C95187">
        <w:rPr>
          <w:rFonts w:cs="Simplified Arabic"/>
          <w:b/>
          <w:bCs/>
          <w:snapToGrid w:val="0"/>
          <w:color w:val="000000"/>
        </w:rPr>
        <w:t xml:space="preserve">: January – December </w:t>
      </w:r>
      <w:r w:rsidR="00925334" w:rsidRPr="00C95187">
        <w:rPr>
          <w:rFonts w:cs="Simplified Arabic"/>
          <w:b/>
          <w:bCs/>
          <w:snapToGrid w:val="0"/>
          <w:color w:val="000000"/>
        </w:rPr>
        <w:t>2022</w:t>
      </w:r>
      <w:r w:rsidRPr="00C95187">
        <w:rPr>
          <w:rFonts w:cs="Simplified Arabic"/>
          <w:b/>
          <w:bCs/>
          <w:snapToGrid w:val="0"/>
          <w:color w:val="000000"/>
        </w:rPr>
        <w:t>:</w:t>
      </w:r>
    </w:p>
    <w:p w:rsidR="00CD47F4" w:rsidRPr="00324426" w:rsidRDefault="00CD47F4" w:rsidP="00CD47F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2"/>
          <w:szCs w:val="12"/>
        </w:rPr>
      </w:pPr>
    </w:p>
    <w:tbl>
      <w:tblPr>
        <w:tblW w:w="4678" w:type="dxa"/>
        <w:tblInd w:w="108" w:type="dxa"/>
        <w:tblBorders>
          <w:top w:val="single" w:sz="12" w:space="0" w:color="00000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"/>
        <w:gridCol w:w="2148"/>
        <w:gridCol w:w="2410"/>
      </w:tblGrid>
      <w:tr w:rsidR="00CD47F4" w:rsidRPr="00696998" w:rsidTr="009B5A19">
        <w:trPr>
          <w:tblHeader/>
        </w:trPr>
        <w:tc>
          <w:tcPr>
            <w:tcW w:w="226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D47F4" w:rsidRPr="00696998" w:rsidRDefault="00CD47F4" w:rsidP="009B5A19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:rsidR="00CD47F4" w:rsidRPr="00696998" w:rsidRDefault="00CD47F4" w:rsidP="009B5A19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>Percent Changes (%)</w:t>
            </w:r>
          </w:p>
        </w:tc>
      </w:tr>
      <w:tr w:rsidR="00CD47F4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CD47F4" w:rsidRDefault="00CD47F4" w:rsidP="009B5A1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2410" w:type="dxa"/>
            <w:vAlign w:val="center"/>
          </w:tcPr>
          <w:p w:rsidR="00CD47F4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8.58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CD47F4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CD47F4" w:rsidRDefault="00CD47F4" w:rsidP="009B5A1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2410" w:type="dxa"/>
            <w:vAlign w:val="center"/>
          </w:tcPr>
          <w:p w:rsidR="00CD47F4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5.98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D47F4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CD47F4" w:rsidRDefault="00CD47F4" w:rsidP="009B5A1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2410" w:type="dxa"/>
            <w:vAlign w:val="center"/>
          </w:tcPr>
          <w:p w:rsidR="00CD47F4" w:rsidRPr="00785BB2" w:rsidRDefault="00844FF6" w:rsidP="00D321A9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5.58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321A9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2410" w:type="dxa"/>
            <w:vAlign w:val="center"/>
          </w:tcPr>
          <w:p w:rsidR="00D321A9" w:rsidRPr="00785BB2" w:rsidRDefault="00844FF6" w:rsidP="00F70ADA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11.04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F70AD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321A9" w:rsidRPr="00696998" w:rsidTr="00FD55F5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D321A9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7.92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FD55F5">
        <w:trPr>
          <w:gridBefore w:val="1"/>
          <w:wBefore w:w="120" w:type="dxa"/>
          <w:trHeight w:val="395"/>
        </w:trPr>
        <w:tc>
          <w:tcPr>
            <w:tcW w:w="2148" w:type="dxa"/>
            <w:tcBorders>
              <w:bottom w:val="nil"/>
            </w:tcBorders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D321A9" w:rsidRPr="00785BB2" w:rsidRDefault="00844FF6" w:rsidP="00D321A9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11.39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321A9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FD55F5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  <w:bottom w:val="nil"/>
            </w:tcBorders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D321A9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11.41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321A9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</w:tcBorders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August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D321A9" w:rsidRPr="00785BB2" w:rsidRDefault="00844FF6" w:rsidP="00D321A9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7.80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321A9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FD55F5">
        <w:trPr>
          <w:gridBefore w:val="1"/>
          <w:wBefore w:w="120" w:type="dxa"/>
          <w:trHeight w:val="395"/>
        </w:trPr>
        <w:tc>
          <w:tcPr>
            <w:tcW w:w="2148" w:type="dxa"/>
            <w:tcBorders>
              <w:top w:val="nil"/>
            </w:tcBorders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September</w:t>
            </w:r>
          </w:p>
        </w:tc>
        <w:tc>
          <w:tcPr>
            <w:tcW w:w="2410" w:type="dxa"/>
            <w:vAlign w:val="center"/>
          </w:tcPr>
          <w:p w:rsidR="00D321A9" w:rsidRPr="00785BB2" w:rsidRDefault="00844FF6" w:rsidP="00D321A9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2.50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321A9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October</w:t>
            </w:r>
          </w:p>
        </w:tc>
        <w:tc>
          <w:tcPr>
            <w:tcW w:w="2410" w:type="dxa"/>
            <w:vAlign w:val="center"/>
          </w:tcPr>
          <w:p w:rsidR="00D321A9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3.69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321A9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D321A9" w:rsidRDefault="00D321A9" w:rsidP="00D321A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November</w:t>
            </w:r>
          </w:p>
        </w:tc>
        <w:tc>
          <w:tcPr>
            <w:tcW w:w="2410" w:type="dxa"/>
            <w:vAlign w:val="center"/>
          </w:tcPr>
          <w:p w:rsidR="00D321A9" w:rsidRPr="00785BB2" w:rsidRDefault="00844FF6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4.22</w:t>
            </w:r>
            <w:r w:rsidR="00D321A9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CD47F4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CD47F4" w:rsidRDefault="00CD47F4" w:rsidP="009B5A19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December</w:t>
            </w:r>
          </w:p>
        </w:tc>
        <w:tc>
          <w:tcPr>
            <w:tcW w:w="2410" w:type="dxa"/>
            <w:vAlign w:val="center"/>
          </w:tcPr>
          <w:p w:rsidR="00CD47F4" w:rsidRPr="00785BB2" w:rsidRDefault="00D321A9" w:rsidP="00844FF6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0.</w:t>
            </w:r>
            <w:r w:rsidR="00844FF6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85</w:t>
            </w:r>
            <w:r w:rsidR="00CD47F4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844FF6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D47F4" w:rsidRPr="00696998" w:rsidTr="009B5A19">
        <w:trPr>
          <w:gridBefore w:val="1"/>
          <w:wBefore w:w="120" w:type="dxa"/>
          <w:trHeight w:val="395"/>
        </w:trPr>
        <w:tc>
          <w:tcPr>
            <w:tcW w:w="2148" w:type="dxa"/>
            <w:vAlign w:val="center"/>
          </w:tcPr>
          <w:p w:rsidR="00CD47F4" w:rsidRPr="00281386" w:rsidRDefault="00CD47F4" w:rsidP="00925334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281386">
              <w:rPr>
                <w:rFonts w:cs="Simplified Arabic"/>
                <w:snapToGrid w:val="0"/>
                <w:color w:val="000000"/>
              </w:rPr>
              <w:t xml:space="preserve">  </w:t>
            </w:r>
            <w:r w:rsidR="00925334">
              <w:rPr>
                <w:rFonts w:cs="Simplified Arabic"/>
                <w:b/>
                <w:bCs/>
                <w:snapToGrid w:val="0"/>
                <w:color w:val="000000"/>
              </w:rPr>
              <w:t>2022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 xml:space="preserve"> Com. </w:t>
            </w:r>
            <w:r w:rsidR="00925334">
              <w:rPr>
                <w:rFonts w:cs="Simplified Arabic"/>
                <w:b/>
                <w:bCs/>
                <w:snapToGrid w:val="0"/>
                <w:color w:val="000000"/>
              </w:rPr>
              <w:t>2021</w:t>
            </w:r>
            <w:r w:rsidRPr="00281386">
              <w:rPr>
                <w:rFonts w:cs="Simplified Arabic"/>
                <w:b/>
                <w:bCs/>
                <w:snapToGrid w:val="0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D47F4" w:rsidRPr="001118B5" w:rsidRDefault="00844FF6" w:rsidP="00D321A9">
            <w:pPr>
              <w:pStyle w:val="Header"/>
              <w:ind w:right="-180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3.27</w:t>
            </w:r>
            <w:r w:rsidR="00CD47F4" w:rsidRPr="001118B5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D321A9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</w:p>
        </w:tc>
      </w:tr>
    </w:tbl>
    <w:p w:rsidR="00CD47F4" w:rsidRDefault="00CD47F4" w:rsidP="00CD47F4">
      <w:pPr>
        <w:bidi w:val="0"/>
        <w:jc w:val="center"/>
        <w:rPr>
          <w:b/>
          <w:bCs/>
        </w:rPr>
      </w:pPr>
    </w:p>
    <w:p w:rsidR="00CD47F4" w:rsidRDefault="00CD47F4" w:rsidP="00CD47F4">
      <w:pPr>
        <w:bidi w:val="0"/>
        <w:jc w:val="center"/>
        <w:rPr>
          <w:b/>
          <w:bCs/>
        </w:rPr>
      </w:pPr>
    </w:p>
    <w:p w:rsidR="00CD47F4" w:rsidRDefault="00CD47F4" w:rsidP="00C95187">
      <w:pPr>
        <w:bidi w:val="0"/>
        <w:jc w:val="center"/>
        <w:rPr>
          <w:b/>
          <w:bCs/>
        </w:rPr>
      </w:pPr>
      <w:r w:rsidRPr="00254168">
        <w:rPr>
          <w:b/>
          <w:bCs/>
        </w:rPr>
        <w:t xml:space="preserve">The trend line of the Industrial Production Index in Palestine, for the </w:t>
      </w:r>
      <w:r w:rsidRPr="001118B5">
        <w:rPr>
          <w:b/>
          <w:bCs/>
        </w:rPr>
        <w:t>period</w:t>
      </w:r>
      <w:r w:rsidRPr="00254168">
        <w:rPr>
          <w:b/>
          <w:bCs/>
        </w:rPr>
        <w:t>:</w:t>
      </w:r>
      <w:r>
        <w:rPr>
          <w:b/>
          <w:bCs/>
        </w:rPr>
        <w:t xml:space="preserve"> January - December</w:t>
      </w:r>
      <w:r w:rsidRPr="00254168">
        <w:rPr>
          <w:b/>
          <w:bCs/>
        </w:rPr>
        <w:t xml:space="preserve"> </w:t>
      </w:r>
      <w:r w:rsidR="00844FF6">
        <w:rPr>
          <w:b/>
          <w:bCs/>
        </w:rPr>
        <w:t>2022</w:t>
      </w:r>
      <w:r w:rsidR="00C95187">
        <w:rPr>
          <w:b/>
          <w:bCs/>
        </w:rPr>
        <w:t xml:space="preserve"> </w:t>
      </w:r>
      <w:r w:rsidRPr="00254168">
        <w:rPr>
          <w:b/>
          <w:bCs/>
        </w:rPr>
        <w:t xml:space="preserve">(Base </w:t>
      </w:r>
      <w:r>
        <w:rPr>
          <w:b/>
          <w:bCs/>
        </w:rPr>
        <w:t>Year</w:t>
      </w:r>
      <w:r w:rsidRPr="00254168">
        <w:rPr>
          <w:b/>
          <w:bCs/>
        </w:rPr>
        <w:t xml:space="preserve"> 201</w:t>
      </w:r>
      <w:r w:rsidR="00D321A9">
        <w:rPr>
          <w:b/>
          <w:bCs/>
        </w:rPr>
        <w:t>9</w:t>
      </w:r>
      <w:r>
        <w:rPr>
          <w:b/>
          <w:bCs/>
        </w:rPr>
        <w:t xml:space="preserve"> </w:t>
      </w:r>
      <w:r w:rsidRPr="00254168">
        <w:rPr>
          <w:b/>
          <w:bCs/>
        </w:rPr>
        <w:t>=</w:t>
      </w:r>
      <w:r>
        <w:rPr>
          <w:b/>
          <w:bCs/>
        </w:rPr>
        <w:t xml:space="preserve"> </w:t>
      </w:r>
      <w:r w:rsidRPr="00254168">
        <w:rPr>
          <w:b/>
          <w:bCs/>
        </w:rPr>
        <w:t>100)</w:t>
      </w:r>
    </w:p>
    <w:p w:rsidR="00CD47F4" w:rsidRPr="00324426" w:rsidRDefault="00CD47F4" w:rsidP="00CD47F4">
      <w:pPr>
        <w:jc w:val="center"/>
        <w:rPr>
          <w:b/>
          <w:bCs/>
          <w:sz w:val="12"/>
          <w:szCs w:val="12"/>
        </w:rPr>
      </w:pPr>
    </w:p>
    <w:p w:rsidR="00CD47F4" w:rsidRPr="00254168" w:rsidRDefault="00CD47F4" w:rsidP="00CD47F4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6"/>
      </w:tblGrid>
      <w:tr w:rsidR="00CD47F4" w:rsidTr="009B5A19">
        <w:trPr>
          <w:jc w:val="center"/>
        </w:trPr>
        <w:tc>
          <w:tcPr>
            <w:tcW w:w="4260" w:type="dxa"/>
          </w:tcPr>
          <w:p w:rsidR="00CD47F4" w:rsidRDefault="00CD47F4" w:rsidP="009B5A1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 wp14:anchorId="2D284298" wp14:editId="7C8F86E6">
                  <wp:extent cx="2968388" cy="2545307"/>
                  <wp:effectExtent l="0" t="0" r="381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D47F4" w:rsidRDefault="00CD47F4" w:rsidP="00CD47F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C95187" w:rsidRDefault="002B7AD5" w:rsidP="002B7AD5">
      <w:pPr>
        <w:pStyle w:val="ListParagraph"/>
        <w:bidi w:val="0"/>
        <w:ind w:left="0"/>
        <w:jc w:val="both"/>
        <w:rPr>
          <w:b/>
          <w:bCs/>
          <w:color w:val="FF0000"/>
          <w:sz w:val="22"/>
          <w:szCs w:val="22"/>
        </w:rPr>
      </w:pPr>
      <w:r w:rsidRPr="00C95187">
        <w:rPr>
          <w:b/>
          <w:bCs/>
          <w:color w:val="FF0000"/>
          <w:sz w:val="22"/>
          <w:szCs w:val="22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sectPr w:rsidR="002B7AD5" w:rsidSect="00B969EA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61" w:rsidRDefault="00AD0561">
      <w:r>
        <w:separator/>
      </w:r>
    </w:p>
  </w:endnote>
  <w:endnote w:type="continuationSeparator" w:id="0">
    <w:p w:rsidR="00AD0561" w:rsidRDefault="00AD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61" w:rsidRDefault="00AD0561">
      <w:r>
        <w:separator/>
      </w:r>
    </w:p>
  </w:footnote>
  <w:footnote w:type="continuationSeparator" w:id="0">
    <w:p w:rsidR="00AD0561" w:rsidRDefault="00AD0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3BB2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2FC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4FF6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334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3D42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0561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69EA"/>
    <w:rsid w:val="00B97250"/>
    <w:rsid w:val="00BA1EED"/>
    <w:rsid w:val="00BA2922"/>
    <w:rsid w:val="00BA2ED9"/>
    <w:rsid w:val="00BB0E94"/>
    <w:rsid w:val="00BC03A1"/>
    <w:rsid w:val="00BC653B"/>
    <w:rsid w:val="00BC6D19"/>
    <w:rsid w:val="00BC72A1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51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3B23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9F706B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9712126581835"/>
          <c:y val="5.6031947533168112E-2"/>
          <c:w val="0.75733731574174257"/>
          <c:h val="0.657170258561999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4521747040926709E-2"/>
                  <c:y val="4.5615461989407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FC-4721-8EB3-6319170F2010}"/>
                </c:ext>
              </c:extLst>
            </c:dLbl>
            <c:dLbl>
              <c:idx val="11"/>
              <c:layout>
                <c:manualLayout>
                  <c:x val="-1.2835249300293622E-2"/>
                  <c:y val="-4.9895749314326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FC-4721-8EB3-6319170F2010}"/>
                </c:ext>
              </c:extLst>
            </c:dLbl>
            <c:dLbl>
              <c:idx val="12"/>
              <c:layout>
                <c:manualLayout>
                  <c:x val="-1.3172132484028375E-4"/>
                  <c:y val="4.342148118085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FC-4721-8EB3-6319170F20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Sheet1!$A$2:$L$2</c:f>
              <c:strCache>
                <c:ptCount val="12"/>
                <c:pt idx="0">
                  <c:v>Jan. 2022</c:v>
                </c:pt>
                <c:pt idx="1">
                  <c:v>Feb. 2022</c:v>
                </c:pt>
                <c:pt idx="2">
                  <c:v>Mar. 2022</c:v>
                </c:pt>
                <c:pt idx="3">
                  <c:v>Apr. 2022</c:v>
                </c:pt>
                <c:pt idx="4">
                  <c:v>May. 2022</c:v>
                </c:pt>
                <c:pt idx="5">
                  <c:v>Jun. 2022</c:v>
                </c:pt>
                <c:pt idx="6">
                  <c:v>Jul. 2022</c:v>
                </c:pt>
                <c:pt idx="7">
                  <c:v>Aug. 2022</c:v>
                </c:pt>
                <c:pt idx="8">
                  <c:v>Sep. 2022</c:v>
                </c:pt>
                <c:pt idx="9">
                  <c:v>Oct. 2022</c:v>
                </c:pt>
                <c:pt idx="10">
                  <c:v>Nov. 2022</c:v>
                </c:pt>
                <c:pt idx="11">
                  <c:v>Dec. 2022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99.090153348464213</c:v>
                </c:pt>
                <c:pt idx="1">
                  <c:v>105.01442770044952</c:v>
                </c:pt>
                <c:pt idx="2">
                  <c:v>110.87055982901208</c:v>
                </c:pt>
                <c:pt idx="3">
                  <c:v>98.630608170772234</c:v>
                </c:pt>
                <c:pt idx="4">
                  <c:v>106.44684785905123</c:v>
                </c:pt>
                <c:pt idx="5">
                  <c:v>118.5662337519952</c:v>
                </c:pt>
                <c:pt idx="6">
                  <c:v>105.0381419713429</c:v>
                </c:pt>
                <c:pt idx="7">
                  <c:v>113.22922361572098</c:v>
                </c:pt>
                <c:pt idx="8">
                  <c:v>110.3933525378575</c:v>
                </c:pt>
                <c:pt idx="9">
                  <c:v>114.4685897559242</c:v>
                </c:pt>
                <c:pt idx="10">
                  <c:v>109.63683025812966</c:v>
                </c:pt>
                <c:pt idx="11">
                  <c:v>110.5678187196889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3FC-4721-8EB3-6319170F2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54464"/>
        <c:axId val="118656000"/>
      </c:lineChart>
      <c:catAx>
        <c:axId val="1186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8656000"/>
        <c:crossesAt val="90"/>
        <c:auto val="1"/>
        <c:lblAlgn val="ctr"/>
        <c:lblOffset val="100"/>
        <c:noMultiLvlLbl val="0"/>
      </c:catAx>
      <c:valAx>
        <c:axId val="118656000"/>
        <c:scaling>
          <c:orientation val="minMax"/>
          <c:max val="120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crossAx val="11865446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4DA9-0E95-477C-B2FE-426F7658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2225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2021-08-31T11:13:00Z</cp:lastPrinted>
  <dcterms:created xsi:type="dcterms:W3CDTF">2023-02-02T07:52:00Z</dcterms:created>
  <dcterms:modified xsi:type="dcterms:W3CDTF">2023-02-02T07:52:00Z</dcterms:modified>
</cp:coreProperties>
</file>