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D6" w:rsidRDefault="00E538D6" w:rsidP="00E538D6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E538D6" w:rsidRDefault="00E538D6" w:rsidP="00E538D6">
      <w:pPr>
        <w:bidi w:val="0"/>
        <w:spacing w:line="360" w:lineRule="auto"/>
        <w:jc w:val="both"/>
        <w:outlineLvl w:val="0"/>
        <w:rPr>
          <w:b/>
          <w:bCs/>
        </w:rPr>
      </w:pPr>
    </w:p>
    <w:p w:rsidR="00E538D6" w:rsidRDefault="00F73AF6" w:rsidP="00E538D6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E538D6">
        <w:rPr>
          <w:b/>
          <w:bCs/>
          <w:sz w:val="28"/>
          <w:szCs w:val="28"/>
        </w:rPr>
        <w:t xml:space="preserve">Sharp </w:t>
      </w:r>
      <w:r w:rsidR="009E7E2F" w:rsidRPr="00E538D6">
        <w:rPr>
          <w:b/>
          <w:bCs/>
          <w:sz w:val="28"/>
          <w:szCs w:val="28"/>
        </w:rPr>
        <w:t>Decrease</w:t>
      </w:r>
      <w:r w:rsidR="00FD0669" w:rsidRPr="00E538D6">
        <w:rPr>
          <w:b/>
          <w:bCs/>
          <w:sz w:val="28"/>
          <w:szCs w:val="28"/>
        </w:rPr>
        <w:t xml:space="preserve"> in the Industrial Production Index (IPI) in Palestine</w:t>
      </w:r>
    </w:p>
    <w:p w:rsidR="00FD0669" w:rsidRPr="00E538D6" w:rsidRDefault="00FD0669" w:rsidP="00E538D6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E538D6">
        <w:rPr>
          <w:b/>
          <w:bCs/>
          <w:kern w:val="36"/>
          <w:sz w:val="28"/>
          <w:szCs w:val="28"/>
        </w:rPr>
        <w:t xml:space="preserve"> </w:t>
      </w:r>
      <w:r w:rsidRPr="00E538D6">
        <w:rPr>
          <w:b/>
          <w:bCs/>
          <w:sz w:val="28"/>
          <w:szCs w:val="28"/>
        </w:rPr>
        <w:t xml:space="preserve">during </w:t>
      </w:r>
      <w:r w:rsidR="009B7A56" w:rsidRPr="00E538D6">
        <w:rPr>
          <w:b/>
          <w:bCs/>
          <w:kern w:val="36"/>
          <w:sz w:val="28"/>
          <w:szCs w:val="28"/>
        </w:rPr>
        <w:t>2024</w:t>
      </w:r>
    </w:p>
    <w:p w:rsidR="00FD0669" w:rsidRPr="00E538D6" w:rsidRDefault="00FD0669" w:rsidP="00BE5F22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E538D6">
        <w:rPr>
          <w:sz w:val="26"/>
          <w:szCs w:val="26"/>
        </w:rPr>
        <w:t>The overall</w:t>
      </w:r>
      <w:r w:rsidRPr="00E538D6">
        <w:rPr>
          <w:b/>
          <w:bCs/>
          <w:sz w:val="26"/>
          <w:szCs w:val="26"/>
        </w:rPr>
        <w:t xml:space="preserve"> IPI in Palestine </w:t>
      </w:r>
      <w:r w:rsidRPr="00E538D6">
        <w:rPr>
          <w:sz w:val="26"/>
          <w:szCs w:val="26"/>
        </w:rPr>
        <w:t>with its Base Year (2019 = 100) reached</w:t>
      </w:r>
      <w:r w:rsidRPr="00E538D6">
        <w:rPr>
          <w:b/>
          <w:bCs/>
          <w:sz w:val="26"/>
          <w:szCs w:val="26"/>
        </w:rPr>
        <w:t xml:space="preserve"> </w:t>
      </w:r>
      <w:r w:rsidR="00BE5F22" w:rsidRPr="00E538D6">
        <w:rPr>
          <w:b/>
          <w:bCs/>
          <w:sz w:val="26"/>
          <w:szCs w:val="26"/>
        </w:rPr>
        <w:t>80.01</w:t>
      </w:r>
      <w:r w:rsidRPr="00E538D6">
        <w:rPr>
          <w:sz w:val="26"/>
          <w:szCs w:val="26"/>
        </w:rPr>
        <w:t xml:space="preserve"> </w:t>
      </w:r>
      <w:r w:rsidRPr="00E538D6">
        <w:rPr>
          <w:b/>
          <w:bCs/>
          <w:sz w:val="26"/>
          <w:szCs w:val="26"/>
        </w:rPr>
        <w:t xml:space="preserve">in </w:t>
      </w:r>
      <w:r w:rsidR="009B7A56" w:rsidRPr="00E538D6">
        <w:rPr>
          <w:b/>
          <w:bCs/>
          <w:sz w:val="26"/>
          <w:szCs w:val="26"/>
        </w:rPr>
        <w:t>2024</w:t>
      </w:r>
      <w:r w:rsidR="00C93B1F" w:rsidRPr="00E538D6">
        <w:rPr>
          <w:sz w:val="26"/>
          <w:szCs w:val="26"/>
        </w:rPr>
        <w:t>, which</w:t>
      </w:r>
      <w:r w:rsidRPr="00E538D6">
        <w:rPr>
          <w:b/>
          <w:bCs/>
          <w:sz w:val="26"/>
          <w:szCs w:val="26"/>
        </w:rPr>
        <w:t xml:space="preserve"> indicates </w:t>
      </w:r>
      <w:r w:rsidR="00F73AF6" w:rsidRPr="00E538D6">
        <w:rPr>
          <w:b/>
          <w:bCs/>
          <w:sz w:val="26"/>
          <w:szCs w:val="26"/>
        </w:rPr>
        <w:t xml:space="preserve">a sharp decrease </w:t>
      </w:r>
      <w:r w:rsidRPr="00E538D6">
        <w:rPr>
          <w:b/>
          <w:bCs/>
          <w:sz w:val="26"/>
          <w:szCs w:val="26"/>
        </w:rPr>
        <w:t xml:space="preserve">by </w:t>
      </w:r>
      <w:r w:rsidR="00BE5F22" w:rsidRPr="00E538D6">
        <w:rPr>
          <w:b/>
          <w:bCs/>
          <w:sz w:val="26"/>
          <w:szCs w:val="26"/>
        </w:rPr>
        <w:t>19.84</w:t>
      </w:r>
      <w:r w:rsidRPr="00E538D6">
        <w:rPr>
          <w:b/>
          <w:bCs/>
          <w:sz w:val="26"/>
          <w:szCs w:val="26"/>
        </w:rPr>
        <w:t>% compared to</w:t>
      </w:r>
      <w:r w:rsidRPr="00E538D6">
        <w:rPr>
          <w:sz w:val="26"/>
          <w:szCs w:val="26"/>
        </w:rPr>
        <w:t xml:space="preserve"> </w:t>
      </w:r>
      <w:r w:rsidR="00BE5F22" w:rsidRPr="00E538D6">
        <w:rPr>
          <w:b/>
          <w:bCs/>
          <w:sz w:val="26"/>
          <w:szCs w:val="26"/>
        </w:rPr>
        <w:t>2023</w:t>
      </w:r>
      <w:r w:rsidRPr="00E538D6">
        <w:rPr>
          <w:sz w:val="26"/>
          <w:szCs w:val="26"/>
        </w:rPr>
        <w:t>.</w:t>
      </w:r>
    </w:p>
    <w:p w:rsidR="00FD0669" w:rsidRPr="00E538D6" w:rsidRDefault="00FD0669" w:rsidP="00E538D6">
      <w:pPr>
        <w:spacing w:line="360" w:lineRule="auto"/>
        <w:jc w:val="right"/>
        <w:outlineLvl w:val="0"/>
        <w:rPr>
          <w:sz w:val="10"/>
          <w:szCs w:val="10"/>
        </w:rPr>
      </w:pPr>
    </w:p>
    <w:p w:rsidR="00FD0669" w:rsidRPr="00E538D6" w:rsidRDefault="00FD0669" w:rsidP="002510AF">
      <w:pPr>
        <w:bidi w:val="0"/>
        <w:spacing w:line="360" w:lineRule="auto"/>
        <w:jc w:val="both"/>
        <w:outlineLvl w:val="0"/>
        <w:rPr>
          <w:rFonts w:asciiTheme="majorBidi" w:hAnsiTheme="majorBidi" w:cstheme="majorBidi"/>
          <w:sz w:val="26"/>
          <w:szCs w:val="26"/>
          <w:rtl/>
        </w:rPr>
      </w:pPr>
      <w:r w:rsidRPr="00E538D6">
        <w:rPr>
          <w:sz w:val="26"/>
          <w:szCs w:val="26"/>
        </w:rPr>
        <w:t xml:space="preserve">IPI for </w:t>
      </w:r>
      <w:r w:rsidR="00E05970" w:rsidRPr="00E538D6">
        <w:rPr>
          <w:sz w:val="26"/>
          <w:szCs w:val="26"/>
        </w:rPr>
        <w:t>2024</w:t>
      </w:r>
      <w:r w:rsidRPr="00E538D6">
        <w:rPr>
          <w:sz w:val="26"/>
          <w:szCs w:val="26"/>
        </w:rPr>
        <w:t xml:space="preserve"> </w:t>
      </w:r>
      <w:r w:rsidR="009E7E2F" w:rsidRPr="00E538D6">
        <w:rPr>
          <w:sz w:val="26"/>
          <w:szCs w:val="26"/>
        </w:rPr>
        <w:t xml:space="preserve">sharply </w:t>
      </w:r>
      <w:r w:rsidR="0053497C" w:rsidRPr="00E538D6">
        <w:rPr>
          <w:sz w:val="26"/>
          <w:szCs w:val="26"/>
        </w:rPr>
        <w:t>decease</w:t>
      </w:r>
      <w:r w:rsidR="00F440BA" w:rsidRPr="00E538D6">
        <w:rPr>
          <w:sz w:val="26"/>
          <w:szCs w:val="26"/>
        </w:rPr>
        <w:t>d</w:t>
      </w:r>
      <w:r w:rsidRPr="00E538D6">
        <w:rPr>
          <w:sz w:val="26"/>
          <w:szCs w:val="26"/>
        </w:rPr>
        <w:t xml:space="preserve"> due to the</w:t>
      </w:r>
      <w:r w:rsidR="009E7E2F" w:rsidRPr="00E538D6">
        <w:rPr>
          <w:sz w:val="26"/>
          <w:szCs w:val="26"/>
        </w:rPr>
        <w:t xml:space="preserve"> sharp</w:t>
      </w:r>
      <w:r w:rsidRPr="00E538D6">
        <w:rPr>
          <w:sz w:val="26"/>
          <w:szCs w:val="26"/>
        </w:rPr>
        <w:t xml:space="preserve"> </w:t>
      </w:r>
      <w:r w:rsidR="0053497C" w:rsidRPr="00E538D6">
        <w:rPr>
          <w:sz w:val="26"/>
          <w:szCs w:val="26"/>
        </w:rPr>
        <w:t>decrease</w:t>
      </w:r>
      <w:r w:rsidRPr="00E538D6">
        <w:rPr>
          <w:sz w:val="26"/>
          <w:szCs w:val="26"/>
        </w:rPr>
        <w:t xml:space="preserve"> in the </w:t>
      </w:r>
      <w:r w:rsidR="00E05970" w:rsidRPr="00E538D6">
        <w:rPr>
          <w:b/>
          <w:bCs/>
          <w:sz w:val="26"/>
          <w:szCs w:val="26"/>
        </w:rPr>
        <w:t>activities of</w:t>
      </w:r>
      <w:r w:rsidR="00E05970" w:rsidRPr="00E538D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E05970" w:rsidRPr="00E538D6">
        <w:rPr>
          <w:b/>
          <w:bCs/>
          <w:sz w:val="26"/>
          <w:szCs w:val="26"/>
        </w:rPr>
        <w:t>Manufacturing Industry</w:t>
      </w:r>
      <w:r w:rsidR="00E05970" w:rsidRPr="00E538D6">
        <w:rPr>
          <w:rFonts w:asciiTheme="majorBidi" w:hAnsiTheme="majorBidi" w:cstheme="majorBidi"/>
          <w:sz w:val="26"/>
          <w:szCs w:val="26"/>
        </w:rPr>
        <w:t xml:space="preserve"> </w:t>
      </w:r>
      <w:r w:rsidR="00E05970" w:rsidRPr="00E538D6">
        <w:rPr>
          <w:sz w:val="26"/>
          <w:szCs w:val="26"/>
        </w:rPr>
        <w:t xml:space="preserve">by 21.77%, the </w:t>
      </w:r>
      <w:r w:rsidR="00E05970" w:rsidRPr="00E538D6">
        <w:rPr>
          <w:b/>
          <w:bCs/>
          <w:sz w:val="26"/>
          <w:szCs w:val="26"/>
        </w:rPr>
        <w:t>activities of</w:t>
      </w:r>
      <w:r w:rsidR="00E05970" w:rsidRPr="00E538D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E05970" w:rsidRPr="00E538D6">
        <w:rPr>
          <w:b/>
          <w:bCs/>
          <w:sz w:val="26"/>
          <w:szCs w:val="26"/>
        </w:rPr>
        <w:t xml:space="preserve">Electricity, Gas, Steam and Air Conditioning Supply </w:t>
      </w:r>
      <w:r w:rsidR="00E05970" w:rsidRPr="00E538D6">
        <w:rPr>
          <w:sz w:val="26"/>
          <w:szCs w:val="26"/>
        </w:rPr>
        <w:t xml:space="preserve">by 11.22%, and the </w:t>
      </w:r>
      <w:r w:rsidR="00E05970" w:rsidRPr="00E538D6">
        <w:rPr>
          <w:b/>
          <w:bCs/>
          <w:sz w:val="26"/>
          <w:szCs w:val="26"/>
        </w:rPr>
        <w:t>activities of</w:t>
      </w:r>
      <w:r w:rsidR="00E05970" w:rsidRPr="00E538D6">
        <w:rPr>
          <w:rFonts w:asciiTheme="majorBidi" w:hAnsiTheme="majorBidi" w:cstheme="majorBidi"/>
          <w:sz w:val="26"/>
          <w:szCs w:val="26"/>
        </w:rPr>
        <w:t xml:space="preserve"> </w:t>
      </w:r>
      <w:r w:rsidR="00E05970" w:rsidRPr="00E538D6">
        <w:rPr>
          <w:b/>
          <w:bCs/>
          <w:sz w:val="26"/>
          <w:szCs w:val="26"/>
        </w:rPr>
        <w:t>Mining and Quarrying</w:t>
      </w:r>
      <w:r w:rsidR="00E05970" w:rsidRPr="00E538D6">
        <w:rPr>
          <w:sz w:val="26"/>
          <w:szCs w:val="26"/>
        </w:rPr>
        <w:t xml:space="preserve"> increased by 4.91%, While, the </w:t>
      </w:r>
      <w:r w:rsidR="00E05970" w:rsidRPr="00E538D6">
        <w:rPr>
          <w:b/>
          <w:bCs/>
          <w:sz w:val="26"/>
          <w:szCs w:val="26"/>
        </w:rPr>
        <w:t>activities of</w:t>
      </w:r>
      <w:r w:rsidR="00E05970" w:rsidRPr="00E538D6">
        <w:rPr>
          <w:rFonts w:asciiTheme="majorBidi" w:hAnsiTheme="majorBidi" w:cstheme="majorBidi"/>
          <w:sz w:val="26"/>
          <w:szCs w:val="26"/>
        </w:rPr>
        <w:t xml:space="preserve"> </w:t>
      </w:r>
      <w:r w:rsidR="00E05970" w:rsidRPr="00E538D6">
        <w:rPr>
          <w:b/>
          <w:bCs/>
          <w:sz w:val="26"/>
          <w:szCs w:val="26"/>
        </w:rPr>
        <w:t>Water Supply, Sewerage, Waste Management and</w:t>
      </w:r>
      <w:r w:rsidR="00E05970" w:rsidRPr="00E538D6">
        <w:rPr>
          <w:rFonts w:asciiTheme="majorBidi" w:hAnsiTheme="majorBidi" w:cstheme="majorBidi"/>
          <w:b/>
          <w:bCs/>
          <w:sz w:val="26"/>
          <w:szCs w:val="26"/>
        </w:rPr>
        <w:t xml:space="preserve"> Remediation</w:t>
      </w:r>
      <w:r w:rsidR="00E05970" w:rsidRPr="00E538D6">
        <w:rPr>
          <w:b/>
          <w:bCs/>
          <w:sz w:val="26"/>
          <w:szCs w:val="26"/>
        </w:rPr>
        <w:t xml:space="preserve"> </w:t>
      </w:r>
      <w:r w:rsidR="00E05970" w:rsidRPr="00E538D6">
        <w:rPr>
          <w:sz w:val="26"/>
          <w:szCs w:val="26"/>
        </w:rPr>
        <w:t>increased</w:t>
      </w:r>
      <w:r w:rsidR="00E05970" w:rsidRPr="00E538D6">
        <w:rPr>
          <w:b/>
          <w:bCs/>
          <w:sz w:val="26"/>
          <w:szCs w:val="26"/>
        </w:rPr>
        <w:t xml:space="preserve"> </w:t>
      </w:r>
      <w:r w:rsidR="00E05970" w:rsidRPr="00E538D6">
        <w:rPr>
          <w:sz w:val="26"/>
          <w:szCs w:val="26"/>
        </w:rPr>
        <w:t xml:space="preserve">by 2.61%. </w:t>
      </w:r>
    </w:p>
    <w:p w:rsidR="00FD0669" w:rsidRPr="00CB63C2" w:rsidRDefault="00FD0669" w:rsidP="00FD0669">
      <w:pPr>
        <w:autoSpaceDE w:val="0"/>
        <w:autoSpaceDN w:val="0"/>
        <w:adjustRightInd w:val="0"/>
        <w:spacing w:line="360" w:lineRule="auto"/>
        <w:jc w:val="both"/>
        <w:rPr>
          <w:snapToGrid w:val="0"/>
          <w:sz w:val="16"/>
          <w:szCs w:val="16"/>
        </w:rPr>
      </w:pPr>
    </w:p>
    <w:p w:rsidR="00FD0669" w:rsidRPr="00E538D6" w:rsidRDefault="00FD0669" w:rsidP="00F37431">
      <w:pPr>
        <w:autoSpaceDE w:val="0"/>
        <w:autoSpaceDN w:val="0"/>
        <w:bidi w:val="0"/>
        <w:adjustRightInd w:val="0"/>
        <w:spacing w:line="360" w:lineRule="auto"/>
        <w:jc w:val="both"/>
        <w:rPr>
          <w:b/>
          <w:bCs/>
        </w:rPr>
      </w:pPr>
      <w:r w:rsidRPr="00E538D6">
        <w:rPr>
          <w:b/>
          <w:bCs/>
        </w:rPr>
        <w:t xml:space="preserve">The table below shows yearly percent changes in IPI in Palestine for the period </w:t>
      </w:r>
      <w:r w:rsidR="00F37431" w:rsidRPr="00E538D6">
        <w:rPr>
          <w:b/>
          <w:bCs/>
        </w:rPr>
        <w:t>2013</w:t>
      </w:r>
      <w:r w:rsidRPr="00E538D6">
        <w:rPr>
          <w:b/>
          <w:bCs/>
        </w:rPr>
        <w:t xml:space="preserve"> – </w:t>
      </w:r>
      <w:r w:rsidR="00F37431" w:rsidRPr="00E538D6">
        <w:rPr>
          <w:b/>
          <w:bCs/>
        </w:rPr>
        <w:t>2024</w:t>
      </w:r>
      <w:r w:rsidRPr="00E538D6">
        <w:rPr>
          <w:b/>
          <w:bCs/>
        </w:rPr>
        <w:t>:</w:t>
      </w:r>
    </w:p>
    <w:p w:rsidR="00FD0669" w:rsidRPr="00CB63C2" w:rsidRDefault="00FD0669" w:rsidP="00FD0669">
      <w:pPr>
        <w:autoSpaceDE w:val="0"/>
        <w:autoSpaceDN w:val="0"/>
        <w:adjustRightInd w:val="0"/>
        <w:jc w:val="both"/>
        <w:rPr>
          <w:snapToGrid w:val="0"/>
          <w:sz w:val="16"/>
          <w:szCs w:val="16"/>
        </w:rPr>
      </w:pPr>
    </w:p>
    <w:tbl>
      <w:tblPr>
        <w:tblW w:w="4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16"/>
      </w:tblGrid>
      <w:tr w:rsidR="00CB63C2" w:rsidRPr="00CB63C2" w:rsidTr="00E538D6">
        <w:trPr>
          <w:trHeight w:val="397"/>
          <w:jc w:val="center"/>
        </w:trPr>
        <w:tc>
          <w:tcPr>
            <w:tcW w:w="1701" w:type="dxa"/>
            <w:vAlign w:val="center"/>
          </w:tcPr>
          <w:p w:rsidR="00FD0669" w:rsidRPr="00CB63C2" w:rsidRDefault="00FD0669" w:rsidP="00113FC5">
            <w:pPr>
              <w:autoSpaceDE w:val="0"/>
              <w:autoSpaceDN w:val="0"/>
              <w:bidi w:val="0"/>
              <w:adjustRightInd w:val="0"/>
              <w:rPr>
                <w:b/>
                <w:bCs/>
                <w:snapToGrid w:val="0"/>
              </w:rPr>
            </w:pPr>
            <w:r w:rsidRPr="00CB63C2">
              <w:rPr>
                <w:b/>
                <w:bCs/>
                <w:snapToGrid w:val="0"/>
              </w:rPr>
              <w:t>Year</w:t>
            </w:r>
          </w:p>
        </w:tc>
        <w:tc>
          <w:tcPr>
            <w:tcW w:w="2516" w:type="dxa"/>
            <w:vAlign w:val="center"/>
          </w:tcPr>
          <w:p w:rsidR="00FD0669" w:rsidRPr="00CB63C2" w:rsidRDefault="00FD0669" w:rsidP="00113FC5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</w:rPr>
            </w:pPr>
            <w:r w:rsidRPr="00CB63C2">
              <w:rPr>
                <w:b/>
                <w:bCs/>
                <w:snapToGrid w:val="0"/>
              </w:rPr>
              <w:t>Percent Changes %</w:t>
            </w:r>
          </w:p>
        </w:tc>
      </w:tr>
      <w:tr w:rsidR="00CB63C2" w:rsidRPr="00CB63C2" w:rsidTr="00E538D6">
        <w:trPr>
          <w:trHeight w:val="397"/>
          <w:jc w:val="center"/>
        </w:trPr>
        <w:tc>
          <w:tcPr>
            <w:tcW w:w="1701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CB63C2">
              <w:rPr>
                <w:snapToGrid w:val="0"/>
              </w:rPr>
              <w:t>2013</w:t>
            </w:r>
          </w:p>
        </w:tc>
        <w:tc>
          <w:tcPr>
            <w:tcW w:w="2516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CB63C2">
              <w:rPr>
                <w:snapToGrid w:val="0"/>
              </w:rPr>
              <w:t>+ 7.82</w:t>
            </w:r>
          </w:p>
        </w:tc>
      </w:tr>
      <w:tr w:rsidR="00CB63C2" w:rsidRPr="00CB63C2" w:rsidTr="00E538D6">
        <w:trPr>
          <w:trHeight w:val="397"/>
          <w:jc w:val="center"/>
        </w:trPr>
        <w:tc>
          <w:tcPr>
            <w:tcW w:w="1701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CB63C2">
              <w:rPr>
                <w:snapToGrid w:val="0"/>
              </w:rPr>
              <w:t>2014</w:t>
            </w:r>
          </w:p>
        </w:tc>
        <w:tc>
          <w:tcPr>
            <w:tcW w:w="2516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CB63C2">
              <w:rPr>
                <w:snapToGrid w:val="0"/>
              </w:rPr>
              <w:t>- 3.92</w:t>
            </w:r>
          </w:p>
        </w:tc>
      </w:tr>
      <w:tr w:rsidR="00CB63C2" w:rsidRPr="00CB63C2" w:rsidTr="00E538D6">
        <w:trPr>
          <w:trHeight w:val="397"/>
          <w:jc w:val="center"/>
        </w:trPr>
        <w:tc>
          <w:tcPr>
            <w:tcW w:w="1701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CB63C2">
              <w:rPr>
                <w:snapToGrid w:val="0"/>
              </w:rPr>
              <w:t>2015</w:t>
            </w:r>
          </w:p>
        </w:tc>
        <w:tc>
          <w:tcPr>
            <w:tcW w:w="2516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CB63C2">
              <w:rPr>
                <w:snapToGrid w:val="0"/>
              </w:rPr>
              <w:t>- 3.80</w:t>
            </w:r>
          </w:p>
        </w:tc>
      </w:tr>
      <w:tr w:rsidR="00CB63C2" w:rsidRPr="00CB63C2" w:rsidTr="00E538D6">
        <w:trPr>
          <w:trHeight w:val="397"/>
          <w:jc w:val="center"/>
        </w:trPr>
        <w:tc>
          <w:tcPr>
            <w:tcW w:w="1701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CB63C2">
              <w:rPr>
                <w:snapToGrid w:val="0"/>
              </w:rPr>
              <w:t>2016</w:t>
            </w:r>
          </w:p>
        </w:tc>
        <w:tc>
          <w:tcPr>
            <w:tcW w:w="2516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CB63C2">
              <w:rPr>
                <w:snapToGrid w:val="0"/>
              </w:rPr>
              <w:t>+ 0.96</w:t>
            </w:r>
          </w:p>
        </w:tc>
      </w:tr>
      <w:tr w:rsidR="00CB63C2" w:rsidRPr="00CB63C2" w:rsidTr="00E538D6">
        <w:trPr>
          <w:trHeight w:val="397"/>
          <w:jc w:val="center"/>
        </w:trPr>
        <w:tc>
          <w:tcPr>
            <w:tcW w:w="1701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CB63C2">
              <w:rPr>
                <w:snapToGrid w:val="0"/>
              </w:rPr>
              <w:t>2017</w:t>
            </w:r>
          </w:p>
        </w:tc>
        <w:tc>
          <w:tcPr>
            <w:tcW w:w="2516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CB63C2">
              <w:rPr>
                <w:snapToGrid w:val="0"/>
              </w:rPr>
              <w:t>+ 4.11</w:t>
            </w:r>
          </w:p>
        </w:tc>
      </w:tr>
      <w:tr w:rsidR="00CB63C2" w:rsidRPr="00CB63C2" w:rsidTr="00E538D6">
        <w:trPr>
          <w:trHeight w:val="397"/>
          <w:jc w:val="center"/>
        </w:trPr>
        <w:tc>
          <w:tcPr>
            <w:tcW w:w="1701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CB63C2">
              <w:rPr>
                <w:snapToGrid w:val="0"/>
              </w:rPr>
              <w:t>2018</w:t>
            </w:r>
          </w:p>
        </w:tc>
        <w:tc>
          <w:tcPr>
            <w:tcW w:w="2516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CB63C2">
              <w:rPr>
                <w:snapToGrid w:val="0"/>
              </w:rPr>
              <w:t>- 3.94</w:t>
            </w:r>
          </w:p>
        </w:tc>
      </w:tr>
      <w:tr w:rsidR="00CB63C2" w:rsidRPr="00CB63C2" w:rsidTr="00E538D6">
        <w:trPr>
          <w:trHeight w:val="397"/>
          <w:jc w:val="center"/>
        </w:trPr>
        <w:tc>
          <w:tcPr>
            <w:tcW w:w="1701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CB63C2">
              <w:rPr>
                <w:snapToGrid w:val="0"/>
              </w:rPr>
              <w:t>2019</w:t>
            </w:r>
          </w:p>
        </w:tc>
        <w:tc>
          <w:tcPr>
            <w:tcW w:w="2516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CB63C2">
              <w:rPr>
                <w:snapToGrid w:val="0"/>
              </w:rPr>
              <w:t>+ 3.86</w:t>
            </w:r>
          </w:p>
        </w:tc>
      </w:tr>
      <w:tr w:rsidR="00CB63C2" w:rsidRPr="00CB63C2" w:rsidTr="00E538D6">
        <w:trPr>
          <w:trHeight w:val="397"/>
          <w:jc w:val="center"/>
        </w:trPr>
        <w:tc>
          <w:tcPr>
            <w:tcW w:w="1701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CB63C2">
              <w:rPr>
                <w:snapToGrid w:val="0"/>
              </w:rPr>
              <w:t>2020</w:t>
            </w:r>
          </w:p>
        </w:tc>
        <w:tc>
          <w:tcPr>
            <w:tcW w:w="2516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CB63C2">
              <w:rPr>
                <w:snapToGrid w:val="0"/>
              </w:rPr>
              <w:t>- 7.95</w:t>
            </w:r>
          </w:p>
        </w:tc>
      </w:tr>
      <w:tr w:rsidR="00CB63C2" w:rsidRPr="00CB63C2" w:rsidTr="00E538D6">
        <w:trPr>
          <w:trHeight w:val="397"/>
          <w:jc w:val="center"/>
        </w:trPr>
        <w:tc>
          <w:tcPr>
            <w:tcW w:w="1701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CB63C2">
              <w:rPr>
                <w:snapToGrid w:val="0"/>
              </w:rPr>
              <w:t>2021</w:t>
            </w:r>
          </w:p>
        </w:tc>
        <w:tc>
          <w:tcPr>
            <w:tcW w:w="2516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CB63C2">
              <w:rPr>
                <w:snapToGrid w:val="0"/>
              </w:rPr>
              <w:t>+ 14.13</w:t>
            </w:r>
          </w:p>
        </w:tc>
      </w:tr>
      <w:tr w:rsidR="00CB63C2" w:rsidRPr="00CB63C2" w:rsidTr="00E538D6">
        <w:trPr>
          <w:trHeight w:val="397"/>
          <w:jc w:val="center"/>
        </w:trPr>
        <w:tc>
          <w:tcPr>
            <w:tcW w:w="1701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CB63C2">
              <w:rPr>
                <w:snapToGrid w:val="0"/>
              </w:rPr>
              <w:t>2022</w:t>
            </w:r>
          </w:p>
        </w:tc>
        <w:tc>
          <w:tcPr>
            <w:tcW w:w="2516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CB63C2">
              <w:rPr>
                <w:snapToGrid w:val="0"/>
              </w:rPr>
              <w:t>+ 3.27</w:t>
            </w:r>
          </w:p>
        </w:tc>
      </w:tr>
      <w:tr w:rsidR="00CB63C2" w:rsidRPr="00CB63C2" w:rsidTr="00E538D6">
        <w:trPr>
          <w:trHeight w:val="397"/>
          <w:jc w:val="center"/>
        </w:trPr>
        <w:tc>
          <w:tcPr>
            <w:tcW w:w="1701" w:type="dxa"/>
            <w:vAlign w:val="center"/>
          </w:tcPr>
          <w:p w:rsidR="00F37431" w:rsidRPr="00CB63C2" w:rsidRDefault="00F37431" w:rsidP="00F37431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CB63C2">
              <w:rPr>
                <w:snapToGrid w:val="0"/>
              </w:rPr>
              <w:t>2023</w:t>
            </w:r>
          </w:p>
        </w:tc>
        <w:tc>
          <w:tcPr>
            <w:tcW w:w="2516" w:type="dxa"/>
            <w:vAlign w:val="center"/>
          </w:tcPr>
          <w:p w:rsidR="00F37431" w:rsidRPr="00CB63C2" w:rsidRDefault="00F37431" w:rsidP="00F3743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 w:val="0"/>
              <w:adjustRightInd w:val="0"/>
              <w:ind w:left="840" w:hanging="180"/>
              <w:jc w:val="right"/>
              <w:rPr>
                <w:snapToGrid w:val="0"/>
              </w:rPr>
            </w:pPr>
            <w:r w:rsidRPr="00CB63C2">
              <w:rPr>
                <w:snapToGrid w:val="0"/>
              </w:rPr>
              <w:t>8.01</w:t>
            </w:r>
          </w:p>
        </w:tc>
      </w:tr>
      <w:tr w:rsidR="00CB63C2" w:rsidRPr="00CB63C2" w:rsidTr="00E538D6">
        <w:trPr>
          <w:trHeight w:val="397"/>
          <w:jc w:val="center"/>
        </w:trPr>
        <w:tc>
          <w:tcPr>
            <w:tcW w:w="1701" w:type="dxa"/>
            <w:vAlign w:val="center"/>
          </w:tcPr>
          <w:p w:rsidR="00C93B1F" w:rsidRPr="00CB63C2" w:rsidRDefault="00F37431" w:rsidP="00113FC5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CB63C2">
              <w:rPr>
                <w:snapToGrid w:val="0"/>
              </w:rPr>
              <w:t>2024</w:t>
            </w:r>
          </w:p>
        </w:tc>
        <w:tc>
          <w:tcPr>
            <w:tcW w:w="2516" w:type="dxa"/>
            <w:vAlign w:val="center"/>
          </w:tcPr>
          <w:p w:rsidR="00C93B1F" w:rsidRPr="00CB63C2" w:rsidRDefault="00F37431" w:rsidP="009E7E2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 w:val="0"/>
              <w:adjustRightInd w:val="0"/>
              <w:ind w:left="840" w:hanging="180"/>
              <w:jc w:val="right"/>
              <w:rPr>
                <w:snapToGrid w:val="0"/>
              </w:rPr>
            </w:pPr>
            <w:r w:rsidRPr="00CB63C2">
              <w:rPr>
                <w:snapToGrid w:val="0"/>
              </w:rPr>
              <w:t>19.84</w:t>
            </w:r>
          </w:p>
        </w:tc>
      </w:tr>
    </w:tbl>
    <w:p w:rsidR="00FD0669" w:rsidRPr="00CB63C2" w:rsidRDefault="00FD0669" w:rsidP="00FD0669">
      <w:pPr>
        <w:jc w:val="both"/>
        <w:outlineLvl w:val="0"/>
        <w:rPr>
          <w:b/>
          <w:bCs/>
          <w:sz w:val="2"/>
          <w:szCs w:val="2"/>
        </w:rPr>
      </w:pPr>
    </w:p>
    <w:p w:rsidR="00FD0669" w:rsidRPr="00CB63C2" w:rsidRDefault="00FD0669" w:rsidP="00FD0669">
      <w:pPr>
        <w:bidi w:val="0"/>
        <w:spacing w:line="360" w:lineRule="auto"/>
        <w:jc w:val="both"/>
        <w:outlineLvl w:val="0"/>
        <w:rPr>
          <w:b/>
          <w:bCs/>
          <w:sz w:val="16"/>
          <w:szCs w:val="16"/>
        </w:rPr>
      </w:pPr>
    </w:p>
    <w:p w:rsidR="00FD0669" w:rsidRPr="00CB63C2" w:rsidRDefault="00FD0669" w:rsidP="00FD0669">
      <w:pPr>
        <w:jc w:val="center"/>
        <w:outlineLvl w:val="0"/>
        <w:rPr>
          <w:b/>
          <w:bCs/>
          <w:sz w:val="20"/>
          <w:szCs w:val="20"/>
          <w:rtl/>
        </w:rPr>
      </w:pPr>
    </w:p>
    <w:p w:rsidR="00E538D6" w:rsidRDefault="004E21C0" w:rsidP="00E538D6">
      <w:pPr>
        <w:bidi w:val="0"/>
        <w:spacing w:line="36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E538D6">
        <w:rPr>
          <w:b/>
          <w:bCs/>
          <w:sz w:val="28"/>
          <w:szCs w:val="28"/>
        </w:rPr>
        <w:t>Decrease</w:t>
      </w:r>
      <w:r w:rsidR="00FD0669" w:rsidRPr="00E538D6">
        <w:rPr>
          <w:b/>
          <w:bCs/>
          <w:sz w:val="28"/>
          <w:szCs w:val="28"/>
        </w:rPr>
        <w:t xml:space="preserve"> in the Industrial Production Index (IPI) in Palestine</w:t>
      </w:r>
    </w:p>
    <w:p w:rsidR="00FD0669" w:rsidRPr="00E538D6" w:rsidRDefault="00FD0669" w:rsidP="00C26375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E538D6">
        <w:rPr>
          <w:b/>
          <w:bCs/>
          <w:sz w:val="28"/>
          <w:szCs w:val="28"/>
        </w:rPr>
        <w:t>during December</w:t>
      </w:r>
      <w:r w:rsidR="00E538D6">
        <w:rPr>
          <w:b/>
          <w:bCs/>
          <w:sz w:val="28"/>
          <w:szCs w:val="28"/>
        </w:rPr>
        <w:t>, 12</w:t>
      </w:r>
      <w:r w:rsidR="00E538D6">
        <w:rPr>
          <w:rFonts w:hint="cs"/>
          <w:b/>
          <w:bCs/>
          <w:sz w:val="28"/>
          <w:szCs w:val="28"/>
          <w:rtl/>
        </w:rPr>
        <w:t>/</w:t>
      </w:r>
      <w:bookmarkStart w:id="0" w:name="_GoBack"/>
      <w:bookmarkEnd w:id="0"/>
      <w:r w:rsidR="0018043B" w:rsidRPr="00E538D6">
        <w:rPr>
          <w:b/>
          <w:bCs/>
          <w:kern w:val="36"/>
          <w:sz w:val="28"/>
          <w:szCs w:val="28"/>
        </w:rPr>
        <w:t>2024</w:t>
      </w:r>
    </w:p>
    <w:p w:rsidR="00FD0669" w:rsidRPr="00E538D6" w:rsidRDefault="00FD0669" w:rsidP="00E538D6">
      <w:pPr>
        <w:bidi w:val="0"/>
        <w:spacing w:line="360" w:lineRule="auto"/>
        <w:jc w:val="both"/>
        <w:rPr>
          <w:sz w:val="26"/>
          <w:szCs w:val="26"/>
          <w:rtl/>
        </w:rPr>
      </w:pPr>
      <w:r w:rsidRPr="00E538D6">
        <w:rPr>
          <w:sz w:val="26"/>
          <w:szCs w:val="26"/>
        </w:rPr>
        <w:t xml:space="preserve">The overall IPI in Palestine reached </w:t>
      </w:r>
      <w:r w:rsidR="004E21C0" w:rsidRPr="00E538D6">
        <w:rPr>
          <w:sz w:val="26"/>
          <w:szCs w:val="26"/>
        </w:rPr>
        <w:t>80.26</w:t>
      </w:r>
      <w:r w:rsidRPr="00E538D6">
        <w:rPr>
          <w:sz w:val="26"/>
          <w:szCs w:val="26"/>
        </w:rPr>
        <w:t xml:space="preserve"> during December </w:t>
      </w:r>
      <w:r w:rsidR="004E21C0" w:rsidRPr="00E538D6">
        <w:rPr>
          <w:sz w:val="26"/>
          <w:szCs w:val="26"/>
        </w:rPr>
        <w:t>2024</w:t>
      </w:r>
      <w:r w:rsidRPr="00E538D6">
        <w:rPr>
          <w:sz w:val="26"/>
          <w:szCs w:val="26"/>
        </w:rPr>
        <w:t xml:space="preserve"> with </w:t>
      </w:r>
      <w:r w:rsidR="004E21C0" w:rsidRPr="00E538D6">
        <w:rPr>
          <w:sz w:val="26"/>
          <w:szCs w:val="26"/>
        </w:rPr>
        <w:t>a decrease</w:t>
      </w:r>
      <w:r w:rsidRPr="00E538D6">
        <w:rPr>
          <w:sz w:val="26"/>
          <w:szCs w:val="26"/>
        </w:rPr>
        <w:t xml:space="preserve"> of </w:t>
      </w:r>
      <w:r w:rsidR="004E21C0" w:rsidRPr="00E538D6">
        <w:rPr>
          <w:sz w:val="26"/>
          <w:szCs w:val="26"/>
        </w:rPr>
        <w:t>1.05</w:t>
      </w:r>
      <w:r w:rsidRPr="00E538D6">
        <w:rPr>
          <w:sz w:val="26"/>
          <w:szCs w:val="26"/>
        </w:rPr>
        <w:t xml:space="preserve">% compared to November </w:t>
      </w:r>
      <w:r w:rsidR="00BF0EA2" w:rsidRPr="00E538D6">
        <w:rPr>
          <w:sz w:val="26"/>
          <w:szCs w:val="26"/>
        </w:rPr>
        <w:t>2024</w:t>
      </w:r>
      <w:r w:rsidRPr="00E538D6">
        <w:rPr>
          <w:sz w:val="26"/>
          <w:szCs w:val="26"/>
        </w:rPr>
        <w:t xml:space="preserve"> (Base Year 2019 = 100).</w:t>
      </w:r>
    </w:p>
    <w:p w:rsidR="00FD0669" w:rsidRPr="00E538D6" w:rsidRDefault="00FD0669" w:rsidP="00FD0669">
      <w:pPr>
        <w:bidi w:val="0"/>
        <w:spacing w:line="360" w:lineRule="auto"/>
        <w:jc w:val="both"/>
        <w:rPr>
          <w:sz w:val="10"/>
          <w:szCs w:val="10"/>
          <w:rtl/>
        </w:rPr>
      </w:pPr>
    </w:p>
    <w:p w:rsidR="00FD0669" w:rsidRPr="00E538D6" w:rsidRDefault="00FD0669" w:rsidP="002510AF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26"/>
          <w:szCs w:val="26"/>
        </w:rPr>
      </w:pPr>
      <w:r w:rsidRPr="00E538D6">
        <w:rPr>
          <w:sz w:val="26"/>
          <w:szCs w:val="26"/>
        </w:rPr>
        <w:t xml:space="preserve">IPI for December </w:t>
      </w:r>
      <w:r w:rsidR="00BF0EA2" w:rsidRPr="00E538D6">
        <w:rPr>
          <w:sz w:val="26"/>
          <w:szCs w:val="26"/>
        </w:rPr>
        <w:t>2024</w:t>
      </w:r>
      <w:r w:rsidRPr="00E538D6">
        <w:rPr>
          <w:sz w:val="26"/>
          <w:szCs w:val="26"/>
        </w:rPr>
        <w:t xml:space="preserve"> </w:t>
      </w:r>
      <w:r w:rsidR="00BF0EA2" w:rsidRPr="00E538D6">
        <w:rPr>
          <w:sz w:val="26"/>
          <w:szCs w:val="26"/>
        </w:rPr>
        <w:t>decreased</w:t>
      </w:r>
      <w:r w:rsidRPr="00E538D6">
        <w:rPr>
          <w:sz w:val="26"/>
          <w:szCs w:val="26"/>
        </w:rPr>
        <w:t xml:space="preserve"> due to the </w:t>
      </w:r>
      <w:r w:rsidR="00BF0EA2" w:rsidRPr="00E538D6">
        <w:rPr>
          <w:sz w:val="26"/>
          <w:szCs w:val="26"/>
        </w:rPr>
        <w:t>decrease</w:t>
      </w:r>
      <w:r w:rsidRPr="00E538D6">
        <w:rPr>
          <w:sz w:val="26"/>
          <w:szCs w:val="26"/>
        </w:rPr>
        <w:t xml:space="preserve"> </w:t>
      </w:r>
      <w:r w:rsidR="0053497C" w:rsidRPr="00E538D6">
        <w:rPr>
          <w:rFonts w:cs="Simplified Arabic"/>
          <w:snapToGrid w:val="0"/>
          <w:sz w:val="26"/>
          <w:szCs w:val="26"/>
        </w:rPr>
        <w:t xml:space="preserve">in </w:t>
      </w:r>
      <w:r w:rsidR="00BF0EA2" w:rsidRPr="00E538D6">
        <w:rPr>
          <w:sz w:val="26"/>
          <w:szCs w:val="26"/>
        </w:rPr>
        <w:t>the</w:t>
      </w:r>
      <w:r w:rsidR="00BF0EA2" w:rsidRPr="00E538D6">
        <w:rPr>
          <w:b/>
          <w:bCs/>
          <w:sz w:val="26"/>
          <w:szCs w:val="26"/>
        </w:rPr>
        <w:t xml:space="preserve"> activities of</w:t>
      </w:r>
      <w:r w:rsidR="00BF0EA2" w:rsidRPr="00E538D6">
        <w:rPr>
          <w:sz w:val="26"/>
          <w:szCs w:val="26"/>
        </w:rPr>
        <w:t xml:space="preserve"> </w:t>
      </w:r>
      <w:r w:rsidR="00BF0EA2" w:rsidRPr="00E538D6">
        <w:rPr>
          <w:b/>
          <w:bCs/>
          <w:sz w:val="26"/>
          <w:szCs w:val="26"/>
        </w:rPr>
        <w:t>Manufacturing Industry</w:t>
      </w:r>
      <w:r w:rsidR="00BF0EA2" w:rsidRPr="00E538D6">
        <w:rPr>
          <w:sz w:val="26"/>
          <w:szCs w:val="26"/>
        </w:rPr>
        <w:t xml:space="preserve"> by 3.76%, which had a share of 87.89% of the total industry</w:t>
      </w:r>
      <w:r w:rsidR="00BF0EA2" w:rsidRPr="00E538D6">
        <w:rPr>
          <w:rFonts w:cs="Simplified Arabic"/>
          <w:snapToGrid w:val="0"/>
          <w:sz w:val="26"/>
          <w:szCs w:val="26"/>
        </w:rPr>
        <w:t>. While</w:t>
      </w:r>
      <w:r w:rsidR="00BF0EA2" w:rsidRPr="00E538D6">
        <w:rPr>
          <w:sz w:val="26"/>
          <w:szCs w:val="26"/>
        </w:rPr>
        <w:t>,</w:t>
      </w:r>
      <w:r w:rsidR="00BF0EA2" w:rsidRPr="00E538D6">
        <w:rPr>
          <w:rFonts w:cs="Simplified Arabic"/>
          <w:snapToGrid w:val="0"/>
          <w:sz w:val="26"/>
          <w:szCs w:val="26"/>
        </w:rPr>
        <w:t xml:space="preserve"> </w:t>
      </w:r>
      <w:r w:rsidR="0053497C" w:rsidRPr="00E538D6">
        <w:rPr>
          <w:rFonts w:cs="Simplified Arabic"/>
          <w:snapToGrid w:val="0"/>
          <w:sz w:val="26"/>
          <w:szCs w:val="26"/>
        </w:rPr>
        <w:t xml:space="preserve">the </w:t>
      </w:r>
      <w:r w:rsidR="00BF0EA2" w:rsidRPr="00E538D6">
        <w:rPr>
          <w:b/>
          <w:bCs/>
          <w:sz w:val="26"/>
          <w:szCs w:val="26"/>
        </w:rPr>
        <w:t xml:space="preserve">activities of Water Supply, Sewerage, Waste Management and Remediation </w:t>
      </w:r>
      <w:r w:rsidR="00C72C8E" w:rsidRPr="00E538D6">
        <w:rPr>
          <w:sz w:val="26"/>
          <w:szCs w:val="26"/>
        </w:rPr>
        <w:t>sharply</w:t>
      </w:r>
      <w:r w:rsidR="00C72C8E" w:rsidRPr="00E538D6">
        <w:rPr>
          <w:b/>
          <w:bCs/>
          <w:sz w:val="26"/>
          <w:szCs w:val="26"/>
        </w:rPr>
        <w:t xml:space="preserve"> </w:t>
      </w:r>
      <w:r w:rsidR="00BF0EA2" w:rsidRPr="00E538D6">
        <w:rPr>
          <w:sz w:val="26"/>
          <w:szCs w:val="26"/>
        </w:rPr>
        <w:t xml:space="preserve">increased by </w:t>
      </w:r>
      <w:r w:rsidR="00BF0EA2" w:rsidRPr="00E538D6">
        <w:rPr>
          <w:sz w:val="26"/>
          <w:szCs w:val="26"/>
        </w:rPr>
        <w:lastRenderedPageBreak/>
        <w:t>21.46% which had a share of 1.84% of the total industry</w:t>
      </w:r>
      <w:r w:rsidR="00BF0EA2" w:rsidRPr="00E538D6">
        <w:rPr>
          <w:rFonts w:cs="Simplified Arabic"/>
          <w:snapToGrid w:val="0"/>
          <w:sz w:val="26"/>
          <w:szCs w:val="26"/>
        </w:rPr>
        <w:t>,</w:t>
      </w:r>
      <w:r w:rsidR="00BF0EA2" w:rsidRPr="00E538D6">
        <w:rPr>
          <w:sz w:val="26"/>
          <w:szCs w:val="26"/>
        </w:rPr>
        <w:t xml:space="preserve"> the</w:t>
      </w:r>
      <w:r w:rsidR="00BF0EA2" w:rsidRPr="00E538D6">
        <w:rPr>
          <w:b/>
          <w:bCs/>
          <w:sz w:val="26"/>
          <w:szCs w:val="26"/>
        </w:rPr>
        <w:t xml:space="preserve"> activities of Electricity, Gas, Steam and Air Conditioning Supply </w:t>
      </w:r>
      <w:r w:rsidR="00BF0EA2" w:rsidRPr="00E538D6">
        <w:rPr>
          <w:sz w:val="26"/>
          <w:szCs w:val="26"/>
        </w:rPr>
        <w:t>by 17.45% which had a share of 7.38% of the total industry</w:t>
      </w:r>
      <w:r w:rsidR="00BF0EA2" w:rsidRPr="00E538D6">
        <w:rPr>
          <w:rFonts w:cs="Simplified Arabic"/>
          <w:snapToGrid w:val="0"/>
          <w:sz w:val="26"/>
          <w:szCs w:val="26"/>
        </w:rPr>
        <w:t xml:space="preserve">, </w:t>
      </w:r>
      <w:r w:rsidR="00BF0EA2" w:rsidRPr="00E538D6">
        <w:rPr>
          <w:b/>
          <w:bCs/>
          <w:sz w:val="26"/>
          <w:szCs w:val="26"/>
        </w:rPr>
        <w:t xml:space="preserve">and </w:t>
      </w:r>
      <w:r w:rsidR="001E3421" w:rsidRPr="00E538D6">
        <w:rPr>
          <w:b/>
          <w:bCs/>
          <w:sz w:val="26"/>
          <w:szCs w:val="26"/>
        </w:rPr>
        <w:t xml:space="preserve">the </w:t>
      </w:r>
      <w:r w:rsidR="0053497C" w:rsidRPr="00E538D6">
        <w:rPr>
          <w:b/>
          <w:bCs/>
          <w:sz w:val="26"/>
          <w:szCs w:val="26"/>
        </w:rPr>
        <w:t>activities of Mining and Quarrying</w:t>
      </w:r>
      <w:r w:rsidR="0053497C" w:rsidRPr="00E538D6">
        <w:rPr>
          <w:sz w:val="26"/>
          <w:szCs w:val="26"/>
        </w:rPr>
        <w:t xml:space="preserve"> by </w:t>
      </w:r>
      <w:r w:rsidR="00BF0EA2" w:rsidRPr="00E538D6">
        <w:rPr>
          <w:sz w:val="26"/>
          <w:szCs w:val="26"/>
        </w:rPr>
        <w:t>5.95</w:t>
      </w:r>
      <w:r w:rsidR="0053497C" w:rsidRPr="00E538D6">
        <w:rPr>
          <w:sz w:val="26"/>
          <w:szCs w:val="26"/>
        </w:rPr>
        <w:t>%, which had a share of 2.89% of the total industry</w:t>
      </w:r>
      <w:r w:rsidR="00E046E9" w:rsidRPr="00E538D6">
        <w:rPr>
          <w:sz w:val="26"/>
          <w:szCs w:val="26"/>
        </w:rPr>
        <w:t>.</w:t>
      </w:r>
      <w:r w:rsidRPr="00E538D6">
        <w:rPr>
          <w:rFonts w:cs="Simplified Arabic"/>
          <w:snapToGrid w:val="0"/>
          <w:sz w:val="26"/>
          <w:szCs w:val="26"/>
        </w:rPr>
        <w:t xml:space="preserve"> </w:t>
      </w:r>
    </w:p>
    <w:p w:rsidR="00CB63C2" w:rsidRPr="00E538D6" w:rsidRDefault="00CB63C2" w:rsidP="00CB63C2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10"/>
          <w:szCs w:val="10"/>
        </w:rPr>
      </w:pPr>
    </w:p>
    <w:p w:rsidR="00E538D6" w:rsidRDefault="00FD0669" w:rsidP="00E538D6">
      <w:pPr>
        <w:autoSpaceDE w:val="0"/>
        <w:autoSpaceDN w:val="0"/>
        <w:bidi w:val="0"/>
        <w:adjustRightInd w:val="0"/>
        <w:spacing w:line="360" w:lineRule="auto"/>
        <w:jc w:val="center"/>
        <w:rPr>
          <w:rFonts w:cs="Simplified Arabic"/>
          <w:b/>
          <w:bCs/>
          <w:snapToGrid w:val="0"/>
        </w:rPr>
      </w:pPr>
      <w:r w:rsidRPr="00E538D6">
        <w:rPr>
          <w:rFonts w:cs="Simplified Arabic"/>
          <w:b/>
          <w:bCs/>
          <w:snapToGrid w:val="0"/>
        </w:rPr>
        <w:t xml:space="preserve">The table below shows monthly percent changes in IPI for the </w:t>
      </w:r>
      <w:r w:rsidRPr="00E538D6">
        <w:rPr>
          <w:b/>
          <w:bCs/>
        </w:rPr>
        <w:t>period</w:t>
      </w:r>
      <w:r w:rsidRPr="00E538D6">
        <w:rPr>
          <w:rFonts w:cs="Simplified Arabic"/>
          <w:b/>
          <w:bCs/>
          <w:snapToGrid w:val="0"/>
        </w:rPr>
        <w:t>:</w:t>
      </w:r>
    </w:p>
    <w:p w:rsidR="00FD0669" w:rsidRPr="00E538D6" w:rsidRDefault="00FD0669" w:rsidP="00E538D6">
      <w:pPr>
        <w:autoSpaceDE w:val="0"/>
        <w:autoSpaceDN w:val="0"/>
        <w:bidi w:val="0"/>
        <w:adjustRightInd w:val="0"/>
        <w:spacing w:line="360" w:lineRule="auto"/>
        <w:jc w:val="center"/>
        <w:rPr>
          <w:rFonts w:cs="Simplified Arabic"/>
          <w:b/>
          <w:bCs/>
          <w:snapToGrid w:val="0"/>
        </w:rPr>
      </w:pPr>
      <w:r w:rsidRPr="00E538D6">
        <w:rPr>
          <w:rFonts w:cs="Simplified Arabic"/>
          <w:b/>
          <w:bCs/>
          <w:snapToGrid w:val="0"/>
        </w:rPr>
        <w:t xml:space="preserve"> January – December </w:t>
      </w:r>
      <w:r w:rsidR="0037648C" w:rsidRPr="00E538D6">
        <w:rPr>
          <w:rFonts w:cs="Simplified Arabic"/>
          <w:b/>
          <w:bCs/>
          <w:snapToGrid w:val="0"/>
        </w:rPr>
        <w:t>2024</w:t>
      </w:r>
    </w:p>
    <w:tbl>
      <w:tblPr>
        <w:tblW w:w="467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</w:tblGrid>
      <w:tr w:rsidR="00CB63C2" w:rsidRPr="00CB63C2" w:rsidTr="00E538D6">
        <w:trPr>
          <w:tblHeader/>
        </w:trPr>
        <w:tc>
          <w:tcPr>
            <w:tcW w:w="2268" w:type="dxa"/>
            <w:vAlign w:val="center"/>
          </w:tcPr>
          <w:p w:rsidR="00FD0669" w:rsidRPr="00CB63C2" w:rsidRDefault="00FD0669" w:rsidP="00113FC5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</w:rPr>
            </w:pPr>
            <w:r w:rsidRPr="00CB63C2">
              <w:rPr>
                <w:rFonts w:cs="Simplified Arabic"/>
                <w:b/>
                <w:bCs/>
                <w:snapToGrid w:val="0"/>
              </w:rPr>
              <w:t>Month</w:t>
            </w:r>
          </w:p>
        </w:tc>
        <w:tc>
          <w:tcPr>
            <w:tcW w:w="2410" w:type="dxa"/>
          </w:tcPr>
          <w:p w:rsidR="00FD0669" w:rsidRPr="00CB63C2" w:rsidRDefault="00FD0669" w:rsidP="00113FC5">
            <w:pPr>
              <w:autoSpaceDE w:val="0"/>
              <w:autoSpaceDN w:val="0"/>
              <w:bidi w:val="0"/>
              <w:adjustRightInd w:val="0"/>
              <w:jc w:val="both"/>
              <w:rPr>
                <w:rFonts w:cs="Simplified Arabic"/>
                <w:b/>
                <w:bCs/>
                <w:snapToGrid w:val="0"/>
              </w:rPr>
            </w:pPr>
            <w:r w:rsidRPr="00CB63C2">
              <w:rPr>
                <w:rFonts w:cs="Simplified Arabic"/>
                <w:b/>
                <w:bCs/>
                <w:snapToGrid w:val="0"/>
              </w:rPr>
              <w:t>Percent Changes (%)</w:t>
            </w:r>
          </w:p>
        </w:tc>
      </w:tr>
      <w:tr w:rsidR="00CB63C2" w:rsidRPr="00CB63C2" w:rsidTr="00E538D6">
        <w:trPr>
          <w:trHeight w:val="395"/>
        </w:trPr>
        <w:tc>
          <w:tcPr>
            <w:tcW w:w="2268" w:type="dxa"/>
            <w:vAlign w:val="center"/>
          </w:tcPr>
          <w:p w:rsidR="00D667AE" w:rsidRPr="00CB63C2" w:rsidRDefault="00D667AE" w:rsidP="00D667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CB63C2">
              <w:rPr>
                <w:rFonts w:cs="Simplified Arabic"/>
                <w:snapToGrid w:val="0"/>
              </w:rPr>
              <w:t xml:space="preserve">  January </w:t>
            </w:r>
          </w:p>
        </w:tc>
        <w:tc>
          <w:tcPr>
            <w:tcW w:w="2410" w:type="dxa"/>
            <w:vAlign w:val="center"/>
          </w:tcPr>
          <w:p w:rsidR="00D667AE" w:rsidRPr="00E046E9" w:rsidRDefault="00375561" w:rsidP="00D667AE">
            <w:pPr>
              <w:bidi w:val="0"/>
              <w:jc w:val="right"/>
              <w:rPr>
                <w:sz w:val="22"/>
                <w:szCs w:val="22"/>
                <w:lang w:eastAsia="en-US"/>
              </w:rPr>
            </w:pPr>
            <w:r w:rsidRPr="00E046E9">
              <w:rPr>
                <w:sz w:val="22"/>
                <w:szCs w:val="22"/>
              </w:rPr>
              <w:t>+</w:t>
            </w:r>
            <w:r w:rsidR="001E3421" w:rsidRPr="00E046E9">
              <w:rPr>
                <w:sz w:val="22"/>
                <w:szCs w:val="22"/>
              </w:rPr>
              <w:t xml:space="preserve"> </w:t>
            </w:r>
            <w:r w:rsidR="00D667AE" w:rsidRPr="00E046E9">
              <w:rPr>
                <w:sz w:val="22"/>
                <w:szCs w:val="22"/>
              </w:rPr>
              <w:t>4.91</w:t>
            </w:r>
          </w:p>
        </w:tc>
      </w:tr>
      <w:tr w:rsidR="00CB63C2" w:rsidRPr="00CB63C2" w:rsidTr="00E538D6">
        <w:trPr>
          <w:trHeight w:val="395"/>
        </w:trPr>
        <w:tc>
          <w:tcPr>
            <w:tcW w:w="2268" w:type="dxa"/>
            <w:vAlign w:val="center"/>
          </w:tcPr>
          <w:p w:rsidR="00D667AE" w:rsidRPr="00CB63C2" w:rsidRDefault="00D667AE" w:rsidP="00D667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CB63C2">
              <w:rPr>
                <w:rFonts w:cs="Simplified Arabic"/>
                <w:snapToGrid w:val="0"/>
              </w:rPr>
              <w:t xml:space="preserve">  February</w:t>
            </w:r>
          </w:p>
        </w:tc>
        <w:tc>
          <w:tcPr>
            <w:tcW w:w="2410" w:type="dxa"/>
            <w:vAlign w:val="center"/>
          </w:tcPr>
          <w:p w:rsidR="00D667AE" w:rsidRPr="00E046E9" w:rsidRDefault="00375561" w:rsidP="00D667AE">
            <w:pPr>
              <w:bidi w:val="0"/>
              <w:jc w:val="right"/>
              <w:rPr>
                <w:sz w:val="22"/>
                <w:szCs w:val="22"/>
              </w:rPr>
            </w:pPr>
            <w:r w:rsidRPr="00E046E9">
              <w:rPr>
                <w:sz w:val="22"/>
                <w:szCs w:val="22"/>
              </w:rPr>
              <w:t>+</w:t>
            </w:r>
            <w:r w:rsidR="001E3421" w:rsidRPr="00E046E9">
              <w:rPr>
                <w:sz w:val="22"/>
                <w:szCs w:val="22"/>
              </w:rPr>
              <w:t xml:space="preserve"> </w:t>
            </w:r>
            <w:r w:rsidR="00D667AE" w:rsidRPr="00E046E9">
              <w:rPr>
                <w:sz w:val="22"/>
                <w:szCs w:val="22"/>
              </w:rPr>
              <w:t>0.56</w:t>
            </w:r>
          </w:p>
        </w:tc>
      </w:tr>
      <w:tr w:rsidR="00CB63C2" w:rsidRPr="00CB63C2" w:rsidTr="00E538D6">
        <w:trPr>
          <w:trHeight w:val="395"/>
        </w:trPr>
        <w:tc>
          <w:tcPr>
            <w:tcW w:w="2268" w:type="dxa"/>
            <w:vAlign w:val="center"/>
          </w:tcPr>
          <w:p w:rsidR="00D667AE" w:rsidRPr="00CB63C2" w:rsidRDefault="00D667AE" w:rsidP="00D667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CB63C2">
              <w:rPr>
                <w:rFonts w:cs="Simplified Arabic"/>
                <w:snapToGrid w:val="0"/>
              </w:rPr>
              <w:t xml:space="preserve">  March</w:t>
            </w:r>
          </w:p>
        </w:tc>
        <w:tc>
          <w:tcPr>
            <w:tcW w:w="2410" w:type="dxa"/>
            <w:vAlign w:val="center"/>
          </w:tcPr>
          <w:p w:rsidR="00D667AE" w:rsidRPr="00E046E9" w:rsidRDefault="00D667AE" w:rsidP="00D667AE">
            <w:pPr>
              <w:bidi w:val="0"/>
              <w:jc w:val="right"/>
              <w:rPr>
                <w:sz w:val="22"/>
                <w:szCs w:val="22"/>
              </w:rPr>
            </w:pPr>
            <w:r w:rsidRPr="00E046E9">
              <w:rPr>
                <w:sz w:val="22"/>
                <w:szCs w:val="22"/>
              </w:rPr>
              <w:t>-</w:t>
            </w:r>
            <w:r w:rsidR="001E3421" w:rsidRPr="00E046E9">
              <w:rPr>
                <w:sz w:val="22"/>
                <w:szCs w:val="22"/>
              </w:rPr>
              <w:t xml:space="preserve"> </w:t>
            </w:r>
            <w:r w:rsidRPr="00E046E9">
              <w:rPr>
                <w:sz w:val="22"/>
                <w:szCs w:val="22"/>
              </w:rPr>
              <w:t>0.44</w:t>
            </w:r>
          </w:p>
        </w:tc>
      </w:tr>
      <w:tr w:rsidR="00CB63C2" w:rsidRPr="00CB63C2" w:rsidTr="00E538D6">
        <w:trPr>
          <w:trHeight w:val="395"/>
        </w:trPr>
        <w:tc>
          <w:tcPr>
            <w:tcW w:w="2268" w:type="dxa"/>
            <w:vAlign w:val="center"/>
          </w:tcPr>
          <w:p w:rsidR="00D667AE" w:rsidRPr="00CB63C2" w:rsidRDefault="00D667AE" w:rsidP="00D667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CB63C2">
              <w:rPr>
                <w:rFonts w:cs="Simplified Arabic"/>
                <w:snapToGrid w:val="0"/>
              </w:rPr>
              <w:t xml:space="preserve">  April</w:t>
            </w:r>
          </w:p>
        </w:tc>
        <w:tc>
          <w:tcPr>
            <w:tcW w:w="2410" w:type="dxa"/>
            <w:vAlign w:val="center"/>
          </w:tcPr>
          <w:p w:rsidR="00D667AE" w:rsidRPr="00E046E9" w:rsidRDefault="00D667AE" w:rsidP="00D667AE">
            <w:pPr>
              <w:bidi w:val="0"/>
              <w:jc w:val="right"/>
              <w:rPr>
                <w:sz w:val="22"/>
                <w:szCs w:val="22"/>
              </w:rPr>
            </w:pPr>
            <w:r w:rsidRPr="00E046E9">
              <w:rPr>
                <w:sz w:val="22"/>
                <w:szCs w:val="22"/>
              </w:rPr>
              <w:t>-</w:t>
            </w:r>
            <w:r w:rsidR="001E3421" w:rsidRPr="00E046E9">
              <w:rPr>
                <w:sz w:val="22"/>
                <w:szCs w:val="22"/>
              </w:rPr>
              <w:t xml:space="preserve"> </w:t>
            </w:r>
            <w:r w:rsidRPr="00E046E9">
              <w:rPr>
                <w:sz w:val="22"/>
                <w:szCs w:val="22"/>
              </w:rPr>
              <w:t>6.30</w:t>
            </w:r>
          </w:p>
        </w:tc>
      </w:tr>
      <w:tr w:rsidR="00CB63C2" w:rsidRPr="00CB63C2" w:rsidTr="00E538D6">
        <w:trPr>
          <w:trHeight w:val="395"/>
        </w:trPr>
        <w:tc>
          <w:tcPr>
            <w:tcW w:w="2268" w:type="dxa"/>
            <w:vAlign w:val="center"/>
          </w:tcPr>
          <w:p w:rsidR="00D667AE" w:rsidRPr="00CB63C2" w:rsidRDefault="00D667AE" w:rsidP="00D667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CB63C2">
              <w:rPr>
                <w:rFonts w:cs="Simplified Arabic"/>
                <w:snapToGrid w:val="0"/>
              </w:rPr>
              <w:t xml:space="preserve">  May</w:t>
            </w:r>
          </w:p>
        </w:tc>
        <w:tc>
          <w:tcPr>
            <w:tcW w:w="2410" w:type="dxa"/>
            <w:vAlign w:val="center"/>
          </w:tcPr>
          <w:p w:rsidR="00D667AE" w:rsidRPr="00E046E9" w:rsidRDefault="00375561" w:rsidP="00D667AE">
            <w:pPr>
              <w:bidi w:val="0"/>
              <w:jc w:val="right"/>
              <w:rPr>
                <w:sz w:val="22"/>
                <w:szCs w:val="22"/>
              </w:rPr>
            </w:pPr>
            <w:r w:rsidRPr="00E046E9">
              <w:rPr>
                <w:sz w:val="22"/>
                <w:szCs w:val="22"/>
              </w:rPr>
              <w:t>+</w:t>
            </w:r>
            <w:r w:rsidR="001E3421" w:rsidRPr="00E046E9">
              <w:rPr>
                <w:sz w:val="22"/>
                <w:szCs w:val="22"/>
              </w:rPr>
              <w:t xml:space="preserve"> </w:t>
            </w:r>
            <w:r w:rsidR="00D667AE" w:rsidRPr="00E046E9">
              <w:rPr>
                <w:sz w:val="22"/>
                <w:szCs w:val="22"/>
              </w:rPr>
              <w:t>4.50</w:t>
            </w:r>
          </w:p>
        </w:tc>
      </w:tr>
      <w:tr w:rsidR="00CB63C2" w:rsidRPr="00CB63C2" w:rsidTr="00E538D6">
        <w:trPr>
          <w:trHeight w:val="395"/>
        </w:trPr>
        <w:tc>
          <w:tcPr>
            <w:tcW w:w="2268" w:type="dxa"/>
            <w:vAlign w:val="center"/>
          </w:tcPr>
          <w:p w:rsidR="00D667AE" w:rsidRPr="00CB63C2" w:rsidRDefault="00D667AE" w:rsidP="00D667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CB63C2">
              <w:rPr>
                <w:rFonts w:cs="Simplified Arabic"/>
                <w:snapToGrid w:val="0"/>
              </w:rPr>
              <w:t xml:space="preserve">  June</w:t>
            </w:r>
          </w:p>
        </w:tc>
        <w:tc>
          <w:tcPr>
            <w:tcW w:w="2410" w:type="dxa"/>
            <w:vAlign w:val="center"/>
          </w:tcPr>
          <w:p w:rsidR="00D667AE" w:rsidRPr="00E046E9" w:rsidRDefault="00D667AE" w:rsidP="00D667AE">
            <w:pPr>
              <w:bidi w:val="0"/>
              <w:jc w:val="right"/>
              <w:rPr>
                <w:sz w:val="22"/>
                <w:szCs w:val="22"/>
              </w:rPr>
            </w:pPr>
            <w:r w:rsidRPr="00E046E9">
              <w:rPr>
                <w:sz w:val="22"/>
                <w:szCs w:val="22"/>
              </w:rPr>
              <w:t>-</w:t>
            </w:r>
            <w:r w:rsidR="001E3421" w:rsidRPr="00E046E9">
              <w:rPr>
                <w:sz w:val="22"/>
                <w:szCs w:val="22"/>
              </w:rPr>
              <w:t xml:space="preserve"> </w:t>
            </w:r>
            <w:r w:rsidRPr="00E046E9">
              <w:rPr>
                <w:sz w:val="22"/>
                <w:szCs w:val="22"/>
              </w:rPr>
              <w:t>4.74</w:t>
            </w:r>
          </w:p>
        </w:tc>
      </w:tr>
      <w:tr w:rsidR="00CB63C2" w:rsidRPr="00CB63C2" w:rsidTr="00E538D6">
        <w:trPr>
          <w:trHeight w:val="395"/>
        </w:trPr>
        <w:tc>
          <w:tcPr>
            <w:tcW w:w="2268" w:type="dxa"/>
            <w:vAlign w:val="center"/>
          </w:tcPr>
          <w:p w:rsidR="00D667AE" w:rsidRPr="00CB63C2" w:rsidRDefault="00D667AE" w:rsidP="00D667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CB63C2">
              <w:rPr>
                <w:rFonts w:cs="Simplified Arabic"/>
                <w:snapToGrid w:val="0"/>
              </w:rPr>
              <w:t xml:space="preserve">  July</w:t>
            </w:r>
          </w:p>
        </w:tc>
        <w:tc>
          <w:tcPr>
            <w:tcW w:w="2410" w:type="dxa"/>
            <w:vAlign w:val="center"/>
          </w:tcPr>
          <w:p w:rsidR="00D667AE" w:rsidRPr="00E046E9" w:rsidRDefault="00375561" w:rsidP="00D667AE">
            <w:pPr>
              <w:bidi w:val="0"/>
              <w:jc w:val="right"/>
              <w:rPr>
                <w:sz w:val="22"/>
                <w:szCs w:val="22"/>
              </w:rPr>
            </w:pPr>
            <w:r w:rsidRPr="00E046E9">
              <w:rPr>
                <w:sz w:val="22"/>
                <w:szCs w:val="22"/>
              </w:rPr>
              <w:t>+</w:t>
            </w:r>
            <w:r w:rsidR="001E3421" w:rsidRPr="00E046E9">
              <w:rPr>
                <w:sz w:val="22"/>
                <w:szCs w:val="22"/>
              </w:rPr>
              <w:t xml:space="preserve"> </w:t>
            </w:r>
            <w:r w:rsidR="00D667AE" w:rsidRPr="00E046E9">
              <w:rPr>
                <w:sz w:val="22"/>
                <w:szCs w:val="22"/>
              </w:rPr>
              <w:t>10.95</w:t>
            </w:r>
          </w:p>
        </w:tc>
      </w:tr>
      <w:tr w:rsidR="00CB63C2" w:rsidRPr="00CB63C2" w:rsidTr="00E538D6">
        <w:trPr>
          <w:trHeight w:val="395"/>
        </w:trPr>
        <w:tc>
          <w:tcPr>
            <w:tcW w:w="2268" w:type="dxa"/>
            <w:vAlign w:val="center"/>
          </w:tcPr>
          <w:p w:rsidR="00D667AE" w:rsidRPr="00CB63C2" w:rsidRDefault="00D667AE" w:rsidP="00D667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CB63C2">
              <w:rPr>
                <w:rFonts w:cs="Simplified Arabic"/>
                <w:snapToGrid w:val="0"/>
              </w:rPr>
              <w:t xml:space="preserve">  August</w:t>
            </w:r>
          </w:p>
        </w:tc>
        <w:tc>
          <w:tcPr>
            <w:tcW w:w="2410" w:type="dxa"/>
            <w:vAlign w:val="center"/>
          </w:tcPr>
          <w:p w:rsidR="00D667AE" w:rsidRPr="00E046E9" w:rsidRDefault="00D667AE" w:rsidP="00D667AE">
            <w:pPr>
              <w:bidi w:val="0"/>
              <w:jc w:val="right"/>
              <w:rPr>
                <w:sz w:val="22"/>
                <w:szCs w:val="22"/>
              </w:rPr>
            </w:pPr>
            <w:r w:rsidRPr="00E046E9">
              <w:rPr>
                <w:sz w:val="22"/>
                <w:szCs w:val="22"/>
              </w:rPr>
              <w:t>-</w:t>
            </w:r>
            <w:r w:rsidR="001E3421" w:rsidRPr="00E046E9">
              <w:rPr>
                <w:sz w:val="22"/>
                <w:szCs w:val="22"/>
              </w:rPr>
              <w:t xml:space="preserve"> </w:t>
            </w:r>
            <w:r w:rsidRPr="00E046E9">
              <w:rPr>
                <w:sz w:val="22"/>
                <w:szCs w:val="22"/>
              </w:rPr>
              <w:t>1.64</w:t>
            </w:r>
          </w:p>
        </w:tc>
      </w:tr>
      <w:tr w:rsidR="00CB63C2" w:rsidRPr="00CB63C2" w:rsidTr="00E538D6">
        <w:trPr>
          <w:trHeight w:val="395"/>
        </w:trPr>
        <w:tc>
          <w:tcPr>
            <w:tcW w:w="2268" w:type="dxa"/>
            <w:vAlign w:val="center"/>
          </w:tcPr>
          <w:p w:rsidR="00D667AE" w:rsidRPr="00CB63C2" w:rsidRDefault="00D667AE" w:rsidP="00D667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CB63C2">
              <w:rPr>
                <w:rFonts w:cs="Simplified Arabic"/>
                <w:snapToGrid w:val="0"/>
              </w:rPr>
              <w:t xml:space="preserve">  September</w:t>
            </w:r>
          </w:p>
        </w:tc>
        <w:tc>
          <w:tcPr>
            <w:tcW w:w="2410" w:type="dxa"/>
            <w:vAlign w:val="center"/>
          </w:tcPr>
          <w:p w:rsidR="00D667AE" w:rsidRPr="00E046E9" w:rsidRDefault="00D667AE" w:rsidP="00D667AE">
            <w:pPr>
              <w:bidi w:val="0"/>
              <w:jc w:val="right"/>
              <w:rPr>
                <w:sz w:val="22"/>
                <w:szCs w:val="22"/>
              </w:rPr>
            </w:pPr>
            <w:r w:rsidRPr="00E046E9">
              <w:rPr>
                <w:sz w:val="22"/>
                <w:szCs w:val="22"/>
              </w:rPr>
              <w:t>-</w:t>
            </w:r>
            <w:r w:rsidR="001E3421" w:rsidRPr="00E046E9">
              <w:rPr>
                <w:sz w:val="22"/>
                <w:szCs w:val="22"/>
              </w:rPr>
              <w:t xml:space="preserve"> </w:t>
            </w:r>
            <w:r w:rsidRPr="00E046E9">
              <w:rPr>
                <w:sz w:val="22"/>
                <w:szCs w:val="22"/>
              </w:rPr>
              <w:t>0.63</w:t>
            </w:r>
          </w:p>
        </w:tc>
      </w:tr>
      <w:tr w:rsidR="00CB63C2" w:rsidRPr="00CB63C2" w:rsidTr="00E538D6">
        <w:trPr>
          <w:trHeight w:val="395"/>
        </w:trPr>
        <w:tc>
          <w:tcPr>
            <w:tcW w:w="2268" w:type="dxa"/>
            <w:vAlign w:val="center"/>
          </w:tcPr>
          <w:p w:rsidR="00D667AE" w:rsidRPr="00CB63C2" w:rsidRDefault="00D667AE" w:rsidP="00D667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CB63C2">
              <w:rPr>
                <w:rFonts w:cs="Simplified Arabic"/>
                <w:snapToGrid w:val="0"/>
              </w:rPr>
              <w:t>October</w:t>
            </w:r>
          </w:p>
        </w:tc>
        <w:tc>
          <w:tcPr>
            <w:tcW w:w="2410" w:type="dxa"/>
            <w:vAlign w:val="center"/>
          </w:tcPr>
          <w:p w:rsidR="00D667AE" w:rsidRPr="00E046E9" w:rsidRDefault="00375561" w:rsidP="00D667AE">
            <w:pPr>
              <w:bidi w:val="0"/>
              <w:jc w:val="right"/>
              <w:rPr>
                <w:sz w:val="22"/>
                <w:szCs w:val="22"/>
              </w:rPr>
            </w:pPr>
            <w:r w:rsidRPr="00E046E9">
              <w:rPr>
                <w:sz w:val="22"/>
                <w:szCs w:val="22"/>
              </w:rPr>
              <w:t>+</w:t>
            </w:r>
            <w:r w:rsidR="001E3421" w:rsidRPr="00E046E9">
              <w:rPr>
                <w:sz w:val="22"/>
                <w:szCs w:val="22"/>
              </w:rPr>
              <w:t xml:space="preserve"> </w:t>
            </w:r>
            <w:r w:rsidR="00D667AE" w:rsidRPr="00E046E9">
              <w:rPr>
                <w:sz w:val="22"/>
                <w:szCs w:val="22"/>
              </w:rPr>
              <w:t>4.20</w:t>
            </w:r>
          </w:p>
        </w:tc>
      </w:tr>
      <w:tr w:rsidR="00CB63C2" w:rsidRPr="00CB63C2" w:rsidTr="00E538D6">
        <w:trPr>
          <w:trHeight w:val="395"/>
        </w:trPr>
        <w:tc>
          <w:tcPr>
            <w:tcW w:w="2268" w:type="dxa"/>
            <w:vAlign w:val="center"/>
          </w:tcPr>
          <w:p w:rsidR="00D667AE" w:rsidRPr="00CB63C2" w:rsidRDefault="00D667AE" w:rsidP="00D667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CB63C2">
              <w:rPr>
                <w:rFonts w:cs="Simplified Arabic"/>
                <w:snapToGrid w:val="0"/>
              </w:rPr>
              <w:t>November</w:t>
            </w:r>
          </w:p>
        </w:tc>
        <w:tc>
          <w:tcPr>
            <w:tcW w:w="2410" w:type="dxa"/>
            <w:vAlign w:val="center"/>
          </w:tcPr>
          <w:p w:rsidR="00D667AE" w:rsidRPr="00E046E9" w:rsidRDefault="00D667AE" w:rsidP="00D667AE">
            <w:pPr>
              <w:bidi w:val="0"/>
              <w:jc w:val="right"/>
              <w:rPr>
                <w:sz w:val="22"/>
                <w:szCs w:val="22"/>
              </w:rPr>
            </w:pPr>
            <w:r w:rsidRPr="00E046E9">
              <w:rPr>
                <w:sz w:val="22"/>
                <w:szCs w:val="22"/>
              </w:rPr>
              <w:t>-</w:t>
            </w:r>
            <w:r w:rsidR="001E3421" w:rsidRPr="00E046E9">
              <w:rPr>
                <w:sz w:val="22"/>
                <w:szCs w:val="22"/>
              </w:rPr>
              <w:t xml:space="preserve"> </w:t>
            </w:r>
            <w:r w:rsidRPr="00E046E9">
              <w:rPr>
                <w:sz w:val="22"/>
                <w:szCs w:val="22"/>
              </w:rPr>
              <w:t>3.93</w:t>
            </w:r>
          </w:p>
        </w:tc>
      </w:tr>
      <w:tr w:rsidR="00CB63C2" w:rsidRPr="00CB63C2" w:rsidTr="00E538D6">
        <w:trPr>
          <w:trHeight w:val="395"/>
        </w:trPr>
        <w:tc>
          <w:tcPr>
            <w:tcW w:w="2268" w:type="dxa"/>
            <w:vAlign w:val="center"/>
          </w:tcPr>
          <w:p w:rsidR="00D667AE" w:rsidRPr="00CB63C2" w:rsidRDefault="00D667AE" w:rsidP="00D667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CB63C2">
              <w:rPr>
                <w:rFonts w:cs="Simplified Arabic"/>
                <w:snapToGrid w:val="0"/>
              </w:rPr>
              <w:t>December</w:t>
            </w:r>
          </w:p>
        </w:tc>
        <w:tc>
          <w:tcPr>
            <w:tcW w:w="2410" w:type="dxa"/>
            <w:vAlign w:val="center"/>
          </w:tcPr>
          <w:p w:rsidR="00D667AE" w:rsidRPr="00E046E9" w:rsidRDefault="00D667AE" w:rsidP="00D667AE">
            <w:pPr>
              <w:bidi w:val="0"/>
              <w:jc w:val="right"/>
              <w:rPr>
                <w:sz w:val="22"/>
                <w:szCs w:val="22"/>
              </w:rPr>
            </w:pPr>
            <w:r w:rsidRPr="00E046E9">
              <w:rPr>
                <w:sz w:val="22"/>
                <w:szCs w:val="22"/>
              </w:rPr>
              <w:t>-</w:t>
            </w:r>
            <w:r w:rsidR="001E3421" w:rsidRPr="00E046E9">
              <w:rPr>
                <w:sz w:val="22"/>
                <w:szCs w:val="22"/>
              </w:rPr>
              <w:t xml:space="preserve"> </w:t>
            </w:r>
            <w:r w:rsidRPr="00E046E9">
              <w:rPr>
                <w:sz w:val="22"/>
                <w:szCs w:val="22"/>
              </w:rPr>
              <w:t>1.05</w:t>
            </w:r>
          </w:p>
        </w:tc>
      </w:tr>
    </w:tbl>
    <w:p w:rsidR="00FD0669" w:rsidRPr="00CB63C2" w:rsidRDefault="00FD0669" w:rsidP="00FD0669">
      <w:pPr>
        <w:bidi w:val="0"/>
        <w:jc w:val="center"/>
        <w:rPr>
          <w:b/>
          <w:bCs/>
        </w:rPr>
      </w:pPr>
    </w:p>
    <w:p w:rsidR="00E538D6" w:rsidRDefault="00FD0669" w:rsidP="00E538D6">
      <w:pPr>
        <w:bidi w:val="0"/>
        <w:jc w:val="center"/>
        <w:rPr>
          <w:b/>
          <w:bCs/>
        </w:rPr>
      </w:pPr>
      <w:r w:rsidRPr="00CB63C2">
        <w:rPr>
          <w:b/>
          <w:bCs/>
        </w:rPr>
        <w:t xml:space="preserve">The trend line of the Industrial Production Index in Palestine, for the period:  </w:t>
      </w:r>
    </w:p>
    <w:p w:rsidR="00FD0669" w:rsidRPr="00CB63C2" w:rsidRDefault="00FD0669" w:rsidP="00E538D6">
      <w:pPr>
        <w:bidi w:val="0"/>
        <w:jc w:val="center"/>
        <w:rPr>
          <w:b/>
          <w:bCs/>
        </w:rPr>
      </w:pPr>
      <w:r w:rsidRPr="00CB63C2">
        <w:rPr>
          <w:b/>
          <w:bCs/>
        </w:rPr>
        <w:t xml:space="preserve">            January - December </w:t>
      </w:r>
      <w:r w:rsidR="00D667AE" w:rsidRPr="00CB63C2">
        <w:rPr>
          <w:b/>
          <w:bCs/>
        </w:rPr>
        <w:t>2024</w:t>
      </w:r>
      <w:r w:rsidR="00E538D6">
        <w:rPr>
          <w:b/>
          <w:bCs/>
        </w:rPr>
        <w:t xml:space="preserve"> </w:t>
      </w:r>
      <w:r w:rsidRPr="00CB63C2">
        <w:rPr>
          <w:b/>
          <w:bCs/>
        </w:rPr>
        <w:t>(Base Year 2019 = 100)</w:t>
      </w:r>
    </w:p>
    <w:p w:rsidR="00FD0669" w:rsidRPr="00CB63C2" w:rsidRDefault="00FD0669" w:rsidP="00FD0669">
      <w:pPr>
        <w:jc w:val="center"/>
        <w:rPr>
          <w:b/>
          <w:bCs/>
          <w:sz w:val="12"/>
          <w:szCs w:val="12"/>
        </w:rPr>
      </w:pPr>
    </w:p>
    <w:p w:rsidR="00FD0669" w:rsidRPr="00CB63C2" w:rsidRDefault="00FD0669" w:rsidP="00FD0669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90"/>
      </w:tblGrid>
      <w:tr w:rsidR="00FD0669" w:rsidRPr="00CB63C2" w:rsidTr="00113FC5">
        <w:trPr>
          <w:jc w:val="center"/>
        </w:trPr>
        <w:tc>
          <w:tcPr>
            <w:tcW w:w="4260" w:type="dxa"/>
          </w:tcPr>
          <w:p w:rsidR="00FD0669" w:rsidRPr="00CB63C2" w:rsidRDefault="00FD0669" w:rsidP="00113FC5">
            <w:pPr>
              <w:jc w:val="center"/>
              <w:rPr>
                <w:b/>
                <w:bCs/>
              </w:rPr>
            </w:pPr>
            <w:r w:rsidRPr="00CB63C2">
              <w:rPr>
                <w:b/>
                <w:bCs/>
                <w:noProof/>
                <w:lang w:eastAsia="en-US"/>
              </w:rPr>
              <w:drawing>
                <wp:inline distT="0" distB="0" distL="0" distR="0" wp14:anchorId="1016E65E" wp14:editId="59906B8E">
                  <wp:extent cx="2968388" cy="2545307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1413D6" w:rsidRPr="00CB63C2" w:rsidRDefault="001413D6" w:rsidP="001413D6">
      <w:pPr>
        <w:pStyle w:val="NormalWeb"/>
        <w:spacing w:after="0"/>
        <w:rPr>
          <w:b/>
          <w:bCs/>
        </w:rPr>
      </w:pPr>
      <w:r w:rsidRPr="00CB63C2">
        <w:rPr>
          <w:b/>
          <w:bCs/>
        </w:rPr>
        <w:t>Notice for Users:</w:t>
      </w:r>
    </w:p>
    <w:p w:rsidR="001413D6" w:rsidRPr="00CB63C2" w:rsidRDefault="001413D6" w:rsidP="00C72C8E">
      <w:pPr>
        <w:pStyle w:val="ListParagraph"/>
        <w:tabs>
          <w:tab w:val="left" w:pos="282"/>
        </w:tabs>
        <w:bidi w:val="0"/>
        <w:ind w:left="-1"/>
        <w:jc w:val="both"/>
        <w:rPr>
          <w:rtl/>
        </w:rPr>
      </w:pPr>
      <w:r w:rsidRPr="00CB63C2">
        <w:t>Due to the Israeli attack on Gaza strip in October</w:t>
      </w:r>
      <w:r w:rsidR="003643FA" w:rsidRPr="00CB63C2">
        <w:t>,7</w:t>
      </w:r>
      <w:r w:rsidRPr="00CB63C2">
        <w:t xml:space="preserve"> 2023, </w:t>
      </w:r>
      <w:r w:rsidR="003643FA" w:rsidRPr="00CB63C2">
        <w:t>the production</w:t>
      </w:r>
      <w:r w:rsidR="00E577AB" w:rsidRPr="00CB63C2">
        <w:t xml:space="preserve"> </w:t>
      </w:r>
      <w:r w:rsidRPr="00CB63C2">
        <w:t>of industrial establishment working in Gaza strip</w:t>
      </w:r>
      <w:r w:rsidR="003643FA" w:rsidRPr="00CB63C2">
        <w:t xml:space="preserve"> was</w:t>
      </w:r>
      <w:r w:rsidRPr="00CB63C2">
        <w:t xml:space="preserve"> estimated according</w:t>
      </w:r>
      <w:r w:rsidR="003643FA" w:rsidRPr="00CB63C2">
        <w:t xml:space="preserve"> to</w:t>
      </w:r>
      <w:r w:rsidRPr="00CB63C2">
        <w:t xml:space="preserve"> international recommendation</w:t>
      </w:r>
      <w:r w:rsidR="003643FA" w:rsidRPr="00CB63C2">
        <w:t xml:space="preserve"> in this field for </w:t>
      </w:r>
      <w:r w:rsidR="006457B0" w:rsidRPr="00CB63C2">
        <w:t>December</w:t>
      </w:r>
      <w:r w:rsidR="003643FA" w:rsidRPr="00CB63C2">
        <w:t xml:space="preserve"> </w:t>
      </w:r>
      <w:r w:rsidR="00C72C8E">
        <w:t>2024</w:t>
      </w:r>
      <w:r w:rsidRPr="00CB63C2">
        <w:t xml:space="preserve">. </w:t>
      </w:r>
    </w:p>
    <w:p w:rsidR="000D497F" w:rsidRPr="00CB63C2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841179" w:rsidRPr="00E538D6" w:rsidRDefault="002B7AD5" w:rsidP="00E538D6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  <w:r w:rsidRPr="00E538D6">
        <w:rPr>
          <w:b/>
          <w:bCs/>
          <w:sz w:val="22"/>
          <w:szCs w:val="22"/>
        </w:rPr>
        <w:t>Please note that the press release in English is brief compared to the Arabic version.</w:t>
      </w:r>
    </w:p>
    <w:sectPr w:rsidR="00841179" w:rsidRPr="00E538D6" w:rsidSect="00E538D6">
      <w:footerReference w:type="even" r:id="rId9"/>
      <w:pgSz w:w="11907" w:h="16840" w:code="9"/>
      <w:pgMar w:top="851" w:right="1134" w:bottom="851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23" w:rsidRDefault="003E2123">
      <w:r>
        <w:separator/>
      </w:r>
    </w:p>
  </w:endnote>
  <w:endnote w:type="continuationSeparator" w:id="0">
    <w:p w:rsidR="003E2123" w:rsidRDefault="003E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23" w:rsidRDefault="003E2123">
      <w:r>
        <w:separator/>
      </w:r>
    </w:p>
  </w:footnote>
  <w:footnote w:type="continuationSeparator" w:id="0">
    <w:p w:rsidR="003E2123" w:rsidRDefault="003E2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A752C4C"/>
    <w:multiLevelType w:val="hybridMultilevel"/>
    <w:tmpl w:val="31005CDE"/>
    <w:lvl w:ilvl="0" w:tplc="89724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07"/>
    <w:rsid w:val="000033E0"/>
    <w:rsid w:val="00007A9A"/>
    <w:rsid w:val="00007C98"/>
    <w:rsid w:val="0001247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C5929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5006"/>
    <w:rsid w:val="001413D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043B"/>
    <w:rsid w:val="00181E69"/>
    <w:rsid w:val="001844B1"/>
    <w:rsid w:val="001850ED"/>
    <w:rsid w:val="001867AB"/>
    <w:rsid w:val="001877C8"/>
    <w:rsid w:val="00190373"/>
    <w:rsid w:val="0019101F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7B33"/>
    <w:rsid w:val="001D7DD0"/>
    <w:rsid w:val="001E3421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10AF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D69"/>
    <w:rsid w:val="003635B2"/>
    <w:rsid w:val="003643FA"/>
    <w:rsid w:val="00364896"/>
    <w:rsid w:val="00367DA1"/>
    <w:rsid w:val="003717EF"/>
    <w:rsid w:val="00375561"/>
    <w:rsid w:val="0037648C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7032"/>
    <w:rsid w:val="003C2B0F"/>
    <w:rsid w:val="003C2FCA"/>
    <w:rsid w:val="003C4DCE"/>
    <w:rsid w:val="003D1A10"/>
    <w:rsid w:val="003D1B5B"/>
    <w:rsid w:val="003D3115"/>
    <w:rsid w:val="003D35F6"/>
    <w:rsid w:val="003D7079"/>
    <w:rsid w:val="003E2123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46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21C0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497C"/>
    <w:rsid w:val="00536487"/>
    <w:rsid w:val="005376F9"/>
    <w:rsid w:val="0054641B"/>
    <w:rsid w:val="00546AA4"/>
    <w:rsid w:val="00546FEE"/>
    <w:rsid w:val="00550112"/>
    <w:rsid w:val="0055082C"/>
    <w:rsid w:val="00555EAA"/>
    <w:rsid w:val="00557CDE"/>
    <w:rsid w:val="0056086D"/>
    <w:rsid w:val="0056773D"/>
    <w:rsid w:val="00571811"/>
    <w:rsid w:val="00576676"/>
    <w:rsid w:val="00577491"/>
    <w:rsid w:val="00581716"/>
    <w:rsid w:val="00583589"/>
    <w:rsid w:val="005849A0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57B0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C3A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940"/>
    <w:rsid w:val="007F2DF7"/>
    <w:rsid w:val="007F3181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4A77"/>
    <w:rsid w:val="00824F7E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B7A56"/>
    <w:rsid w:val="009C2103"/>
    <w:rsid w:val="009C594A"/>
    <w:rsid w:val="009C7284"/>
    <w:rsid w:val="009D5A95"/>
    <w:rsid w:val="009D5AAA"/>
    <w:rsid w:val="009E38D8"/>
    <w:rsid w:val="009E5A59"/>
    <w:rsid w:val="009E7231"/>
    <w:rsid w:val="009E7E2F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2F56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5F22"/>
    <w:rsid w:val="00BE7B6E"/>
    <w:rsid w:val="00BF0695"/>
    <w:rsid w:val="00BF0EA2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C9B"/>
    <w:rsid w:val="00C24A3D"/>
    <w:rsid w:val="00C26040"/>
    <w:rsid w:val="00C26375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C8E"/>
    <w:rsid w:val="00C756AE"/>
    <w:rsid w:val="00C757C7"/>
    <w:rsid w:val="00C80152"/>
    <w:rsid w:val="00C821D8"/>
    <w:rsid w:val="00C82529"/>
    <w:rsid w:val="00C85079"/>
    <w:rsid w:val="00C91D87"/>
    <w:rsid w:val="00C93B1F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B63C2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224F"/>
    <w:rsid w:val="00D145FB"/>
    <w:rsid w:val="00D16931"/>
    <w:rsid w:val="00D17CCC"/>
    <w:rsid w:val="00D20111"/>
    <w:rsid w:val="00D21F8E"/>
    <w:rsid w:val="00D25E04"/>
    <w:rsid w:val="00D2793D"/>
    <w:rsid w:val="00D31167"/>
    <w:rsid w:val="00D315CA"/>
    <w:rsid w:val="00D321A9"/>
    <w:rsid w:val="00D3520C"/>
    <w:rsid w:val="00D35337"/>
    <w:rsid w:val="00D40172"/>
    <w:rsid w:val="00D40AA5"/>
    <w:rsid w:val="00D41842"/>
    <w:rsid w:val="00D4492E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7AE"/>
    <w:rsid w:val="00D66B4C"/>
    <w:rsid w:val="00D725CA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B17FC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46E9"/>
    <w:rsid w:val="00E05970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538D6"/>
    <w:rsid w:val="00E577AB"/>
    <w:rsid w:val="00E61911"/>
    <w:rsid w:val="00E7340D"/>
    <w:rsid w:val="00E759B9"/>
    <w:rsid w:val="00E8121A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37431"/>
    <w:rsid w:val="00F42495"/>
    <w:rsid w:val="00F43E93"/>
    <w:rsid w:val="00F440BA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2F11"/>
    <w:rsid w:val="00F7319B"/>
    <w:rsid w:val="00F73AF6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3A9F"/>
    <w:rsid w:val="00FC481D"/>
    <w:rsid w:val="00FC4A08"/>
    <w:rsid w:val="00FC72C8"/>
    <w:rsid w:val="00FD0669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9EB9EFE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9712126581835"/>
          <c:y val="5.6031947533168112E-2"/>
          <c:w val="0.75733731574174257"/>
          <c:h val="0.65717025856199984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3079727357571974E-2"/>
                  <c:y val="-6.4164977132349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CA-4CEF-A4E1-D2D51860F636}"/>
                </c:ext>
              </c:extLst>
            </c:dLbl>
            <c:dLbl>
              <c:idx val="11"/>
              <c:layout>
                <c:manualLayout>
                  <c:x val="-1.2835249300293622E-2"/>
                  <c:y val="-4.9895749314326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CA-4CEF-A4E1-D2D51860F636}"/>
                </c:ext>
              </c:extLst>
            </c:dLbl>
            <c:dLbl>
              <c:idx val="12"/>
              <c:layout>
                <c:manualLayout>
                  <c:x val="-1.3172132484028375E-4"/>
                  <c:y val="4.34214811808555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9CA-4CEF-A4E1-D2D51860F6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Sheet1!$A$2:$L$2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Sheet1!$A$3:$L$3</c:f>
              <c:numCache>
                <c:formatCode>0.00</c:formatCode>
                <c:ptCount val="12"/>
                <c:pt idx="0">
                  <c:v>80.016691861263411</c:v>
                </c:pt>
                <c:pt idx="1">
                  <c:v>80.468677846684585</c:v>
                </c:pt>
                <c:pt idx="2">
                  <c:v>80.118443465585585</c:v>
                </c:pt>
                <c:pt idx="3">
                  <c:v>75.067032216137761</c:v>
                </c:pt>
                <c:pt idx="4">
                  <c:v>78.441479810474448</c:v>
                </c:pt>
                <c:pt idx="5">
                  <c:v>74.720417978284942</c:v>
                </c:pt>
                <c:pt idx="6">
                  <c:v>82.902897886578458</c:v>
                </c:pt>
                <c:pt idx="7">
                  <c:v>81.544152917562926</c:v>
                </c:pt>
                <c:pt idx="8">
                  <c:v>81.033628341079819</c:v>
                </c:pt>
                <c:pt idx="9">
                  <c:v>84.433052724373894</c:v>
                </c:pt>
                <c:pt idx="10">
                  <c:v>81.115184992855006</c:v>
                </c:pt>
                <c:pt idx="11">
                  <c:v>80.262079247915793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9CA-4CEF-A4E1-D2D51860F6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8654464"/>
        <c:axId val="118656000"/>
      </c:lineChart>
      <c:catAx>
        <c:axId val="118654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18656000"/>
        <c:crossesAt val="60"/>
        <c:auto val="1"/>
        <c:lblAlgn val="ctr"/>
        <c:lblOffset val="100"/>
        <c:noMultiLvlLbl val="0"/>
      </c:catAx>
      <c:valAx>
        <c:axId val="118656000"/>
        <c:scaling>
          <c:orientation val="minMax"/>
          <c:max val="9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crossAx val="118654464"/>
        <c:crosses val="autoZero"/>
        <c:crossBetween val="between"/>
        <c:majorUnit val="2"/>
        <c:minorUnit val="1"/>
      </c:valAx>
    </c:plotArea>
    <c:plotVisOnly val="1"/>
    <c:dispBlanksAs val="gap"/>
    <c:showDLblsOverMax val="0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AFCDA-2719-463D-A2F7-BB6B55A0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2477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LOAY SHEHADEH</cp:lastModifiedBy>
  <cp:revision>57</cp:revision>
  <cp:lastPrinted>2025-02-03T06:37:00Z</cp:lastPrinted>
  <dcterms:created xsi:type="dcterms:W3CDTF">2023-11-30T21:00:00Z</dcterms:created>
  <dcterms:modified xsi:type="dcterms:W3CDTF">2025-02-03T11:11:00Z</dcterms:modified>
</cp:coreProperties>
</file>