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682" w:rsidRDefault="00FC1682" w:rsidP="00FC1682">
      <w:pPr>
        <w:jc w:val="center"/>
        <w:outlineLvl w:val="0"/>
        <w:rPr>
          <w:b/>
          <w:bCs/>
          <w:sz w:val="32"/>
          <w:szCs w:val="32"/>
          <w:rtl/>
        </w:rPr>
      </w:pPr>
    </w:p>
    <w:p w:rsidR="00FC1682" w:rsidRDefault="00FC1682" w:rsidP="00FC1682">
      <w:pPr>
        <w:jc w:val="center"/>
        <w:outlineLvl w:val="0"/>
        <w:rPr>
          <w:b/>
          <w:bCs/>
          <w:sz w:val="32"/>
          <w:szCs w:val="32"/>
          <w:rtl/>
        </w:rPr>
      </w:pPr>
    </w:p>
    <w:p w:rsidR="00FC1682" w:rsidRDefault="00FC1682" w:rsidP="00FC1682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Palestinian Central Bureau of Statistics (PCBS)</w:t>
      </w:r>
    </w:p>
    <w:p w:rsidR="00FC1682" w:rsidRDefault="00FC1682" w:rsidP="00FC1682">
      <w:pPr>
        <w:jc w:val="center"/>
        <w:outlineLvl w:val="0"/>
        <w:rPr>
          <w:b/>
          <w:bCs/>
          <w:sz w:val="16"/>
          <w:szCs w:val="16"/>
        </w:rPr>
      </w:pPr>
    </w:p>
    <w:p w:rsidR="00FC1682" w:rsidRDefault="00FC1682" w:rsidP="00FC1682">
      <w:pPr>
        <w:bidi w:val="0"/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sz w:val="28"/>
          <w:szCs w:val="28"/>
        </w:rPr>
        <w:t>The Industrial Production Index (IPI) in Palestine</w:t>
      </w:r>
      <w:r>
        <w:rPr>
          <w:b/>
          <w:bCs/>
          <w:kern w:val="3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during </w:t>
      </w:r>
      <w:r>
        <w:rPr>
          <w:rFonts w:hint="cs"/>
          <w:b/>
          <w:bCs/>
          <w:sz w:val="28"/>
          <w:szCs w:val="28"/>
          <w:rtl/>
        </w:rPr>
        <w:t>2025</w:t>
      </w:r>
      <w:r w:rsidR="00F9175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&amp; December, 12/</w:t>
      </w:r>
      <w:r>
        <w:rPr>
          <w:rFonts w:hint="cs"/>
          <w:b/>
          <w:bCs/>
          <w:kern w:val="36"/>
          <w:sz w:val="28"/>
          <w:szCs w:val="28"/>
          <w:rtl/>
        </w:rPr>
        <w:t>2025</w:t>
      </w:r>
    </w:p>
    <w:p w:rsidR="00FC1682" w:rsidRDefault="00FC1682" w:rsidP="00FC1682">
      <w:pPr>
        <w:bidi w:val="0"/>
        <w:jc w:val="both"/>
        <w:outlineLvl w:val="0"/>
        <w:rPr>
          <w:b/>
          <w:bCs/>
          <w:rtl/>
        </w:rPr>
      </w:pPr>
    </w:p>
    <w:p w:rsidR="00CB06D0" w:rsidRPr="00FC1682" w:rsidRDefault="00256CB0" w:rsidP="00FC1682">
      <w:pPr>
        <w:bidi w:val="0"/>
        <w:jc w:val="both"/>
        <w:outlineLvl w:val="0"/>
        <w:rPr>
          <w:b/>
          <w:bCs/>
          <w:sz w:val="28"/>
          <w:szCs w:val="28"/>
        </w:rPr>
      </w:pPr>
      <w:r w:rsidRPr="00FC1682">
        <w:rPr>
          <w:b/>
          <w:bCs/>
          <w:sz w:val="28"/>
          <w:szCs w:val="28"/>
        </w:rPr>
        <w:t>Increase</w:t>
      </w:r>
      <w:r w:rsidR="00CB06D0" w:rsidRPr="00FC1682">
        <w:rPr>
          <w:b/>
          <w:bCs/>
          <w:sz w:val="28"/>
          <w:szCs w:val="28"/>
        </w:rPr>
        <w:t xml:space="preserve"> in the Industrial Production Index (IPI) in Palestine</w:t>
      </w:r>
      <w:r w:rsidR="00CB06D0" w:rsidRPr="00FC1682">
        <w:rPr>
          <w:b/>
          <w:bCs/>
          <w:kern w:val="36"/>
          <w:sz w:val="28"/>
          <w:szCs w:val="28"/>
        </w:rPr>
        <w:t xml:space="preserve"> </w:t>
      </w:r>
      <w:r w:rsidR="00CB06D0" w:rsidRPr="00FC1682">
        <w:rPr>
          <w:b/>
          <w:bCs/>
          <w:sz w:val="28"/>
          <w:szCs w:val="28"/>
        </w:rPr>
        <w:t xml:space="preserve">during </w:t>
      </w:r>
      <w:r w:rsidRPr="00FC1682">
        <w:rPr>
          <w:b/>
          <w:bCs/>
          <w:kern w:val="36"/>
          <w:sz w:val="28"/>
          <w:szCs w:val="28"/>
        </w:rPr>
        <w:t>2025</w:t>
      </w:r>
    </w:p>
    <w:p w:rsidR="00FC1682" w:rsidRPr="00FC1682" w:rsidRDefault="00FC1682" w:rsidP="00FC1682">
      <w:pPr>
        <w:bidi w:val="0"/>
        <w:jc w:val="both"/>
        <w:outlineLvl w:val="0"/>
        <w:rPr>
          <w:sz w:val="12"/>
          <w:szCs w:val="12"/>
          <w:rtl/>
        </w:rPr>
      </w:pPr>
    </w:p>
    <w:p w:rsidR="00CB06D0" w:rsidRPr="00FC1682" w:rsidRDefault="00CB06D0" w:rsidP="00FC1682">
      <w:pPr>
        <w:bidi w:val="0"/>
        <w:jc w:val="both"/>
        <w:outlineLvl w:val="0"/>
        <w:rPr>
          <w:sz w:val="26"/>
          <w:szCs w:val="26"/>
        </w:rPr>
      </w:pPr>
      <w:r w:rsidRPr="00FC1682">
        <w:rPr>
          <w:sz w:val="26"/>
          <w:szCs w:val="26"/>
        </w:rPr>
        <w:t>The overall</w:t>
      </w:r>
      <w:r w:rsidRPr="00FC1682">
        <w:rPr>
          <w:b/>
          <w:bCs/>
          <w:sz w:val="26"/>
          <w:szCs w:val="26"/>
        </w:rPr>
        <w:t xml:space="preserve"> IPI in Palestine </w:t>
      </w:r>
      <w:r w:rsidRPr="00FC1682">
        <w:rPr>
          <w:sz w:val="26"/>
          <w:szCs w:val="26"/>
        </w:rPr>
        <w:t>with its Base Year (2019 = 100) reached</w:t>
      </w:r>
      <w:r w:rsidRPr="00FC1682">
        <w:rPr>
          <w:b/>
          <w:bCs/>
          <w:sz w:val="26"/>
          <w:szCs w:val="26"/>
        </w:rPr>
        <w:t xml:space="preserve"> </w:t>
      </w:r>
      <w:r w:rsidR="00256CB0" w:rsidRPr="00FC1682">
        <w:rPr>
          <w:b/>
          <w:bCs/>
          <w:sz w:val="26"/>
          <w:szCs w:val="26"/>
        </w:rPr>
        <w:t>82</w:t>
      </w:r>
      <w:r w:rsidRPr="00FC1682">
        <w:rPr>
          <w:b/>
          <w:bCs/>
          <w:sz w:val="26"/>
          <w:szCs w:val="26"/>
        </w:rPr>
        <w:t>.</w:t>
      </w:r>
      <w:r w:rsidR="00256CB0" w:rsidRPr="00FC1682">
        <w:rPr>
          <w:b/>
          <w:bCs/>
          <w:sz w:val="26"/>
          <w:szCs w:val="26"/>
        </w:rPr>
        <w:t>72</w:t>
      </w:r>
      <w:r w:rsidRPr="00FC1682">
        <w:rPr>
          <w:sz w:val="26"/>
          <w:szCs w:val="26"/>
        </w:rPr>
        <w:t xml:space="preserve"> </w:t>
      </w:r>
      <w:r w:rsidRPr="00FC1682">
        <w:rPr>
          <w:b/>
          <w:bCs/>
          <w:sz w:val="26"/>
          <w:szCs w:val="26"/>
        </w:rPr>
        <w:t xml:space="preserve">in </w:t>
      </w:r>
      <w:r w:rsidR="00256CB0" w:rsidRPr="00FC1682">
        <w:rPr>
          <w:b/>
          <w:bCs/>
          <w:sz w:val="26"/>
          <w:szCs w:val="26"/>
        </w:rPr>
        <w:t>2025</w:t>
      </w:r>
      <w:r w:rsidRPr="00FC1682">
        <w:rPr>
          <w:sz w:val="26"/>
          <w:szCs w:val="26"/>
        </w:rPr>
        <w:t>, which</w:t>
      </w:r>
      <w:r w:rsidRPr="00FC1682">
        <w:rPr>
          <w:b/>
          <w:bCs/>
          <w:sz w:val="26"/>
          <w:szCs w:val="26"/>
        </w:rPr>
        <w:t xml:space="preserve"> indicates a</w:t>
      </w:r>
      <w:r w:rsidR="00256CB0" w:rsidRPr="00FC1682">
        <w:rPr>
          <w:b/>
          <w:bCs/>
          <w:sz w:val="26"/>
          <w:szCs w:val="26"/>
        </w:rPr>
        <w:t>n</w:t>
      </w:r>
      <w:r w:rsidRPr="00FC1682">
        <w:rPr>
          <w:b/>
          <w:bCs/>
          <w:sz w:val="26"/>
          <w:szCs w:val="26"/>
        </w:rPr>
        <w:t xml:space="preserve"> </w:t>
      </w:r>
      <w:r w:rsidR="007A030A" w:rsidRPr="00FC1682">
        <w:rPr>
          <w:b/>
          <w:bCs/>
          <w:sz w:val="26"/>
          <w:szCs w:val="26"/>
        </w:rPr>
        <w:t>increase</w:t>
      </w:r>
      <w:r w:rsidRPr="00FC1682">
        <w:rPr>
          <w:b/>
          <w:bCs/>
          <w:sz w:val="26"/>
          <w:szCs w:val="26"/>
        </w:rPr>
        <w:t xml:space="preserve"> by </w:t>
      </w:r>
      <w:r w:rsidR="00256CB0" w:rsidRPr="00FC1682">
        <w:rPr>
          <w:b/>
          <w:bCs/>
          <w:sz w:val="26"/>
          <w:szCs w:val="26"/>
        </w:rPr>
        <w:t>3.39</w:t>
      </w:r>
      <w:r w:rsidRPr="00FC1682">
        <w:rPr>
          <w:b/>
          <w:bCs/>
          <w:sz w:val="26"/>
          <w:szCs w:val="26"/>
        </w:rPr>
        <w:t>% compared to</w:t>
      </w:r>
      <w:r w:rsidRPr="00FC1682">
        <w:rPr>
          <w:sz w:val="26"/>
          <w:szCs w:val="26"/>
        </w:rPr>
        <w:t xml:space="preserve"> </w:t>
      </w:r>
      <w:r w:rsidR="00256CB0" w:rsidRPr="00FC1682">
        <w:rPr>
          <w:b/>
          <w:bCs/>
          <w:sz w:val="26"/>
          <w:szCs w:val="26"/>
        </w:rPr>
        <w:t>2024</w:t>
      </w:r>
      <w:r w:rsidRPr="00FC1682">
        <w:rPr>
          <w:sz w:val="26"/>
          <w:szCs w:val="26"/>
        </w:rPr>
        <w:t>.</w:t>
      </w:r>
    </w:p>
    <w:p w:rsidR="00CB06D0" w:rsidRPr="00CB63C2" w:rsidRDefault="00CB06D0" w:rsidP="00FC1682">
      <w:pPr>
        <w:jc w:val="both"/>
        <w:outlineLvl w:val="0"/>
        <w:rPr>
          <w:sz w:val="16"/>
          <w:szCs w:val="16"/>
        </w:rPr>
      </w:pPr>
    </w:p>
    <w:p w:rsidR="00CB06D0" w:rsidRPr="00FC1682" w:rsidRDefault="00CB06D0" w:rsidP="00FC1682">
      <w:pPr>
        <w:bidi w:val="0"/>
        <w:jc w:val="both"/>
        <w:outlineLvl w:val="0"/>
        <w:rPr>
          <w:rFonts w:asciiTheme="majorBidi" w:hAnsiTheme="majorBidi" w:cstheme="majorBidi"/>
          <w:sz w:val="26"/>
          <w:szCs w:val="26"/>
          <w:rtl/>
        </w:rPr>
      </w:pPr>
      <w:r w:rsidRPr="00FC1682">
        <w:rPr>
          <w:sz w:val="26"/>
          <w:szCs w:val="26"/>
        </w:rPr>
        <w:t xml:space="preserve">IPI for </w:t>
      </w:r>
      <w:r w:rsidR="00256CB0" w:rsidRPr="00FC1682">
        <w:rPr>
          <w:sz w:val="26"/>
          <w:szCs w:val="26"/>
        </w:rPr>
        <w:t>2025</w:t>
      </w:r>
      <w:r w:rsidRPr="00FC1682">
        <w:rPr>
          <w:sz w:val="26"/>
          <w:szCs w:val="26"/>
        </w:rPr>
        <w:t xml:space="preserve"> </w:t>
      </w:r>
      <w:r w:rsidR="00256CB0" w:rsidRPr="00FC1682">
        <w:rPr>
          <w:sz w:val="26"/>
          <w:szCs w:val="26"/>
        </w:rPr>
        <w:t>increased</w:t>
      </w:r>
      <w:r w:rsidRPr="00FC1682">
        <w:rPr>
          <w:sz w:val="26"/>
          <w:szCs w:val="26"/>
        </w:rPr>
        <w:t xml:space="preserve"> due to the </w:t>
      </w:r>
      <w:r w:rsidR="00256CB0" w:rsidRPr="00FC1682">
        <w:rPr>
          <w:sz w:val="26"/>
          <w:szCs w:val="26"/>
        </w:rPr>
        <w:t>increase</w:t>
      </w:r>
      <w:r w:rsidRPr="00FC1682">
        <w:rPr>
          <w:sz w:val="26"/>
          <w:szCs w:val="26"/>
        </w:rPr>
        <w:t xml:space="preserve"> in the </w:t>
      </w:r>
      <w:r w:rsidRPr="00FC1682">
        <w:rPr>
          <w:b/>
          <w:bCs/>
          <w:sz w:val="26"/>
          <w:szCs w:val="26"/>
        </w:rPr>
        <w:t>activities of</w:t>
      </w:r>
      <w:r w:rsidRPr="00FC1682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FC1682">
        <w:rPr>
          <w:b/>
          <w:bCs/>
          <w:sz w:val="26"/>
          <w:szCs w:val="26"/>
        </w:rPr>
        <w:t>Manufacturing Industry</w:t>
      </w:r>
      <w:r w:rsidRPr="00FC1682">
        <w:rPr>
          <w:rFonts w:asciiTheme="majorBidi" w:hAnsiTheme="majorBidi" w:cstheme="majorBidi"/>
          <w:sz w:val="26"/>
          <w:szCs w:val="26"/>
        </w:rPr>
        <w:t xml:space="preserve"> </w:t>
      </w:r>
      <w:r w:rsidRPr="00FC1682">
        <w:rPr>
          <w:sz w:val="26"/>
          <w:szCs w:val="26"/>
        </w:rPr>
        <w:t xml:space="preserve">by </w:t>
      </w:r>
      <w:r w:rsidR="00256CB0" w:rsidRPr="00FC1682">
        <w:rPr>
          <w:sz w:val="26"/>
          <w:szCs w:val="26"/>
        </w:rPr>
        <w:t>4.48</w:t>
      </w:r>
      <w:r w:rsidRPr="00FC1682">
        <w:rPr>
          <w:sz w:val="26"/>
          <w:szCs w:val="26"/>
        </w:rPr>
        <w:t xml:space="preserve">%, </w:t>
      </w:r>
      <w:r w:rsidR="00517D3E" w:rsidRPr="00FC1682">
        <w:rPr>
          <w:sz w:val="26"/>
          <w:szCs w:val="26"/>
        </w:rPr>
        <w:t xml:space="preserve">and </w:t>
      </w:r>
      <w:r w:rsidRPr="00FC1682">
        <w:rPr>
          <w:sz w:val="26"/>
          <w:szCs w:val="26"/>
        </w:rPr>
        <w:t xml:space="preserve">the </w:t>
      </w:r>
      <w:r w:rsidRPr="00FC1682">
        <w:rPr>
          <w:b/>
          <w:bCs/>
          <w:sz w:val="26"/>
          <w:szCs w:val="26"/>
        </w:rPr>
        <w:t>activities of</w:t>
      </w:r>
      <w:r w:rsidRPr="00FC1682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FC1682">
        <w:rPr>
          <w:b/>
          <w:bCs/>
          <w:sz w:val="26"/>
          <w:szCs w:val="26"/>
        </w:rPr>
        <w:t xml:space="preserve">Electricity, Gas, Steam and Air Conditioning Supply </w:t>
      </w:r>
      <w:r w:rsidRPr="00FC1682">
        <w:rPr>
          <w:sz w:val="26"/>
          <w:szCs w:val="26"/>
        </w:rPr>
        <w:t xml:space="preserve">by </w:t>
      </w:r>
      <w:r w:rsidR="00517D3E" w:rsidRPr="00FC1682">
        <w:rPr>
          <w:sz w:val="26"/>
          <w:szCs w:val="26"/>
        </w:rPr>
        <w:t>3.22%. While</w:t>
      </w:r>
      <w:r w:rsidRPr="00FC1682">
        <w:rPr>
          <w:sz w:val="26"/>
          <w:szCs w:val="26"/>
        </w:rPr>
        <w:t xml:space="preserve">, the </w:t>
      </w:r>
      <w:r w:rsidRPr="00FC1682">
        <w:rPr>
          <w:b/>
          <w:bCs/>
          <w:sz w:val="26"/>
          <w:szCs w:val="26"/>
        </w:rPr>
        <w:t>activities of</w:t>
      </w:r>
      <w:r w:rsidRPr="00FC1682">
        <w:rPr>
          <w:rFonts w:asciiTheme="majorBidi" w:hAnsiTheme="majorBidi" w:cstheme="majorBidi"/>
          <w:sz w:val="26"/>
          <w:szCs w:val="26"/>
        </w:rPr>
        <w:t xml:space="preserve"> </w:t>
      </w:r>
      <w:r w:rsidRPr="00FC1682">
        <w:rPr>
          <w:b/>
          <w:bCs/>
          <w:sz w:val="26"/>
          <w:szCs w:val="26"/>
        </w:rPr>
        <w:t>Water Supply, Sewerage, Waste Management and</w:t>
      </w:r>
      <w:r w:rsidRPr="00FC1682">
        <w:rPr>
          <w:rFonts w:asciiTheme="majorBidi" w:hAnsiTheme="majorBidi" w:cstheme="majorBidi"/>
          <w:b/>
          <w:bCs/>
          <w:sz w:val="26"/>
          <w:szCs w:val="26"/>
        </w:rPr>
        <w:t xml:space="preserve"> Remediation</w:t>
      </w:r>
      <w:r w:rsidRPr="00FC1682">
        <w:rPr>
          <w:b/>
          <w:bCs/>
          <w:sz w:val="26"/>
          <w:szCs w:val="26"/>
        </w:rPr>
        <w:t xml:space="preserve"> </w:t>
      </w:r>
      <w:r w:rsidR="007A030A" w:rsidRPr="00FC1682">
        <w:rPr>
          <w:sz w:val="26"/>
          <w:szCs w:val="26"/>
        </w:rPr>
        <w:t>sharply</w:t>
      </w:r>
      <w:r w:rsidR="007A030A" w:rsidRPr="00FC1682">
        <w:rPr>
          <w:b/>
          <w:bCs/>
          <w:sz w:val="26"/>
          <w:szCs w:val="26"/>
        </w:rPr>
        <w:t xml:space="preserve"> </w:t>
      </w:r>
      <w:r w:rsidR="00517D3E" w:rsidRPr="00FC1682">
        <w:rPr>
          <w:sz w:val="26"/>
          <w:szCs w:val="26"/>
        </w:rPr>
        <w:t>decreased</w:t>
      </w:r>
      <w:r w:rsidRPr="00FC1682">
        <w:rPr>
          <w:b/>
          <w:bCs/>
          <w:sz w:val="26"/>
          <w:szCs w:val="26"/>
        </w:rPr>
        <w:t xml:space="preserve"> </w:t>
      </w:r>
      <w:r w:rsidRPr="00FC1682">
        <w:rPr>
          <w:sz w:val="26"/>
          <w:szCs w:val="26"/>
        </w:rPr>
        <w:t xml:space="preserve">by </w:t>
      </w:r>
      <w:r w:rsidR="00517D3E" w:rsidRPr="00FC1682">
        <w:rPr>
          <w:sz w:val="26"/>
          <w:szCs w:val="26"/>
        </w:rPr>
        <w:t xml:space="preserve">22.67%, and the </w:t>
      </w:r>
      <w:r w:rsidR="00517D3E" w:rsidRPr="00FC1682">
        <w:rPr>
          <w:b/>
          <w:bCs/>
          <w:sz w:val="26"/>
          <w:szCs w:val="26"/>
        </w:rPr>
        <w:t>activities of</w:t>
      </w:r>
      <w:r w:rsidR="00517D3E" w:rsidRPr="00FC1682">
        <w:rPr>
          <w:rFonts w:asciiTheme="majorBidi" w:hAnsiTheme="majorBidi" w:cstheme="majorBidi"/>
          <w:sz w:val="26"/>
          <w:szCs w:val="26"/>
        </w:rPr>
        <w:t xml:space="preserve"> </w:t>
      </w:r>
      <w:r w:rsidR="00517D3E" w:rsidRPr="00FC1682">
        <w:rPr>
          <w:b/>
          <w:bCs/>
          <w:sz w:val="26"/>
          <w:szCs w:val="26"/>
        </w:rPr>
        <w:t>Mining and Quarrying</w:t>
      </w:r>
      <w:r w:rsidR="00517D3E" w:rsidRPr="00FC1682">
        <w:rPr>
          <w:sz w:val="26"/>
          <w:szCs w:val="26"/>
        </w:rPr>
        <w:t xml:space="preserve"> by 2.60%.</w:t>
      </w:r>
    </w:p>
    <w:p w:rsidR="00CB06D0" w:rsidRPr="00CB63C2" w:rsidRDefault="00CB06D0" w:rsidP="00FC1682">
      <w:pPr>
        <w:autoSpaceDE w:val="0"/>
        <w:autoSpaceDN w:val="0"/>
        <w:adjustRightInd w:val="0"/>
        <w:jc w:val="both"/>
        <w:rPr>
          <w:snapToGrid w:val="0"/>
          <w:sz w:val="16"/>
          <w:szCs w:val="16"/>
        </w:rPr>
      </w:pPr>
    </w:p>
    <w:p w:rsidR="00FC1682" w:rsidRDefault="00CB06D0" w:rsidP="00FC1682">
      <w:pPr>
        <w:autoSpaceDE w:val="0"/>
        <w:autoSpaceDN w:val="0"/>
        <w:bidi w:val="0"/>
        <w:adjustRightInd w:val="0"/>
        <w:jc w:val="center"/>
        <w:rPr>
          <w:b/>
          <w:bCs/>
          <w:sz w:val="28"/>
          <w:szCs w:val="28"/>
          <w:rtl/>
        </w:rPr>
      </w:pPr>
      <w:r w:rsidRPr="00FC1682">
        <w:rPr>
          <w:b/>
          <w:bCs/>
          <w:sz w:val="28"/>
          <w:szCs w:val="28"/>
        </w:rPr>
        <w:t xml:space="preserve">The table below shows yearly percent changes in IPI in Palestine for the period </w:t>
      </w:r>
    </w:p>
    <w:p w:rsidR="00CB06D0" w:rsidRPr="00FC1682" w:rsidRDefault="00CB06D0" w:rsidP="00FC1682">
      <w:pPr>
        <w:autoSpaceDE w:val="0"/>
        <w:autoSpaceDN w:val="0"/>
        <w:bidi w:val="0"/>
        <w:adjustRightInd w:val="0"/>
        <w:jc w:val="center"/>
        <w:rPr>
          <w:b/>
          <w:bCs/>
          <w:sz w:val="28"/>
          <w:szCs w:val="28"/>
        </w:rPr>
      </w:pPr>
      <w:r w:rsidRPr="00FC1682">
        <w:rPr>
          <w:b/>
          <w:bCs/>
          <w:sz w:val="28"/>
          <w:szCs w:val="28"/>
        </w:rPr>
        <w:t xml:space="preserve">2013 – </w:t>
      </w:r>
      <w:r w:rsidR="00AA1124" w:rsidRPr="00FC1682">
        <w:rPr>
          <w:b/>
          <w:bCs/>
          <w:sz w:val="28"/>
          <w:szCs w:val="28"/>
        </w:rPr>
        <w:t>2025</w:t>
      </w:r>
      <w:r w:rsidRPr="00FC1682">
        <w:rPr>
          <w:b/>
          <w:bCs/>
          <w:sz w:val="28"/>
          <w:szCs w:val="28"/>
        </w:rPr>
        <w:t>:</w:t>
      </w:r>
    </w:p>
    <w:p w:rsidR="00CB06D0" w:rsidRPr="00CB63C2" w:rsidRDefault="00CB06D0" w:rsidP="00FC1682">
      <w:pPr>
        <w:autoSpaceDE w:val="0"/>
        <w:autoSpaceDN w:val="0"/>
        <w:adjustRightInd w:val="0"/>
        <w:jc w:val="both"/>
        <w:rPr>
          <w:snapToGrid w:val="0"/>
          <w:sz w:val="16"/>
          <w:szCs w:val="16"/>
        </w:rPr>
      </w:pPr>
    </w:p>
    <w:tbl>
      <w:tblPr>
        <w:tblW w:w="5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6"/>
        <w:gridCol w:w="3263"/>
      </w:tblGrid>
      <w:tr w:rsidR="00CB06D0" w:rsidRPr="00CB63C2" w:rsidTr="00FC1682">
        <w:trPr>
          <w:trHeight w:val="338"/>
          <w:jc w:val="center"/>
        </w:trPr>
        <w:tc>
          <w:tcPr>
            <w:tcW w:w="2206" w:type="dxa"/>
            <w:vAlign w:val="center"/>
          </w:tcPr>
          <w:p w:rsidR="00CB06D0" w:rsidRPr="00CB63C2" w:rsidRDefault="00CB06D0" w:rsidP="00FC1682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napToGrid w:val="0"/>
              </w:rPr>
            </w:pPr>
            <w:r w:rsidRPr="00CB63C2">
              <w:rPr>
                <w:b/>
                <w:bCs/>
                <w:snapToGrid w:val="0"/>
              </w:rPr>
              <w:t>Year</w:t>
            </w:r>
          </w:p>
        </w:tc>
        <w:tc>
          <w:tcPr>
            <w:tcW w:w="3263" w:type="dxa"/>
            <w:vAlign w:val="center"/>
          </w:tcPr>
          <w:p w:rsidR="00CB06D0" w:rsidRPr="00CB63C2" w:rsidRDefault="00CB06D0" w:rsidP="00FC1682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napToGrid w:val="0"/>
              </w:rPr>
            </w:pPr>
            <w:r w:rsidRPr="00CB63C2">
              <w:rPr>
                <w:b/>
                <w:bCs/>
                <w:snapToGrid w:val="0"/>
              </w:rPr>
              <w:t>Percent Changes %</w:t>
            </w:r>
          </w:p>
        </w:tc>
      </w:tr>
      <w:tr w:rsidR="00CB06D0" w:rsidRPr="00CB63C2" w:rsidTr="00FC1682">
        <w:trPr>
          <w:trHeight w:val="338"/>
          <w:jc w:val="center"/>
        </w:trPr>
        <w:tc>
          <w:tcPr>
            <w:tcW w:w="2206" w:type="dxa"/>
            <w:vAlign w:val="center"/>
          </w:tcPr>
          <w:p w:rsidR="00CB06D0" w:rsidRPr="00CB63C2" w:rsidRDefault="00CB06D0" w:rsidP="00FC1682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CB63C2">
              <w:rPr>
                <w:snapToGrid w:val="0"/>
              </w:rPr>
              <w:t>2013</w:t>
            </w:r>
          </w:p>
        </w:tc>
        <w:tc>
          <w:tcPr>
            <w:tcW w:w="3263" w:type="dxa"/>
            <w:vAlign w:val="center"/>
          </w:tcPr>
          <w:p w:rsidR="00CB06D0" w:rsidRPr="00CB63C2" w:rsidRDefault="00CB06D0" w:rsidP="00FC1682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CB63C2">
              <w:rPr>
                <w:snapToGrid w:val="0"/>
              </w:rPr>
              <w:t>+ 7.82</w:t>
            </w:r>
          </w:p>
        </w:tc>
      </w:tr>
      <w:tr w:rsidR="00CB06D0" w:rsidRPr="00CB63C2" w:rsidTr="00FC1682">
        <w:trPr>
          <w:trHeight w:val="338"/>
          <w:jc w:val="center"/>
        </w:trPr>
        <w:tc>
          <w:tcPr>
            <w:tcW w:w="2206" w:type="dxa"/>
            <w:vAlign w:val="center"/>
          </w:tcPr>
          <w:p w:rsidR="00CB06D0" w:rsidRPr="00CB63C2" w:rsidRDefault="00CB06D0" w:rsidP="00FC1682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CB63C2">
              <w:rPr>
                <w:snapToGrid w:val="0"/>
              </w:rPr>
              <w:t>2014</w:t>
            </w:r>
          </w:p>
        </w:tc>
        <w:tc>
          <w:tcPr>
            <w:tcW w:w="3263" w:type="dxa"/>
            <w:vAlign w:val="center"/>
          </w:tcPr>
          <w:p w:rsidR="00CB06D0" w:rsidRPr="00CB63C2" w:rsidRDefault="00CB06D0" w:rsidP="00FC1682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CB63C2">
              <w:rPr>
                <w:snapToGrid w:val="0"/>
              </w:rPr>
              <w:t>- 3.92</w:t>
            </w:r>
          </w:p>
        </w:tc>
      </w:tr>
      <w:tr w:rsidR="00CB06D0" w:rsidRPr="00CB63C2" w:rsidTr="00FC1682">
        <w:trPr>
          <w:trHeight w:val="338"/>
          <w:jc w:val="center"/>
        </w:trPr>
        <w:tc>
          <w:tcPr>
            <w:tcW w:w="2206" w:type="dxa"/>
            <w:vAlign w:val="center"/>
          </w:tcPr>
          <w:p w:rsidR="00CB06D0" w:rsidRPr="00CB63C2" w:rsidRDefault="00CB06D0" w:rsidP="00FC1682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CB63C2">
              <w:rPr>
                <w:snapToGrid w:val="0"/>
              </w:rPr>
              <w:t>2015</w:t>
            </w:r>
          </w:p>
        </w:tc>
        <w:tc>
          <w:tcPr>
            <w:tcW w:w="3263" w:type="dxa"/>
            <w:vAlign w:val="center"/>
          </w:tcPr>
          <w:p w:rsidR="00CB06D0" w:rsidRPr="00CB63C2" w:rsidRDefault="00CB06D0" w:rsidP="00FC1682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CB63C2">
              <w:rPr>
                <w:snapToGrid w:val="0"/>
              </w:rPr>
              <w:t>- 3.80</w:t>
            </w:r>
          </w:p>
        </w:tc>
      </w:tr>
      <w:tr w:rsidR="00CB06D0" w:rsidRPr="00CB63C2" w:rsidTr="00FC1682">
        <w:trPr>
          <w:trHeight w:val="338"/>
          <w:jc w:val="center"/>
        </w:trPr>
        <w:tc>
          <w:tcPr>
            <w:tcW w:w="2206" w:type="dxa"/>
            <w:vAlign w:val="center"/>
          </w:tcPr>
          <w:p w:rsidR="00CB06D0" w:rsidRPr="00CB63C2" w:rsidRDefault="00CB06D0" w:rsidP="00FC1682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CB63C2">
              <w:rPr>
                <w:snapToGrid w:val="0"/>
              </w:rPr>
              <w:t>2016</w:t>
            </w:r>
          </w:p>
        </w:tc>
        <w:tc>
          <w:tcPr>
            <w:tcW w:w="3263" w:type="dxa"/>
            <w:vAlign w:val="center"/>
          </w:tcPr>
          <w:p w:rsidR="00CB06D0" w:rsidRPr="00CB63C2" w:rsidRDefault="00CB06D0" w:rsidP="00FC1682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CB63C2">
              <w:rPr>
                <w:snapToGrid w:val="0"/>
              </w:rPr>
              <w:t>+ 0.96</w:t>
            </w:r>
          </w:p>
        </w:tc>
      </w:tr>
      <w:tr w:rsidR="00CB06D0" w:rsidRPr="00CB63C2" w:rsidTr="00FC1682">
        <w:trPr>
          <w:trHeight w:val="338"/>
          <w:jc w:val="center"/>
        </w:trPr>
        <w:tc>
          <w:tcPr>
            <w:tcW w:w="2206" w:type="dxa"/>
            <w:vAlign w:val="center"/>
          </w:tcPr>
          <w:p w:rsidR="00CB06D0" w:rsidRPr="00CB63C2" w:rsidRDefault="00CB06D0" w:rsidP="00FC1682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CB63C2">
              <w:rPr>
                <w:snapToGrid w:val="0"/>
              </w:rPr>
              <w:t>2017</w:t>
            </w:r>
          </w:p>
        </w:tc>
        <w:tc>
          <w:tcPr>
            <w:tcW w:w="3263" w:type="dxa"/>
            <w:vAlign w:val="center"/>
          </w:tcPr>
          <w:p w:rsidR="00CB06D0" w:rsidRPr="00CB63C2" w:rsidRDefault="00CB06D0" w:rsidP="00FC1682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CB63C2">
              <w:rPr>
                <w:snapToGrid w:val="0"/>
              </w:rPr>
              <w:t>+ 4.11</w:t>
            </w:r>
          </w:p>
        </w:tc>
      </w:tr>
      <w:tr w:rsidR="00CB06D0" w:rsidRPr="00CB63C2" w:rsidTr="00FC1682">
        <w:trPr>
          <w:trHeight w:val="338"/>
          <w:jc w:val="center"/>
        </w:trPr>
        <w:tc>
          <w:tcPr>
            <w:tcW w:w="2206" w:type="dxa"/>
            <w:vAlign w:val="center"/>
          </w:tcPr>
          <w:p w:rsidR="00CB06D0" w:rsidRPr="00CB63C2" w:rsidRDefault="00CB06D0" w:rsidP="00FC1682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CB63C2">
              <w:rPr>
                <w:snapToGrid w:val="0"/>
              </w:rPr>
              <w:t>2018</w:t>
            </w:r>
          </w:p>
        </w:tc>
        <w:tc>
          <w:tcPr>
            <w:tcW w:w="3263" w:type="dxa"/>
            <w:vAlign w:val="center"/>
          </w:tcPr>
          <w:p w:rsidR="00CB06D0" w:rsidRPr="00CB63C2" w:rsidRDefault="00CB06D0" w:rsidP="00FC1682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CB63C2">
              <w:rPr>
                <w:snapToGrid w:val="0"/>
              </w:rPr>
              <w:t>- 3.94</w:t>
            </w:r>
          </w:p>
        </w:tc>
      </w:tr>
      <w:tr w:rsidR="00CB06D0" w:rsidRPr="00CB63C2" w:rsidTr="00FC1682">
        <w:trPr>
          <w:trHeight w:val="338"/>
          <w:jc w:val="center"/>
        </w:trPr>
        <w:tc>
          <w:tcPr>
            <w:tcW w:w="2206" w:type="dxa"/>
            <w:vAlign w:val="center"/>
          </w:tcPr>
          <w:p w:rsidR="00CB06D0" w:rsidRPr="00CB63C2" w:rsidRDefault="00CB06D0" w:rsidP="00FC1682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CB63C2">
              <w:rPr>
                <w:snapToGrid w:val="0"/>
              </w:rPr>
              <w:t>2019</w:t>
            </w:r>
          </w:p>
        </w:tc>
        <w:tc>
          <w:tcPr>
            <w:tcW w:w="3263" w:type="dxa"/>
            <w:vAlign w:val="center"/>
          </w:tcPr>
          <w:p w:rsidR="00CB06D0" w:rsidRPr="00CB63C2" w:rsidRDefault="00CB06D0" w:rsidP="00FC1682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CB63C2">
              <w:rPr>
                <w:snapToGrid w:val="0"/>
              </w:rPr>
              <w:t>+ 3.86</w:t>
            </w:r>
          </w:p>
        </w:tc>
      </w:tr>
      <w:tr w:rsidR="00CB06D0" w:rsidRPr="00CB63C2" w:rsidTr="00FC1682">
        <w:trPr>
          <w:trHeight w:val="338"/>
          <w:jc w:val="center"/>
        </w:trPr>
        <w:tc>
          <w:tcPr>
            <w:tcW w:w="2206" w:type="dxa"/>
            <w:vAlign w:val="center"/>
          </w:tcPr>
          <w:p w:rsidR="00CB06D0" w:rsidRPr="00CB63C2" w:rsidRDefault="00CB06D0" w:rsidP="00FC1682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CB63C2">
              <w:rPr>
                <w:snapToGrid w:val="0"/>
              </w:rPr>
              <w:t>2020</w:t>
            </w:r>
          </w:p>
        </w:tc>
        <w:tc>
          <w:tcPr>
            <w:tcW w:w="3263" w:type="dxa"/>
            <w:vAlign w:val="center"/>
          </w:tcPr>
          <w:p w:rsidR="00CB06D0" w:rsidRPr="00CB63C2" w:rsidRDefault="00CB06D0" w:rsidP="00FC1682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CB63C2">
              <w:rPr>
                <w:snapToGrid w:val="0"/>
              </w:rPr>
              <w:t>- 7.95</w:t>
            </w:r>
          </w:p>
        </w:tc>
      </w:tr>
      <w:tr w:rsidR="00CB06D0" w:rsidRPr="00CB63C2" w:rsidTr="00FC1682">
        <w:trPr>
          <w:trHeight w:val="338"/>
          <w:jc w:val="center"/>
        </w:trPr>
        <w:tc>
          <w:tcPr>
            <w:tcW w:w="2206" w:type="dxa"/>
            <w:vAlign w:val="center"/>
          </w:tcPr>
          <w:p w:rsidR="00CB06D0" w:rsidRPr="00CB63C2" w:rsidRDefault="00CB06D0" w:rsidP="00FC1682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CB63C2">
              <w:rPr>
                <w:snapToGrid w:val="0"/>
              </w:rPr>
              <w:t>2021</w:t>
            </w:r>
          </w:p>
        </w:tc>
        <w:tc>
          <w:tcPr>
            <w:tcW w:w="3263" w:type="dxa"/>
            <w:vAlign w:val="center"/>
          </w:tcPr>
          <w:p w:rsidR="00CB06D0" w:rsidRPr="00CB63C2" w:rsidRDefault="00CB06D0" w:rsidP="00FC1682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CB63C2">
              <w:rPr>
                <w:snapToGrid w:val="0"/>
              </w:rPr>
              <w:t>+ 14.13</w:t>
            </w:r>
          </w:p>
        </w:tc>
      </w:tr>
      <w:tr w:rsidR="00CB06D0" w:rsidRPr="00CB63C2" w:rsidTr="00FC1682">
        <w:trPr>
          <w:trHeight w:val="338"/>
          <w:jc w:val="center"/>
        </w:trPr>
        <w:tc>
          <w:tcPr>
            <w:tcW w:w="2206" w:type="dxa"/>
            <w:vAlign w:val="center"/>
          </w:tcPr>
          <w:p w:rsidR="00CB06D0" w:rsidRPr="00CB63C2" w:rsidRDefault="00CB06D0" w:rsidP="00FC1682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CB63C2">
              <w:rPr>
                <w:snapToGrid w:val="0"/>
              </w:rPr>
              <w:t>2022</w:t>
            </w:r>
          </w:p>
        </w:tc>
        <w:tc>
          <w:tcPr>
            <w:tcW w:w="3263" w:type="dxa"/>
            <w:vAlign w:val="center"/>
          </w:tcPr>
          <w:p w:rsidR="00CB06D0" w:rsidRPr="00CB63C2" w:rsidRDefault="00CB06D0" w:rsidP="00FC1682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CB63C2">
              <w:rPr>
                <w:snapToGrid w:val="0"/>
              </w:rPr>
              <w:t>+ 3.27</w:t>
            </w:r>
          </w:p>
        </w:tc>
      </w:tr>
      <w:tr w:rsidR="00CB06D0" w:rsidRPr="00CB63C2" w:rsidTr="00FC1682">
        <w:trPr>
          <w:trHeight w:val="338"/>
          <w:jc w:val="center"/>
        </w:trPr>
        <w:tc>
          <w:tcPr>
            <w:tcW w:w="2206" w:type="dxa"/>
            <w:vAlign w:val="center"/>
          </w:tcPr>
          <w:p w:rsidR="00CB06D0" w:rsidRPr="00CB63C2" w:rsidRDefault="00CB06D0" w:rsidP="00FC1682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CB63C2">
              <w:rPr>
                <w:snapToGrid w:val="0"/>
              </w:rPr>
              <w:t>2023</w:t>
            </w:r>
          </w:p>
        </w:tc>
        <w:tc>
          <w:tcPr>
            <w:tcW w:w="3263" w:type="dxa"/>
            <w:vAlign w:val="center"/>
          </w:tcPr>
          <w:p w:rsidR="00CB06D0" w:rsidRPr="00CB63C2" w:rsidRDefault="00CB06D0" w:rsidP="00FC168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 w:val="0"/>
              <w:adjustRightInd w:val="0"/>
              <w:ind w:left="840" w:hanging="180"/>
              <w:jc w:val="center"/>
              <w:rPr>
                <w:snapToGrid w:val="0"/>
              </w:rPr>
            </w:pPr>
            <w:r w:rsidRPr="00CB63C2">
              <w:rPr>
                <w:snapToGrid w:val="0"/>
              </w:rPr>
              <w:t>8.01</w:t>
            </w:r>
            <w:r w:rsidR="00FC1682">
              <w:rPr>
                <w:rFonts w:hint="cs"/>
                <w:snapToGrid w:val="0"/>
                <w:rtl/>
              </w:rPr>
              <w:t xml:space="preserve">          </w:t>
            </w:r>
          </w:p>
        </w:tc>
      </w:tr>
      <w:tr w:rsidR="00CB06D0" w:rsidRPr="00CB63C2" w:rsidTr="00FC1682">
        <w:trPr>
          <w:trHeight w:val="338"/>
          <w:jc w:val="center"/>
        </w:trPr>
        <w:tc>
          <w:tcPr>
            <w:tcW w:w="2206" w:type="dxa"/>
            <w:vAlign w:val="center"/>
          </w:tcPr>
          <w:p w:rsidR="00CB06D0" w:rsidRPr="00CB63C2" w:rsidRDefault="00CB06D0" w:rsidP="00FC1682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CB63C2">
              <w:rPr>
                <w:snapToGrid w:val="0"/>
              </w:rPr>
              <w:t>2024</w:t>
            </w:r>
          </w:p>
        </w:tc>
        <w:tc>
          <w:tcPr>
            <w:tcW w:w="3263" w:type="dxa"/>
            <w:vAlign w:val="center"/>
          </w:tcPr>
          <w:p w:rsidR="00CB06D0" w:rsidRPr="00CB63C2" w:rsidRDefault="00CB06D0" w:rsidP="00FC168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 w:val="0"/>
              <w:adjustRightInd w:val="0"/>
              <w:ind w:left="840" w:hanging="180"/>
              <w:jc w:val="center"/>
              <w:rPr>
                <w:snapToGrid w:val="0"/>
              </w:rPr>
            </w:pPr>
            <w:r w:rsidRPr="00CB63C2">
              <w:rPr>
                <w:snapToGrid w:val="0"/>
              </w:rPr>
              <w:t>19.84</w:t>
            </w:r>
            <w:r w:rsidR="00FC1682">
              <w:rPr>
                <w:rFonts w:hint="cs"/>
                <w:snapToGrid w:val="0"/>
                <w:rtl/>
              </w:rPr>
              <w:t xml:space="preserve">            </w:t>
            </w:r>
          </w:p>
        </w:tc>
      </w:tr>
      <w:tr w:rsidR="008A1A30" w:rsidRPr="00CB63C2" w:rsidTr="00FC1682">
        <w:trPr>
          <w:trHeight w:val="338"/>
          <w:jc w:val="center"/>
        </w:trPr>
        <w:tc>
          <w:tcPr>
            <w:tcW w:w="2206" w:type="dxa"/>
            <w:vAlign w:val="center"/>
          </w:tcPr>
          <w:p w:rsidR="008A1A30" w:rsidRPr="00CB63C2" w:rsidRDefault="008A1A30" w:rsidP="00FC1682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2025</w:t>
            </w:r>
          </w:p>
        </w:tc>
        <w:tc>
          <w:tcPr>
            <w:tcW w:w="3263" w:type="dxa"/>
            <w:vAlign w:val="center"/>
          </w:tcPr>
          <w:p w:rsidR="008A1A30" w:rsidRPr="008B41BA" w:rsidRDefault="008B41BA" w:rsidP="00FC1682">
            <w:pPr>
              <w:autoSpaceDE w:val="0"/>
              <w:autoSpaceDN w:val="0"/>
              <w:bidi w:val="0"/>
              <w:adjustRightInd w:val="0"/>
              <w:ind w:left="360"/>
              <w:jc w:val="center"/>
              <w:rPr>
                <w:snapToGrid w:val="0"/>
              </w:rPr>
            </w:pPr>
            <w:r>
              <w:rPr>
                <w:snapToGrid w:val="0"/>
              </w:rPr>
              <w:t>+ 3.39</w:t>
            </w:r>
            <w:r w:rsidR="00FC1682">
              <w:rPr>
                <w:rFonts w:hint="cs"/>
                <w:snapToGrid w:val="0"/>
                <w:rtl/>
              </w:rPr>
              <w:t xml:space="preserve">     </w:t>
            </w:r>
          </w:p>
        </w:tc>
      </w:tr>
    </w:tbl>
    <w:p w:rsidR="00CB06D0" w:rsidRPr="00CB63C2" w:rsidRDefault="00CB06D0" w:rsidP="00FC1682">
      <w:pPr>
        <w:jc w:val="both"/>
        <w:outlineLvl w:val="0"/>
        <w:rPr>
          <w:b/>
          <w:bCs/>
          <w:sz w:val="2"/>
          <w:szCs w:val="2"/>
        </w:rPr>
      </w:pPr>
    </w:p>
    <w:p w:rsidR="00CB06D0" w:rsidRPr="00FC1682" w:rsidRDefault="00CB06D0" w:rsidP="00FC1682">
      <w:pPr>
        <w:bidi w:val="0"/>
        <w:jc w:val="both"/>
        <w:outlineLvl w:val="0"/>
        <w:rPr>
          <w:b/>
          <w:bCs/>
          <w:sz w:val="16"/>
          <w:szCs w:val="16"/>
        </w:rPr>
      </w:pPr>
    </w:p>
    <w:p w:rsidR="000275DF" w:rsidRPr="00FC1682" w:rsidRDefault="00EB1F6E" w:rsidP="00FC1682">
      <w:pPr>
        <w:bidi w:val="0"/>
        <w:jc w:val="both"/>
        <w:outlineLvl w:val="0"/>
        <w:rPr>
          <w:sz w:val="28"/>
          <w:szCs w:val="28"/>
        </w:rPr>
      </w:pPr>
      <w:r w:rsidRPr="00FC1682">
        <w:rPr>
          <w:b/>
          <w:bCs/>
          <w:sz w:val="28"/>
          <w:szCs w:val="28"/>
        </w:rPr>
        <w:t>Decrease</w:t>
      </w:r>
      <w:r w:rsidR="002C20FD" w:rsidRPr="00FC1682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FC1682">
        <w:rPr>
          <w:b/>
          <w:bCs/>
          <w:kern w:val="36"/>
          <w:sz w:val="28"/>
          <w:szCs w:val="28"/>
        </w:rPr>
        <w:t xml:space="preserve"> </w:t>
      </w:r>
      <w:r w:rsidR="002C20FD" w:rsidRPr="00FC1682">
        <w:rPr>
          <w:b/>
          <w:bCs/>
          <w:sz w:val="28"/>
          <w:szCs w:val="28"/>
        </w:rPr>
        <w:t xml:space="preserve">during </w:t>
      </w:r>
      <w:r w:rsidR="00E57AD1" w:rsidRPr="00FC1682">
        <w:rPr>
          <w:b/>
          <w:bCs/>
          <w:sz w:val="28"/>
          <w:szCs w:val="28"/>
        </w:rPr>
        <w:t>December</w:t>
      </w:r>
      <w:r w:rsidR="004B4F89" w:rsidRPr="00FC1682">
        <w:rPr>
          <w:b/>
          <w:bCs/>
          <w:sz w:val="28"/>
          <w:szCs w:val="28"/>
        </w:rPr>
        <w:t xml:space="preserve"> </w:t>
      </w:r>
      <w:r w:rsidR="00132CC5" w:rsidRPr="00FC1682">
        <w:rPr>
          <w:b/>
          <w:bCs/>
          <w:sz w:val="28"/>
          <w:szCs w:val="28"/>
        </w:rPr>
        <w:t>2025</w:t>
      </w:r>
      <w:r w:rsidR="00D10239" w:rsidRPr="00FC1682">
        <w:rPr>
          <w:b/>
          <w:bCs/>
          <w:sz w:val="28"/>
          <w:szCs w:val="28"/>
        </w:rPr>
        <w:t xml:space="preserve"> </w:t>
      </w:r>
    </w:p>
    <w:p w:rsidR="00FC1682" w:rsidRPr="00FC1682" w:rsidRDefault="00FC1682" w:rsidP="00FC1682">
      <w:pPr>
        <w:bidi w:val="0"/>
        <w:jc w:val="both"/>
        <w:outlineLvl w:val="0"/>
        <w:rPr>
          <w:sz w:val="12"/>
          <w:szCs w:val="12"/>
          <w:rtl/>
        </w:rPr>
      </w:pPr>
    </w:p>
    <w:p w:rsidR="00D10239" w:rsidRPr="00FC1682" w:rsidRDefault="009E6DC8" w:rsidP="00FC1682">
      <w:pPr>
        <w:bidi w:val="0"/>
        <w:jc w:val="both"/>
        <w:outlineLvl w:val="0"/>
        <w:rPr>
          <w:sz w:val="26"/>
          <w:szCs w:val="26"/>
        </w:rPr>
      </w:pPr>
      <w:r w:rsidRPr="00FC1682">
        <w:rPr>
          <w:sz w:val="26"/>
          <w:szCs w:val="26"/>
        </w:rPr>
        <w:t xml:space="preserve">The </w:t>
      </w:r>
      <w:r w:rsidR="00D10239" w:rsidRPr="00FC1682">
        <w:rPr>
          <w:sz w:val="26"/>
          <w:szCs w:val="26"/>
        </w:rPr>
        <w:t xml:space="preserve">overall IPI in Palestine reached </w:t>
      </w:r>
      <w:r w:rsidR="00E57AD1" w:rsidRPr="00FC1682">
        <w:rPr>
          <w:sz w:val="26"/>
          <w:szCs w:val="26"/>
        </w:rPr>
        <w:t>83.50</w:t>
      </w:r>
      <w:r w:rsidR="00D817BF" w:rsidRPr="00FC1682">
        <w:rPr>
          <w:sz w:val="26"/>
          <w:szCs w:val="26"/>
        </w:rPr>
        <w:t xml:space="preserve"> </w:t>
      </w:r>
      <w:r w:rsidR="00D10239" w:rsidRPr="00FC1682">
        <w:rPr>
          <w:sz w:val="26"/>
          <w:szCs w:val="26"/>
        </w:rPr>
        <w:t xml:space="preserve">during </w:t>
      </w:r>
      <w:r w:rsidR="00E57AD1" w:rsidRPr="00FC1682">
        <w:rPr>
          <w:sz w:val="26"/>
          <w:szCs w:val="26"/>
        </w:rPr>
        <w:t>December</w:t>
      </w:r>
      <w:r w:rsidR="00784950" w:rsidRPr="00FC1682">
        <w:rPr>
          <w:sz w:val="26"/>
          <w:szCs w:val="26"/>
        </w:rPr>
        <w:t xml:space="preserve"> </w:t>
      </w:r>
      <w:r w:rsidR="00132CC5" w:rsidRPr="00FC1682">
        <w:rPr>
          <w:sz w:val="26"/>
          <w:szCs w:val="26"/>
        </w:rPr>
        <w:t>2025</w:t>
      </w:r>
      <w:r w:rsidR="00D10239" w:rsidRPr="00FC1682">
        <w:rPr>
          <w:sz w:val="26"/>
          <w:szCs w:val="26"/>
        </w:rPr>
        <w:t xml:space="preserve"> with </w:t>
      </w:r>
      <w:r w:rsidR="00EB1F6E" w:rsidRPr="00FC1682">
        <w:rPr>
          <w:sz w:val="26"/>
          <w:szCs w:val="26"/>
        </w:rPr>
        <w:t>a</w:t>
      </w:r>
      <w:r w:rsidR="006C5D24" w:rsidRPr="00FC1682">
        <w:rPr>
          <w:sz w:val="26"/>
          <w:szCs w:val="26"/>
        </w:rPr>
        <w:t xml:space="preserve"> </w:t>
      </w:r>
      <w:r w:rsidR="00EB1F6E" w:rsidRPr="00FC1682">
        <w:rPr>
          <w:sz w:val="26"/>
          <w:szCs w:val="26"/>
        </w:rPr>
        <w:t>decrease</w:t>
      </w:r>
      <w:r w:rsidR="00D10239" w:rsidRPr="00FC1682">
        <w:rPr>
          <w:sz w:val="26"/>
          <w:szCs w:val="26"/>
        </w:rPr>
        <w:t xml:space="preserve"> of </w:t>
      </w:r>
      <w:r w:rsidR="00131454" w:rsidRPr="00FC1682">
        <w:rPr>
          <w:sz w:val="26"/>
          <w:szCs w:val="26"/>
        </w:rPr>
        <w:t>1.</w:t>
      </w:r>
      <w:r w:rsidR="00E57AD1" w:rsidRPr="00FC1682">
        <w:rPr>
          <w:sz w:val="26"/>
          <w:szCs w:val="26"/>
        </w:rPr>
        <w:t>03</w:t>
      </w:r>
      <w:r w:rsidR="00D10239" w:rsidRPr="00FC1682">
        <w:rPr>
          <w:sz w:val="26"/>
          <w:szCs w:val="26"/>
        </w:rPr>
        <w:t xml:space="preserve">% compared to </w:t>
      </w:r>
      <w:r w:rsidR="00E57AD1" w:rsidRPr="00FC1682">
        <w:rPr>
          <w:sz w:val="26"/>
          <w:szCs w:val="26"/>
        </w:rPr>
        <w:t>November</w:t>
      </w:r>
      <w:r w:rsidR="00227EAD" w:rsidRPr="00FC1682">
        <w:rPr>
          <w:sz w:val="26"/>
          <w:szCs w:val="26"/>
        </w:rPr>
        <w:t xml:space="preserve"> </w:t>
      </w:r>
      <w:r w:rsidR="00D47F74" w:rsidRPr="00FC1682">
        <w:rPr>
          <w:sz w:val="26"/>
          <w:szCs w:val="26"/>
        </w:rPr>
        <w:t>2025 (</w:t>
      </w:r>
      <w:r w:rsidR="00D10239" w:rsidRPr="00FC1682">
        <w:rPr>
          <w:sz w:val="26"/>
          <w:szCs w:val="26"/>
        </w:rPr>
        <w:t>Base Year</w:t>
      </w:r>
      <w:r w:rsidR="00EB1F6E" w:rsidRPr="00FC1682">
        <w:rPr>
          <w:sz w:val="26"/>
          <w:szCs w:val="26"/>
        </w:rPr>
        <w:t xml:space="preserve">    </w:t>
      </w:r>
      <w:r w:rsidR="001B1653" w:rsidRPr="00FC1682">
        <w:rPr>
          <w:sz w:val="26"/>
          <w:szCs w:val="26"/>
        </w:rPr>
        <w:t xml:space="preserve"> </w:t>
      </w:r>
      <w:r w:rsidR="00D10239" w:rsidRPr="00FC1682">
        <w:rPr>
          <w:sz w:val="26"/>
          <w:szCs w:val="26"/>
        </w:rPr>
        <w:t>2019 = 100).</w:t>
      </w:r>
    </w:p>
    <w:p w:rsidR="00FC1682" w:rsidRDefault="00FC1682" w:rsidP="00FC1682">
      <w:pPr>
        <w:autoSpaceDE w:val="0"/>
        <w:autoSpaceDN w:val="0"/>
        <w:bidi w:val="0"/>
        <w:adjustRightInd w:val="0"/>
        <w:jc w:val="both"/>
        <w:rPr>
          <w:sz w:val="16"/>
          <w:szCs w:val="16"/>
          <w:rtl/>
        </w:rPr>
      </w:pPr>
    </w:p>
    <w:p w:rsidR="00693374" w:rsidRDefault="002C20FD" w:rsidP="00FC1682">
      <w:pPr>
        <w:autoSpaceDE w:val="0"/>
        <w:autoSpaceDN w:val="0"/>
        <w:bidi w:val="0"/>
        <w:adjustRightInd w:val="0"/>
        <w:jc w:val="both"/>
        <w:rPr>
          <w:sz w:val="26"/>
          <w:szCs w:val="26"/>
          <w:rtl/>
        </w:rPr>
      </w:pPr>
      <w:r w:rsidRPr="00FC1682">
        <w:rPr>
          <w:sz w:val="26"/>
          <w:szCs w:val="26"/>
        </w:rPr>
        <w:t xml:space="preserve">IPI for </w:t>
      </w:r>
      <w:r w:rsidR="00E57AD1" w:rsidRPr="00FC1682">
        <w:rPr>
          <w:sz w:val="26"/>
          <w:szCs w:val="26"/>
        </w:rPr>
        <w:t>December</w:t>
      </w:r>
      <w:r w:rsidR="003B3E19" w:rsidRPr="00FC1682">
        <w:rPr>
          <w:sz w:val="26"/>
          <w:szCs w:val="26"/>
        </w:rPr>
        <w:t xml:space="preserve"> </w:t>
      </w:r>
      <w:r w:rsidR="00132CC5" w:rsidRPr="00FC1682">
        <w:rPr>
          <w:sz w:val="26"/>
          <w:szCs w:val="26"/>
        </w:rPr>
        <w:t>2025</w:t>
      </w:r>
      <w:r w:rsidRPr="00FC1682">
        <w:rPr>
          <w:sz w:val="26"/>
          <w:szCs w:val="26"/>
        </w:rPr>
        <w:t xml:space="preserve"> </w:t>
      </w:r>
      <w:r w:rsidR="00EB1F6E" w:rsidRPr="00FC1682">
        <w:rPr>
          <w:sz w:val="26"/>
          <w:szCs w:val="26"/>
        </w:rPr>
        <w:t>decreased</w:t>
      </w:r>
      <w:r w:rsidRPr="00FC1682">
        <w:rPr>
          <w:sz w:val="26"/>
          <w:szCs w:val="26"/>
        </w:rPr>
        <w:t xml:space="preserve"> due to the </w:t>
      </w:r>
      <w:r w:rsidR="00EB1F6E" w:rsidRPr="00FC1682">
        <w:rPr>
          <w:sz w:val="26"/>
          <w:szCs w:val="26"/>
        </w:rPr>
        <w:t>decrease</w:t>
      </w:r>
      <w:r w:rsidRPr="00FC1682">
        <w:rPr>
          <w:sz w:val="26"/>
          <w:szCs w:val="26"/>
        </w:rPr>
        <w:t xml:space="preserve"> in</w:t>
      </w:r>
      <w:r w:rsidR="00693374" w:rsidRPr="00FC1682">
        <w:rPr>
          <w:rFonts w:cs="Simplified Arabic"/>
          <w:snapToGrid w:val="0"/>
          <w:sz w:val="26"/>
          <w:szCs w:val="26"/>
        </w:rPr>
        <w:t xml:space="preserve"> </w:t>
      </w:r>
      <w:r w:rsidR="00E57AD1" w:rsidRPr="00FC1682">
        <w:rPr>
          <w:rFonts w:cs="Simplified Arabic"/>
          <w:snapToGrid w:val="0"/>
          <w:sz w:val="26"/>
          <w:szCs w:val="26"/>
        </w:rPr>
        <w:t xml:space="preserve">the </w:t>
      </w:r>
      <w:r w:rsidR="00E57AD1" w:rsidRPr="00FC1682">
        <w:rPr>
          <w:b/>
          <w:bCs/>
          <w:sz w:val="26"/>
          <w:szCs w:val="26"/>
        </w:rPr>
        <w:t xml:space="preserve">activities </w:t>
      </w:r>
      <w:r w:rsidR="00E57AD1" w:rsidRPr="00FC1682">
        <w:rPr>
          <w:rFonts w:cs="Simplified Arabic"/>
          <w:b/>
          <w:bCs/>
          <w:snapToGrid w:val="0"/>
          <w:sz w:val="26"/>
          <w:szCs w:val="26"/>
        </w:rPr>
        <w:t xml:space="preserve">of Mining and Quarrying </w:t>
      </w:r>
      <w:r w:rsidR="00E57AD1" w:rsidRPr="00FC1682">
        <w:rPr>
          <w:rFonts w:cs="Simplified Arabic"/>
          <w:snapToGrid w:val="0"/>
          <w:sz w:val="26"/>
          <w:szCs w:val="26"/>
        </w:rPr>
        <w:t>by 3.28%, which had a share of 2.89% of the total industry</w:t>
      </w:r>
      <w:r w:rsidR="00E57AD1" w:rsidRPr="00FC1682">
        <w:rPr>
          <w:sz w:val="26"/>
          <w:szCs w:val="26"/>
        </w:rPr>
        <w:t xml:space="preserve">, </w:t>
      </w:r>
      <w:r w:rsidR="00E57AD1" w:rsidRPr="00FC1682">
        <w:rPr>
          <w:rFonts w:cs="Simplified Arabic"/>
          <w:snapToGrid w:val="0"/>
          <w:sz w:val="26"/>
          <w:szCs w:val="26"/>
        </w:rPr>
        <w:t xml:space="preserve">and the </w:t>
      </w:r>
      <w:r w:rsidR="00E57AD1" w:rsidRPr="00FC1682">
        <w:rPr>
          <w:b/>
          <w:bCs/>
          <w:sz w:val="26"/>
          <w:szCs w:val="26"/>
        </w:rPr>
        <w:t>activities of</w:t>
      </w:r>
      <w:r w:rsidR="00E57AD1" w:rsidRPr="00FC1682">
        <w:rPr>
          <w:sz w:val="26"/>
          <w:szCs w:val="26"/>
        </w:rPr>
        <w:t xml:space="preserve"> </w:t>
      </w:r>
      <w:r w:rsidR="00E57AD1" w:rsidRPr="00FC1682">
        <w:rPr>
          <w:b/>
          <w:bCs/>
          <w:sz w:val="26"/>
          <w:szCs w:val="26"/>
        </w:rPr>
        <w:t xml:space="preserve">Manufacturing Industry </w:t>
      </w:r>
      <w:r w:rsidR="00E57AD1" w:rsidRPr="00FC1682">
        <w:rPr>
          <w:sz w:val="26"/>
          <w:szCs w:val="26"/>
        </w:rPr>
        <w:t>by 2.82%, which had a share of 87.89% of the total industry, While,</w:t>
      </w:r>
      <w:r w:rsidR="00EB1F6E" w:rsidRPr="00FC1682">
        <w:rPr>
          <w:sz w:val="26"/>
          <w:szCs w:val="26"/>
        </w:rPr>
        <w:t xml:space="preserve"> </w:t>
      </w:r>
      <w:r w:rsidR="00E57AD1" w:rsidRPr="00FC1682">
        <w:rPr>
          <w:rFonts w:cs="Simplified Arabic"/>
          <w:snapToGrid w:val="0"/>
          <w:sz w:val="26"/>
          <w:szCs w:val="26"/>
        </w:rPr>
        <w:t>the</w:t>
      </w:r>
      <w:r w:rsidR="00E57AD1" w:rsidRPr="00FC1682">
        <w:rPr>
          <w:b/>
          <w:bCs/>
          <w:sz w:val="26"/>
          <w:szCs w:val="26"/>
        </w:rPr>
        <w:t xml:space="preserve"> activities of Electricity, Gas, Steam and Air Conditioning</w:t>
      </w:r>
      <w:r w:rsidR="007A030A" w:rsidRPr="00FC1682">
        <w:rPr>
          <w:b/>
          <w:bCs/>
          <w:sz w:val="26"/>
          <w:szCs w:val="26"/>
        </w:rPr>
        <w:t xml:space="preserve"> Supply</w:t>
      </w:r>
      <w:r w:rsidR="00E57AD1" w:rsidRPr="00FC1682">
        <w:rPr>
          <w:sz w:val="26"/>
          <w:szCs w:val="26"/>
        </w:rPr>
        <w:t xml:space="preserve"> </w:t>
      </w:r>
      <w:r w:rsidR="007A030A" w:rsidRPr="00FC1682">
        <w:rPr>
          <w:sz w:val="26"/>
          <w:szCs w:val="26"/>
        </w:rPr>
        <w:t xml:space="preserve">sharply </w:t>
      </w:r>
      <w:r w:rsidR="00E57AD1" w:rsidRPr="00FC1682">
        <w:rPr>
          <w:sz w:val="26"/>
          <w:szCs w:val="26"/>
        </w:rPr>
        <w:t xml:space="preserve">increased by 14.87%, which had a share of 2.82% of the total industry, </w:t>
      </w:r>
      <w:r w:rsidR="00EB1F6E" w:rsidRPr="00FC1682">
        <w:rPr>
          <w:rFonts w:cs="Simplified Arabic"/>
          <w:snapToGrid w:val="0"/>
          <w:sz w:val="26"/>
          <w:szCs w:val="26"/>
        </w:rPr>
        <w:t xml:space="preserve">and </w:t>
      </w:r>
      <w:r w:rsidR="00131454" w:rsidRPr="00FC1682">
        <w:rPr>
          <w:sz w:val="26"/>
          <w:szCs w:val="26"/>
        </w:rPr>
        <w:t xml:space="preserve">the </w:t>
      </w:r>
      <w:r w:rsidR="00131454" w:rsidRPr="00FC1682">
        <w:rPr>
          <w:b/>
          <w:bCs/>
          <w:sz w:val="26"/>
          <w:szCs w:val="26"/>
        </w:rPr>
        <w:t xml:space="preserve">activities of Water Supply, Sewerage, Waste Management and Remediation </w:t>
      </w:r>
      <w:r w:rsidR="00131454" w:rsidRPr="00FC1682">
        <w:rPr>
          <w:sz w:val="26"/>
          <w:szCs w:val="26"/>
        </w:rPr>
        <w:t xml:space="preserve">by </w:t>
      </w:r>
      <w:r w:rsidR="00E57AD1" w:rsidRPr="00FC1682">
        <w:rPr>
          <w:sz w:val="26"/>
          <w:szCs w:val="26"/>
        </w:rPr>
        <w:t>4.68</w:t>
      </w:r>
      <w:r w:rsidR="00131454" w:rsidRPr="00FC1682">
        <w:rPr>
          <w:sz w:val="26"/>
          <w:szCs w:val="26"/>
        </w:rPr>
        <w:t>%, which had a share of 1.84% of the total industry</w:t>
      </w:r>
      <w:r w:rsidR="00EB1F6E" w:rsidRPr="00FC1682">
        <w:rPr>
          <w:rFonts w:cs="Simplified Arabic"/>
          <w:snapToGrid w:val="0"/>
          <w:sz w:val="26"/>
          <w:szCs w:val="26"/>
        </w:rPr>
        <w:t>.</w:t>
      </w:r>
      <w:r w:rsidR="003B3E19" w:rsidRPr="00FC1682">
        <w:rPr>
          <w:sz w:val="26"/>
          <w:szCs w:val="26"/>
        </w:rPr>
        <w:t xml:space="preserve"> </w:t>
      </w:r>
    </w:p>
    <w:p w:rsidR="00FC1682" w:rsidRDefault="00FC1682" w:rsidP="00FC1682">
      <w:pPr>
        <w:autoSpaceDE w:val="0"/>
        <w:autoSpaceDN w:val="0"/>
        <w:bidi w:val="0"/>
        <w:adjustRightInd w:val="0"/>
        <w:jc w:val="both"/>
        <w:rPr>
          <w:sz w:val="26"/>
          <w:szCs w:val="26"/>
          <w:rtl/>
        </w:rPr>
      </w:pPr>
    </w:p>
    <w:p w:rsidR="00FC1682" w:rsidRDefault="00FC1682" w:rsidP="00FC1682">
      <w:pPr>
        <w:autoSpaceDE w:val="0"/>
        <w:autoSpaceDN w:val="0"/>
        <w:bidi w:val="0"/>
        <w:adjustRightInd w:val="0"/>
        <w:jc w:val="both"/>
        <w:rPr>
          <w:sz w:val="26"/>
          <w:szCs w:val="26"/>
          <w:rtl/>
        </w:rPr>
      </w:pPr>
    </w:p>
    <w:p w:rsidR="00FC1682" w:rsidRDefault="00FC1682" w:rsidP="00FC1682">
      <w:pPr>
        <w:autoSpaceDE w:val="0"/>
        <w:autoSpaceDN w:val="0"/>
        <w:bidi w:val="0"/>
        <w:adjustRightInd w:val="0"/>
        <w:jc w:val="both"/>
        <w:rPr>
          <w:sz w:val="26"/>
          <w:szCs w:val="26"/>
          <w:rtl/>
        </w:rPr>
      </w:pPr>
    </w:p>
    <w:p w:rsidR="00FC1682" w:rsidRDefault="00FC1682" w:rsidP="00FC1682">
      <w:pPr>
        <w:autoSpaceDE w:val="0"/>
        <w:autoSpaceDN w:val="0"/>
        <w:bidi w:val="0"/>
        <w:adjustRightInd w:val="0"/>
        <w:jc w:val="both"/>
        <w:rPr>
          <w:sz w:val="26"/>
          <w:szCs w:val="26"/>
          <w:rtl/>
        </w:rPr>
      </w:pPr>
    </w:p>
    <w:p w:rsidR="00FC1682" w:rsidRPr="00FC1682" w:rsidRDefault="00FC1682" w:rsidP="00FC1682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color w:val="FF0000"/>
          <w:sz w:val="26"/>
          <w:szCs w:val="26"/>
        </w:rPr>
      </w:pPr>
    </w:p>
    <w:p w:rsidR="00FC1682" w:rsidRDefault="00CB06D0" w:rsidP="00FC1682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sz w:val="28"/>
          <w:szCs w:val="28"/>
          <w:rtl/>
        </w:rPr>
      </w:pPr>
      <w:r w:rsidRPr="00FC1682">
        <w:rPr>
          <w:rFonts w:cs="Simplified Arabic"/>
          <w:b/>
          <w:bCs/>
          <w:snapToGrid w:val="0"/>
          <w:sz w:val="28"/>
          <w:szCs w:val="28"/>
        </w:rPr>
        <w:t xml:space="preserve">The table below shows monthly percent changes in IPI for the </w:t>
      </w:r>
      <w:r w:rsidRPr="00FC1682">
        <w:rPr>
          <w:b/>
          <w:bCs/>
          <w:sz w:val="28"/>
          <w:szCs w:val="28"/>
        </w:rPr>
        <w:t>period</w:t>
      </w:r>
      <w:r w:rsidRPr="00FC1682">
        <w:rPr>
          <w:rFonts w:cs="Simplified Arabic"/>
          <w:b/>
          <w:bCs/>
          <w:snapToGrid w:val="0"/>
          <w:sz w:val="28"/>
          <w:szCs w:val="28"/>
        </w:rPr>
        <w:t xml:space="preserve">: </w:t>
      </w:r>
    </w:p>
    <w:p w:rsidR="00CB06D0" w:rsidRPr="00FC1682" w:rsidRDefault="00CB06D0" w:rsidP="00FC1682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sz w:val="28"/>
          <w:szCs w:val="28"/>
        </w:rPr>
      </w:pPr>
      <w:r w:rsidRPr="00FC1682">
        <w:rPr>
          <w:rFonts w:cs="Simplified Arabic"/>
          <w:b/>
          <w:bCs/>
          <w:snapToGrid w:val="0"/>
          <w:sz w:val="28"/>
          <w:szCs w:val="28"/>
        </w:rPr>
        <w:t xml:space="preserve">January – December </w:t>
      </w:r>
      <w:r w:rsidR="00AA1124" w:rsidRPr="00FC1682">
        <w:rPr>
          <w:rFonts w:cs="Simplified Arabic"/>
          <w:b/>
          <w:bCs/>
          <w:snapToGrid w:val="0"/>
          <w:sz w:val="28"/>
          <w:szCs w:val="28"/>
        </w:rPr>
        <w:t>2025</w:t>
      </w:r>
      <w:r w:rsidRPr="00FC1682">
        <w:rPr>
          <w:rFonts w:cs="Simplified Arabic"/>
          <w:b/>
          <w:bCs/>
          <w:snapToGrid w:val="0"/>
          <w:sz w:val="28"/>
          <w:szCs w:val="28"/>
        </w:rPr>
        <w:t>:</w:t>
      </w:r>
    </w:p>
    <w:p w:rsidR="00CB06D0" w:rsidRPr="00CB63C2" w:rsidRDefault="00CB06D0" w:rsidP="00FC1682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12"/>
          <w:szCs w:val="12"/>
        </w:rPr>
      </w:pPr>
    </w:p>
    <w:tbl>
      <w:tblPr>
        <w:tblW w:w="5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4"/>
        <w:gridCol w:w="2838"/>
      </w:tblGrid>
      <w:tr w:rsidR="00CB06D0" w:rsidRPr="00FC1682" w:rsidTr="00FC1682">
        <w:trPr>
          <w:trHeight w:val="226"/>
          <w:tblHeader/>
          <w:jc w:val="center"/>
        </w:trPr>
        <w:tc>
          <w:tcPr>
            <w:tcW w:w="2484" w:type="dxa"/>
            <w:vAlign w:val="center"/>
          </w:tcPr>
          <w:p w:rsidR="00CB06D0" w:rsidRPr="00FC1682" w:rsidRDefault="00CB06D0" w:rsidP="00FC1682">
            <w:pPr>
              <w:autoSpaceDE w:val="0"/>
              <w:autoSpaceDN w:val="0"/>
              <w:bidi w:val="0"/>
              <w:adjustRightInd w:val="0"/>
              <w:rPr>
                <w:rFonts w:cs="Simplified Arabic"/>
                <w:b/>
                <w:bCs/>
                <w:snapToGrid w:val="0"/>
              </w:rPr>
            </w:pPr>
            <w:r w:rsidRPr="00FC1682">
              <w:rPr>
                <w:rFonts w:cs="Simplified Arabic"/>
                <w:b/>
                <w:bCs/>
                <w:snapToGrid w:val="0"/>
              </w:rPr>
              <w:t>Month</w:t>
            </w:r>
          </w:p>
        </w:tc>
        <w:tc>
          <w:tcPr>
            <w:tcW w:w="2838" w:type="dxa"/>
          </w:tcPr>
          <w:p w:rsidR="00CB06D0" w:rsidRPr="00FC1682" w:rsidRDefault="00CB06D0" w:rsidP="00FC1682">
            <w:pPr>
              <w:autoSpaceDE w:val="0"/>
              <w:autoSpaceDN w:val="0"/>
              <w:bidi w:val="0"/>
              <w:adjustRightInd w:val="0"/>
              <w:jc w:val="both"/>
              <w:rPr>
                <w:rFonts w:cs="Simplified Arabic"/>
                <w:b/>
                <w:bCs/>
                <w:snapToGrid w:val="0"/>
              </w:rPr>
            </w:pPr>
            <w:r w:rsidRPr="00FC1682">
              <w:rPr>
                <w:rFonts w:cs="Simplified Arabic"/>
                <w:b/>
                <w:bCs/>
                <w:snapToGrid w:val="0"/>
              </w:rPr>
              <w:t>Percent Changes (%)</w:t>
            </w:r>
          </w:p>
        </w:tc>
      </w:tr>
      <w:tr w:rsidR="00CB06D0" w:rsidRPr="00FC1682" w:rsidTr="00FC1682">
        <w:trPr>
          <w:trHeight w:val="324"/>
          <w:jc w:val="center"/>
        </w:trPr>
        <w:tc>
          <w:tcPr>
            <w:tcW w:w="2484" w:type="dxa"/>
            <w:vAlign w:val="center"/>
          </w:tcPr>
          <w:p w:rsidR="00CB06D0" w:rsidRPr="00FC1682" w:rsidRDefault="00CB06D0" w:rsidP="00FC1682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</w:rPr>
            </w:pPr>
            <w:r w:rsidRPr="00FC1682">
              <w:rPr>
                <w:rFonts w:cs="Simplified Arabic"/>
                <w:snapToGrid w:val="0"/>
              </w:rPr>
              <w:t>January</w:t>
            </w:r>
          </w:p>
        </w:tc>
        <w:tc>
          <w:tcPr>
            <w:tcW w:w="2838" w:type="dxa"/>
            <w:vAlign w:val="center"/>
          </w:tcPr>
          <w:p w:rsidR="00CB06D0" w:rsidRPr="00FC1682" w:rsidRDefault="008A1A30" w:rsidP="00FC1682">
            <w:pPr>
              <w:bidi w:val="0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FC1682">
              <w:rPr>
                <w:rFonts w:asciiTheme="majorBidi" w:hAnsiTheme="majorBidi" w:cstheme="majorBidi"/>
              </w:rPr>
              <w:t>-</w:t>
            </w:r>
            <w:r w:rsidR="00CB06D0" w:rsidRPr="00FC1682">
              <w:rPr>
                <w:rFonts w:asciiTheme="majorBidi" w:hAnsiTheme="majorBidi" w:cstheme="majorBidi"/>
              </w:rPr>
              <w:t xml:space="preserve"> </w:t>
            </w:r>
            <w:r w:rsidRPr="00FC1682">
              <w:rPr>
                <w:rFonts w:asciiTheme="majorBidi" w:hAnsiTheme="majorBidi" w:cstheme="majorBidi"/>
              </w:rPr>
              <w:t>1.26</w:t>
            </w:r>
          </w:p>
        </w:tc>
      </w:tr>
      <w:tr w:rsidR="008A1A30" w:rsidRPr="00FC1682" w:rsidTr="00FC1682">
        <w:trPr>
          <w:trHeight w:val="324"/>
          <w:jc w:val="center"/>
        </w:trPr>
        <w:tc>
          <w:tcPr>
            <w:tcW w:w="2484" w:type="dxa"/>
            <w:vAlign w:val="center"/>
          </w:tcPr>
          <w:p w:rsidR="008A1A30" w:rsidRPr="00FC1682" w:rsidRDefault="008A1A30" w:rsidP="00FC1682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</w:rPr>
            </w:pPr>
            <w:r w:rsidRPr="00FC1682">
              <w:rPr>
                <w:rFonts w:cs="Simplified Arabic"/>
                <w:snapToGrid w:val="0"/>
              </w:rPr>
              <w:t>February</w:t>
            </w:r>
          </w:p>
        </w:tc>
        <w:tc>
          <w:tcPr>
            <w:tcW w:w="2838" w:type="dxa"/>
            <w:shd w:val="clear" w:color="auto" w:fill="auto"/>
            <w:vAlign w:val="bottom"/>
          </w:tcPr>
          <w:p w:rsidR="008A1A30" w:rsidRPr="00FC1682" w:rsidRDefault="008A1A30" w:rsidP="00FC1682">
            <w:pPr>
              <w:bidi w:val="0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FC1682">
              <w:rPr>
                <w:rFonts w:asciiTheme="majorBidi" w:hAnsiTheme="majorBidi" w:cstheme="majorBidi"/>
                <w:color w:val="000000"/>
              </w:rPr>
              <w:t>+ 1.86</w:t>
            </w:r>
          </w:p>
        </w:tc>
      </w:tr>
      <w:tr w:rsidR="008A1A30" w:rsidRPr="00FC1682" w:rsidTr="00FC1682">
        <w:trPr>
          <w:trHeight w:val="324"/>
          <w:jc w:val="center"/>
        </w:trPr>
        <w:tc>
          <w:tcPr>
            <w:tcW w:w="2484" w:type="dxa"/>
            <w:vAlign w:val="center"/>
          </w:tcPr>
          <w:p w:rsidR="008A1A30" w:rsidRPr="00FC1682" w:rsidRDefault="008A1A30" w:rsidP="00FC1682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</w:rPr>
            </w:pPr>
            <w:r w:rsidRPr="00FC1682">
              <w:rPr>
                <w:rFonts w:cs="Simplified Arabic"/>
                <w:snapToGrid w:val="0"/>
              </w:rPr>
              <w:t>March</w:t>
            </w:r>
          </w:p>
        </w:tc>
        <w:tc>
          <w:tcPr>
            <w:tcW w:w="2838" w:type="dxa"/>
            <w:shd w:val="clear" w:color="auto" w:fill="auto"/>
            <w:vAlign w:val="bottom"/>
          </w:tcPr>
          <w:p w:rsidR="008A1A30" w:rsidRPr="00FC1682" w:rsidRDefault="008A1A30" w:rsidP="00FC1682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C1682">
              <w:rPr>
                <w:rFonts w:asciiTheme="majorBidi" w:hAnsiTheme="majorBidi" w:cstheme="majorBidi"/>
                <w:color w:val="000000"/>
              </w:rPr>
              <w:t>- 2.83</w:t>
            </w:r>
          </w:p>
        </w:tc>
      </w:tr>
      <w:tr w:rsidR="008A1A30" w:rsidRPr="00FC1682" w:rsidTr="00FC1682">
        <w:trPr>
          <w:trHeight w:val="324"/>
          <w:jc w:val="center"/>
        </w:trPr>
        <w:tc>
          <w:tcPr>
            <w:tcW w:w="2484" w:type="dxa"/>
            <w:vAlign w:val="center"/>
          </w:tcPr>
          <w:p w:rsidR="008A1A30" w:rsidRPr="00FC1682" w:rsidRDefault="008A1A30" w:rsidP="00FC1682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</w:rPr>
            </w:pPr>
            <w:r w:rsidRPr="00FC1682">
              <w:rPr>
                <w:rFonts w:cs="Simplified Arabic"/>
                <w:snapToGrid w:val="0"/>
              </w:rPr>
              <w:t>April</w:t>
            </w:r>
          </w:p>
        </w:tc>
        <w:tc>
          <w:tcPr>
            <w:tcW w:w="2838" w:type="dxa"/>
            <w:shd w:val="clear" w:color="auto" w:fill="auto"/>
            <w:vAlign w:val="bottom"/>
          </w:tcPr>
          <w:p w:rsidR="008A1A30" w:rsidRPr="00FC1682" w:rsidRDefault="008A1A30" w:rsidP="00FC1682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C1682">
              <w:rPr>
                <w:rFonts w:asciiTheme="majorBidi" w:hAnsiTheme="majorBidi" w:cstheme="majorBidi"/>
                <w:color w:val="000000"/>
              </w:rPr>
              <w:t>+ 0.94</w:t>
            </w:r>
          </w:p>
        </w:tc>
      </w:tr>
      <w:tr w:rsidR="008A1A30" w:rsidRPr="00FC1682" w:rsidTr="00FC1682">
        <w:trPr>
          <w:trHeight w:val="324"/>
          <w:jc w:val="center"/>
        </w:trPr>
        <w:tc>
          <w:tcPr>
            <w:tcW w:w="2484" w:type="dxa"/>
            <w:vAlign w:val="center"/>
          </w:tcPr>
          <w:p w:rsidR="008A1A30" w:rsidRPr="00FC1682" w:rsidRDefault="008A1A30" w:rsidP="00FC1682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</w:rPr>
            </w:pPr>
            <w:r w:rsidRPr="00FC1682">
              <w:rPr>
                <w:rFonts w:cs="Simplified Arabic"/>
                <w:snapToGrid w:val="0"/>
              </w:rPr>
              <w:t>May</w:t>
            </w:r>
          </w:p>
        </w:tc>
        <w:tc>
          <w:tcPr>
            <w:tcW w:w="2838" w:type="dxa"/>
            <w:shd w:val="clear" w:color="auto" w:fill="auto"/>
            <w:vAlign w:val="bottom"/>
          </w:tcPr>
          <w:p w:rsidR="008A1A30" w:rsidRPr="00FC1682" w:rsidRDefault="008A1A30" w:rsidP="00FC1682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C1682">
              <w:rPr>
                <w:rFonts w:asciiTheme="majorBidi" w:hAnsiTheme="majorBidi" w:cstheme="majorBidi"/>
                <w:color w:val="000000"/>
              </w:rPr>
              <w:t>+ 3.57</w:t>
            </w:r>
          </w:p>
        </w:tc>
      </w:tr>
      <w:tr w:rsidR="008A1A30" w:rsidRPr="00FC1682" w:rsidTr="00FC1682">
        <w:trPr>
          <w:trHeight w:val="324"/>
          <w:jc w:val="center"/>
        </w:trPr>
        <w:tc>
          <w:tcPr>
            <w:tcW w:w="2484" w:type="dxa"/>
            <w:vAlign w:val="center"/>
          </w:tcPr>
          <w:p w:rsidR="008A1A30" w:rsidRPr="00FC1682" w:rsidRDefault="008A1A30" w:rsidP="00FC1682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</w:rPr>
            </w:pPr>
            <w:r w:rsidRPr="00FC1682">
              <w:rPr>
                <w:rFonts w:cs="Simplified Arabic"/>
                <w:snapToGrid w:val="0"/>
              </w:rPr>
              <w:t>June</w:t>
            </w:r>
          </w:p>
        </w:tc>
        <w:tc>
          <w:tcPr>
            <w:tcW w:w="2838" w:type="dxa"/>
            <w:shd w:val="clear" w:color="auto" w:fill="auto"/>
            <w:vAlign w:val="bottom"/>
          </w:tcPr>
          <w:p w:rsidR="008A1A30" w:rsidRPr="00FC1682" w:rsidRDefault="008A1A30" w:rsidP="00FC1682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C1682">
              <w:rPr>
                <w:rFonts w:asciiTheme="majorBidi" w:hAnsiTheme="majorBidi" w:cstheme="majorBidi"/>
                <w:color w:val="000000"/>
              </w:rPr>
              <w:t>- 9.41</w:t>
            </w:r>
          </w:p>
        </w:tc>
      </w:tr>
      <w:tr w:rsidR="008A1A30" w:rsidRPr="00FC1682" w:rsidTr="00FC1682">
        <w:trPr>
          <w:trHeight w:val="324"/>
          <w:jc w:val="center"/>
        </w:trPr>
        <w:tc>
          <w:tcPr>
            <w:tcW w:w="2484" w:type="dxa"/>
            <w:vAlign w:val="center"/>
          </w:tcPr>
          <w:p w:rsidR="008A1A30" w:rsidRPr="00FC1682" w:rsidRDefault="008A1A30" w:rsidP="00FC1682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</w:rPr>
            </w:pPr>
            <w:r w:rsidRPr="00FC1682">
              <w:rPr>
                <w:rFonts w:cs="Simplified Arabic"/>
                <w:snapToGrid w:val="0"/>
              </w:rPr>
              <w:t>July</w:t>
            </w:r>
          </w:p>
        </w:tc>
        <w:tc>
          <w:tcPr>
            <w:tcW w:w="2838" w:type="dxa"/>
            <w:shd w:val="clear" w:color="auto" w:fill="auto"/>
            <w:vAlign w:val="bottom"/>
          </w:tcPr>
          <w:p w:rsidR="008A1A30" w:rsidRPr="00FC1682" w:rsidRDefault="008A1A30" w:rsidP="00FC1682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C1682">
              <w:rPr>
                <w:rFonts w:asciiTheme="majorBidi" w:hAnsiTheme="majorBidi" w:cstheme="majorBidi"/>
                <w:color w:val="000000"/>
              </w:rPr>
              <w:t>+ 14.34</w:t>
            </w:r>
          </w:p>
        </w:tc>
      </w:tr>
      <w:tr w:rsidR="008A1A30" w:rsidRPr="00FC1682" w:rsidTr="00FC1682">
        <w:trPr>
          <w:trHeight w:val="324"/>
          <w:jc w:val="center"/>
        </w:trPr>
        <w:tc>
          <w:tcPr>
            <w:tcW w:w="2484" w:type="dxa"/>
            <w:vAlign w:val="center"/>
          </w:tcPr>
          <w:p w:rsidR="008A1A30" w:rsidRPr="00FC1682" w:rsidRDefault="008A1A30" w:rsidP="00FC1682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</w:rPr>
            </w:pPr>
            <w:r w:rsidRPr="00FC1682">
              <w:rPr>
                <w:rFonts w:cs="Simplified Arabic"/>
                <w:snapToGrid w:val="0"/>
              </w:rPr>
              <w:t>August</w:t>
            </w:r>
          </w:p>
        </w:tc>
        <w:tc>
          <w:tcPr>
            <w:tcW w:w="2838" w:type="dxa"/>
            <w:shd w:val="clear" w:color="auto" w:fill="auto"/>
            <w:vAlign w:val="bottom"/>
          </w:tcPr>
          <w:p w:rsidR="008A1A30" w:rsidRPr="00FC1682" w:rsidRDefault="008A1A30" w:rsidP="00FC1682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C1682">
              <w:rPr>
                <w:rFonts w:asciiTheme="majorBidi" w:hAnsiTheme="majorBidi" w:cstheme="majorBidi"/>
                <w:color w:val="000000"/>
              </w:rPr>
              <w:t>+ 3.11</w:t>
            </w:r>
          </w:p>
        </w:tc>
      </w:tr>
      <w:tr w:rsidR="008A1A30" w:rsidRPr="00FC1682" w:rsidTr="00FC1682">
        <w:trPr>
          <w:trHeight w:val="324"/>
          <w:jc w:val="center"/>
        </w:trPr>
        <w:tc>
          <w:tcPr>
            <w:tcW w:w="2484" w:type="dxa"/>
            <w:vAlign w:val="center"/>
          </w:tcPr>
          <w:p w:rsidR="008A1A30" w:rsidRPr="00FC1682" w:rsidRDefault="008A1A30" w:rsidP="00FC1682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</w:rPr>
            </w:pPr>
            <w:r w:rsidRPr="00FC1682">
              <w:rPr>
                <w:rFonts w:cs="Simplified Arabic"/>
                <w:snapToGrid w:val="0"/>
              </w:rPr>
              <w:t>September</w:t>
            </w:r>
          </w:p>
        </w:tc>
        <w:tc>
          <w:tcPr>
            <w:tcW w:w="2838" w:type="dxa"/>
            <w:shd w:val="clear" w:color="auto" w:fill="auto"/>
            <w:vAlign w:val="bottom"/>
          </w:tcPr>
          <w:p w:rsidR="008A1A30" w:rsidRPr="00FC1682" w:rsidRDefault="008A1A30" w:rsidP="00FC1682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C1682">
              <w:rPr>
                <w:rFonts w:asciiTheme="majorBidi" w:hAnsiTheme="majorBidi" w:cstheme="majorBidi"/>
                <w:color w:val="000000"/>
              </w:rPr>
              <w:t>+ 5.78</w:t>
            </w:r>
          </w:p>
        </w:tc>
      </w:tr>
      <w:tr w:rsidR="008A1A30" w:rsidRPr="00FC1682" w:rsidTr="00FC1682">
        <w:trPr>
          <w:trHeight w:val="324"/>
          <w:jc w:val="center"/>
        </w:trPr>
        <w:tc>
          <w:tcPr>
            <w:tcW w:w="2484" w:type="dxa"/>
            <w:vAlign w:val="center"/>
          </w:tcPr>
          <w:p w:rsidR="008A1A30" w:rsidRPr="00FC1682" w:rsidRDefault="008A1A30" w:rsidP="00FC1682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</w:rPr>
            </w:pPr>
            <w:r w:rsidRPr="00FC1682">
              <w:rPr>
                <w:rFonts w:cs="Simplified Arabic"/>
                <w:snapToGrid w:val="0"/>
              </w:rPr>
              <w:t>October</w:t>
            </w:r>
          </w:p>
        </w:tc>
        <w:tc>
          <w:tcPr>
            <w:tcW w:w="2838" w:type="dxa"/>
            <w:shd w:val="clear" w:color="auto" w:fill="auto"/>
            <w:vAlign w:val="bottom"/>
          </w:tcPr>
          <w:p w:rsidR="008A1A30" w:rsidRPr="00FC1682" w:rsidRDefault="008A1A30" w:rsidP="00FC1682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C1682">
              <w:rPr>
                <w:rFonts w:asciiTheme="majorBidi" w:hAnsiTheme="majorBidi" w:cstheme="majorBidi"/>
                <w:color w:val="000000"/>
              </w:rPr>
              <w:t>- 7.48</w:t>
            </w:r>
          </w:p>
        </w:tc>
      </w:tr>
      <w:tr w:rsidR="008A1A30" w:rsidRPr="00FC1682" w:rsidTr="00FC1682">
        <w:trPr>
          <w:trHeight w:val="324"/>
          <w:jc w:val="center"/>
        </w:trPr>
        <w:tc>
          <w:tcPr>
            <w:tcW w:w="2484" w:type="dxa"/>
            <w:vAlign w:val="center"/>
          </w:tcPr>
          <w:p w:rsidR="008A1A30" w:rsidRPr="00FC1682" w:rsidRDefault="008A1A30" w:rsidP="00FC1682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</w:rPr>
            </w:pPr>
            <w:r w:rsidRPr="00FC1682">
              <w:rPr>
                <w:rFonts w:cs="Simplified Arabic"/>
                <w:snapToGrid w:val="0"/>
              </w:rPr>
              <w:t>November</w:t>
            </w:r>
          </w:p>
        </w:tc>
        <w:tc>
          <w:tcPr>
            <w:tcW w:w="2838" w:type="dxa"/>
            <w:shd w:val="clear" w:color="auto" w:fill="auto"/>
            <w:vAlign w:val="bottom"/>
          </w:tcPr>
          <w:p w:rsidR="008A1A30" w:rsidRPr="00FC1682" w:rsidRDefault="008A1A30" w:rsidP="00FC1682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C1682">
              <w:rPr>
                <w:rFonts w:asciiTheme="majorBidi" w:hAnsiTheme="majorBidi" w:cstheme="majorBidi"/>
                <w:color w:val="000000"/>
              </w:rPr>
              <w:t>- 1.57</w:t>
            </w:r>
          </w:p>
        </w:tc>
      </w:tr>
      <w:tr w:rsidR="008A1A30" w:rsidRPr="00FC1682" w:rsidTr="00FC1682">
        <w:trPr>
          <w:trHeight w:val="324"/>
          <w:jc w:val="center"/>
        </w:trPr>
        <w:tc>
          <w:tcPr>
            <w:tcW w:w="2484" w:type="dxa"/>
            <w:vAlign w:val="center"/>
          </w:tcPr>
          <w:p w:rsidR="008A1A30" w:rsidRPr="00FC1682" w:rsidRDefault="008A1A30" w:rsidP="00FC1682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</w:rPr>
            </w:pPr>
            <w:r w:rsidRPr="00FC1682">
              <w:rPr>
                <w:rFonts w:cs="Simplified Arabic"/>
                <w:snapToGrid w:val="0"/>
              </w:rPr>
              <w:t>December</w:t>
            </w:r>
          </w:p>
        </w:tc>
        <w:tc>
          <w:tcPr>
            <w:tcW w:w="2838" w:type="dxa"/>
            <w:shd w:val="clear" w:color="auto" w:fill="auto"/>
            <w:vAlign w:val="bottom"/>
          </w:tcPr>
          <w:p w:rsidR="008A1A30" w:rsidRPr="00FC1682" w:rsidRDefault="008A1A30" w:rsidP="00FC1682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C1682">
              <w:rPr>
                <w:rFonts w:asciiTheme="majorBidi" w:hAnsiTheme="majorBidi" w:cstheme="majorBidi"/>
                <w:color w:val="000000"/>
              </w:rPr>
              <w:t>- 1.03</w:t>
            </w:r>
          </w:p>
        </w:tc>
      </w:tr>
    </w:tbl>
    <w:p w:rsidR="00CB06D0" w:rsidRPr="00FC1682" w:rsidRDefault="00CB06D0" w:rsidP="00FC1682">
      <w:pPr>
        <w:bidi w:val="0"/>
        <w:jc w:val="center"/>
        <w:rPr>
          <w:b/>
          <w:bCs/>
          <w:sz w:val="16"/>
          <w:szCs w:val="16"/>
        </w:rPr>
      </w:pPr>
      <w:bookmarkStart w:id="0" w:name="_GoBack"/>
      <w:bookmarkEnd w:id="0"/>
    </w:p>
    <w:p w:rsidR="00CB06D0" w:rsidRPr="00FC1682" w:rsidRDefault="00CB06D0" w:rsidP="00FC1682">
      <w:pPr>
        <w:bidi w:val="0"/>
        <w:jc w:val="center"/>
        <w:rPr>
          <w:b/>
          <w:bCs/>
          <w:sz w:val="28"/>
          <w:szCs w:val="28"/>
        </w:rPr>
      </w:pPr>
      <w:r w:rsidRPr="00FC1682">
        <w:rPr>
          <w:b/>
          <w:bCs/>
          <w:sz w:val="28"/>
          <w:szCs w:val="28"/>
        </w:rPr>
        <w:t xml:space="preserve">The trend line of the Industrial Production Index in Palestine, for the period:              January - December </w:t>
      </w:r>
      <w:r w:rsidR="00AA1124" w:rsidRPr="00FC1682">
        <w:rPr>
          <w:b/>
          <w:bCs/>
          <w:sz w:val="28"/>
          <w:szCs w:val="28"/>
        </w:rPr>
        <w:t>2025</w:t>
      </w:r>
      <w:r w:rsidR="00FC1682">
        <w:rPr>
          <w:rFonts w:hint="cs"/>
          <w:b/>
          <w:bCs/>
          <w:sz w:val="28"/>
          <w:szCs w:val="28"/>
          <w:rtl/>
        </w:rPr>
        <w:t xml:space="preserve"> </w:t>
      </w:r>
      <w:r w:rsidRPr="00FC1682">
        <w:rPr>
          <w:b/>
          <w:bCs/>
          <w:sz w:val="28"/>
          <w:szCs w:val="28"/>
        </w:rPr>
        <w:t>(Base Year 2019 = 100)</w:t>
      </w:r>
    </w:p>
    <w:p w:rsidR="00CB06D0" w:rsidRPr="00FC1682" w:rsidRDefault="00CB06D0" w:rsidP="00FC1682">
      <w:pPr>
        <w:bidi w:val="0"/>
        <w:rPr>
          <w:b/>
          <w:bCs/>
          <w:sz w:val="28"/>
          <w:szCs w:val="28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11"/>
      </w:tblGrid>
      <w:tr w:rsidR="00CB06D0" w:rsidRPr="00CB63C2" w:rsidTr="00FC1682">
        <w:trPr>
          <w:trHeight w:val="4073"/>
          <w:jc w:val="center"/>
        </w:trPr>
        <w:tc>
          <w:tcPr>
            <w:tcW w:w="5211" w:type="dxa"/>
          </w:tcPr>
          <w:p w:rsidR="00CB06D0" w:rsidRPr="00CB63C2" w:rsidRDefault="00CB06D0" w:rsidP="00FC1682">
            <w:pPr>
              <w:jc w:val="center"/>
              <w:rPr>
                <w:b/>
                <w:bCs/>
              </w:rPr>
            </w:pPr>
            <w:r w:rsidRPr="00CB63C2">
              <w:rPr>
                <w:b/>
                <w:bCs/>
                <w:noProof/>
                <w:lang w:eastAsia="en-US"/>
              </w:rPr>
              <w:drawing>
                <wp:inline distT="0" distB="0" distL="0" distR="0" wp14:anchorId="5AD941CD" wp14:editId="5BBE33BB">
                  <wp:extent cx="2968388" cy="2545307"/>
                  <wp:effectExtent l="0" t="0" r="0" b="0"/>
                  <wp:docPr id="3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CB06D0" w:rsidRPr="00CB63C2" w:rsidRDefault="00CB06D0" w:rsidP="00FC1682">
      <w:pPr>
        <w:bidi w:val="0"/>
        <w:jc w:val="both"/>
        <w:rPr>
          <w:b/>
          <w:bCs/>
          <w:sz w:val="20"/>
          <w:szCs w:val="20"/>
        </w:rPr>
      </w:pPr>
    </w:p>
    <w:p w:rsidR="001413D6" w:rsidRPr="00301C3B" w:rsidRDefault="001413D6" w:rsidP="00FC1682">
      <w:pPr>
        <w:pStyle w:val="NormalWeb"/>
        <w:spacing w:after="0"/>
        <w:rPr>
          <w:b/>
          <w:bCs/>
        </w:rPr>
      </w:pPr>
      <w:r w:rsidRPr="00301C3B">
        <w:rPr>
          <w:b/>
          <w:bCs/>
        </w:rPr>
        <w:t>Notice for Users:</w:t>
      </w:r>
    </w:p>
    <w:p w:rsidR="001413D6" w:rsidRPr="00132CC5" w:rsidRDefault="001413D6" w:rsidP="00FC1682">
      <w:pPr>
        <w:pStyle w:val="ListParagraph"/>
        <w:tabs>
          <w:tab w:val="left" w:pos="282"/>
        </w:tabs>
        <w:bidi w:val="0"/>
        <w:ind w:left="-1"/>
        <w:jc w:val="both"/>
      </w:pPr>
      <w:r w:rsidRPr="00301C3B">
        <w:t xml:space="preserve">Due to the Israeli </w:t>
      </w:r>
      <w:r w:rsidR="00FB2BA8" w:rsidRPr="00301C3B">
        <w:t>aggression</w:t>
      </w:r>
      <w:r w:rsidRPr="00301C3B">
        <w:t xml:space="preserve"> on Gaza strip in October</w:t>
      </w:r>
      <w:r w:rsidR="007016C8">
        <w:t xml:space="preserve"> </w:t>
      </w:r>
      <w:r w:rsidRPr="00301C3B">
        <w:t>2023,</w:t>
      </w:r>
      <w:r w:rsidR="00161649" w:rsidRPr="00301C3B">
        <w:t xml:space="preserve"> all working institution in</w:t>
      </w:r>
      <w:r w:rsidRPr="00301C3B">
        <w:t xml:space="preserve"> </w:t>
      </w:r>
      <w:r w:rsidR="003643FA" w:rsidRPr="00301C3B">
        <w:t xml:space="preserve">the </w:t>
      </w:r>
      <w:r w:rsidR="00161649" w:rsidRPr="00301C3B">
        <w:t xml:space="preserve">industrial </w:t>
      </w:r>
      <w:r w:rsidR="003643FA" w:rsidRPr="00301C3B">
        <w:t>production</w:t>
      </w:r>
      <w:r w:rsidR="00161649" w:rsidRPr="00301C3B">
        <w:t xml:space="preserve"> </w:t>
      </w:r>
      <w:r w:rsidR="004C1E8B" w:rsidRPr="00301C3B">
        <w:t>wasn’t engaged in any production activity</w:t>
      </w:r>
      <w:r w:rsidR="00161649" w:rsidRPr="00301C3B">
        <w:t xml:space="preserve"> </w:t>
      </w:r>
      <w:r w:rsidRPr="00301C3B">
        <w:t>in Gaza strip</w:t>
      </w:r>
      <w:r w:rsidR="003643FA" w:rsidRPr="00301C3B">
        <w:t xml:space="preserve"> for </w:t>
      </w:r>
      <w:r w:rsidR="00CB5131">
        <w:t>December</w:t>
      </w:r>
      <w:r w:rsidR="00227EAD" w:rsidRPr="00301C3B">
        <w:t xml:space="preserve"> </w:t>
      </w:r>
      <w:r w:rsidR="00132CC5">
        <w:t>2025.</w:t>
      </w:r>
    </w:p>
    <w:p w:rsidR="000D497F" w:rsidRPr="00301C3B" w:rsidRDefault="000D497F" w:rsidP="00FC1682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FC1682" w:rsidRDefault="00FC1682" w:rsidP="00FC1682">
      <w:pPr>
        <w:pStyle w:val="ListParagraph"/>
        <w:bidi w:val="0"/>
        <w:ind w:left="0"/>
        <w:jc w:val="both"/>
        <w:rPr>
          <w:rtl/>
        </w:rPr>
      </w:pPr>
    </w:p>
    <w:p w:rsidR="00841179" w:rsidRPr="00FC1682" w:rsidRDefault="002B7AD5" w:rsidP="00FC1682">
      <w:pPr>
        <w:pStyle w:val="ListParagraph"/>
        <w:bidi w:val="0"/>
        <w:ind w:left="0"/>
        <w:jc w:val="both"/>
      </w:pPr>
      <w:r w:rsidRPr="00FC1682">
        <w:t>Please note that the press release in English is brief compared to the Arabic version.</w:t>
      </w:r>
    </w:p>
    <w:sectPr w:rsidR="00841179" w:rsidRPr="00FC1682" w:rsidSect="00FC1682">
      <w:footerReference w:type="even" r:id="rId9"/>
      <w:footerReference w:type="default" r:id="rId10"/>
      <w:pgSz w:w="11907" w:h="16840" w:code="9"/>
      <w:pgMar w:top="851" w:right="851" w:bottom="851" w:left="851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750" w:rsidRDefault="00D23750">
      <w:r>
        <w:separator/>
      </w:r>
    </w:p>
  </w:endnote>
  <w:endnote w:type="continuationSeparator" w:id="0">
    <w:p w:rsidR="00D23750" w:rsidRDefault="00D2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1208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7265023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1682" w:rsidRDefault="00FC16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75D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FC1682" w:rsidRDefault="00FC1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750" w:rsidRDefault="00D23750">
      <w:r>
        <w:separator/>
      </w:r>
    </w:p>
  </w:footnote>
  <w:footnote w:type="continuationSeparator" w:id="0">
    <w:p w:rsidR="00D23750" w:rsidRDefault="00D23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A752C4C"/>
    <w:multiLevelType w:val="hybridMultilevel"/>
    <w:tmpl w:val="31005CDE"/>
    <w:lvl w:ilvl="0" w:tplc="89724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1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9"/>
  </w:num>
  <w:num w:numId="7">
    <w:abstractNumId w:val="4"/>
  </w:num>
  <w:num w:numId="8">
    <w:abstractNumId w:val="11"/>
  </w:num>
  <w:num w:numId="9">
    <w:abstractNumId w:val="5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5DF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678BC"/>
    <w:rsid w:val="00070C75"/>
    <w:rsid w:val="0007263E"/>
    <w:rsid w:val="000806B6"/>
    <w:rsid w:val="00081A30"/>
    <w:rsid w:val="00081FAB"/>
    <w:rsid w:val="000820C0"/>
    <w:rsid w:val="000912B6"/>
    <w:rsid w:val="000931BD"/>
    <w:rsid w:val="0009489E"/>
    <w:rsid w:val="000968A6"/>
    <w:rsid w:val="000A0ED5"/>
    <w:rsid w:val="000A3658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0FBE"/>
    <w:rsid w:val="000D1C28"/>
    <w:rsid w:val="000D295A"/>
    <w:rsid w:val="000D2D47"/>
    <w:rsid w:val="000D497F"/>
    <w:rsid w:val="000D4EF5"/>
    <w:rsid w:val="000E3C82"/>
    <w:rsid w:val="000E5C13"/>
    <w:rsid w:val="000E5E51"/>
    <w:rsid w:val="000E665C"/>
    <w:rsid w:val="000E7153"/>
    <w:rsid w:val="000E74ED"/>
    <w:rsid w:val="000F0783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08CA"/>
    <w:rsid w:val="001227BE"/>
    <w:rsid w:val="00125271"/>
    <w:rsid w:val="00126FEB"/>
    <w:rsid w:val="00131454"/>
    <w:rsid w:val="001316AE"/>
    <w:rsid w:val="00132CC5"/>
    <w:rsid w:val="00135006"/>
    <w:rsid w:val="001413D6"/>
    <w:rsid w:val="001414FE"/>
    <w:rsid w:val="00143492"/>
    <w:rsid w:val="001434EE"/>
    <w:rsid w:val="00145540"/>
    <w:rsid w:val="001465DD"/>
    <w:rsid w:val="00151981"/>
    <w:rsid w:val="00152C46"/>
    <w:rsid w:val="001558E1"/>
    <w:rsid w:val="00160329"/>
    <w:rsid w:val="0016164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2D38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86975"/>
    <w:rsid w:val="001877C8"/>
    <w:rsid w:val="00190373"/>
    <w:rsid w:val="0019101F"/>
    <w:rsid w:val="001922DC"/>
    <w:rsid w:val="001927DA"/>
    <w:rsid w:val="00194A6D"/>
    <w:rsid w:val="00197FC2"/>
    <w:rsid w:val="001A37AF"/>
    <w:rsid w:val="001A3914"/>
    <w:rsid w:val="001A3C03"/>
    <w:rsid w:val="001A4689"/>
    <w:rsid w:val="001A47F5"/>
    <w:rsid w:val="001A4EE0"/>
    <w:rsid w:val="001B1653"/>
    <w:rsid w:val="001B1787"/>
    <w:rsid w:val="001B1BB1"/>
    <w:rsid w:val="001B2044"/>
    <w:rsid w:val="001B2A17"/>
    <w:rsid w:val="001B2D0C"/>
    <w:rsid w:val="001B3F89"/>
    <w:rsid w:val="001B52B0"/>
    <w:rsid w:val="001B540A"/>
    <w:rsid w:val="001B601A"/>
    <w:rsid w:val="001B79AF"/>
    <w:rsid w:val="001C0549"/>
    <w:rsid w:val="001C3783"/>
    <w:rsid w:val="001D2F7D"/>
    <w:rsid w:val="001D3D99"/>
    <w:rsid w:val="001D6231"/>
    <w:rsid w:val="001D63F4"/>
    <w:rsid w:val="001D7B33"/>
    <w:rsid w:val="001D7DD0"/>
    <w:rsid w:val="001E520E"/>
    <w:rsid w:val="001E5B0C"/>
    <w:rsid w:val="001F0F28"/>
    <w:rsid w:val="001F2364"/>
    <w:rsid w:val="001F29AA"/>
    <w:rsid w:val="001F423A"/>
    <w:rsid w:val="001F44E6"/>
    <w:rsid w:val="001F5617"/>
    <w:rsid w:val="001F5D74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58DB"/>
    <w:rsid w:val="002277D6"/>
    <w:rsid w:val="00227EAD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44F22"/>
    <w:rsid w:val="0025310D"/>
    <w:rsid w:val="00253BD9"/>
    <w:rsid w:val="00254B24"/>
    <w:rsid w:val="002551B0"/>
    <w:rsid w:val="0025694A"/>
    <w:rsid w:val="00256CB0"/>
    <w:rsid w:val="00264413"/>
    <w:rsid w:val="00265F03"/>
    <w:rsid w:val="002669FE"/>
    <w:rsid w:val="00270E7D"/>
    <w:rsid w:val="00272715"/>
    <w:rsid w:val="00275D04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3F4C"/>
    <w:rsid w:val="00296690"/>
    <w:rsid w:val="00296FA5"/>
    <w:rsid w:val="002A08D2"/>
    <w:rsid w:val="002A13A9"/>
    <w:rsid w:val="002A1EDB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2CEE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1C3B"/>
    <w:rsid w:val="00304C4B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234C"/>
    <w:rsid w:val="00362D69"/>
    <w:rsid w:val="003635B2"/>
    <w:rsid w:val="003643FA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3E19"/>
    <w:rsid w:val="003B468A"/>
    <w:rsid w:val="003B5668"/>
    <w:rsid w:val="003B7067"/>
    <w:rsid w:val="003B7F09"/>
    <w:rsid w:val="003C2B0F"/>
    <w:rsid w:val="003C2FCA"/>
    <w:rsid w:val="003C44DC"/>
    <w:rsid w:val="003C4DCE"/>
    <w:rsid w:val="003C747A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145"/>
    <w:rsid w:val="003F1AEC"/>
    <w:rsid w:val="003F482B"/>
    <w:rsid w:val="003F4E95"/>
    <w:rsid w:val="003F61D1"/>
    <w:rsid w:val="0040079B"/>
    <w:rsid w:val="00400AE8"/>
    <w:rsid w:val="00401965"/>
    <w:rsid w:val="00401BE6"/>
    <w:rsid w:val="00407C0E"/>
    <w:rsid w:val="004137DB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26C5B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55271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4F89"/>
    <w:rsid w:val="004B5CD6"/>
    <w:rsid w:val="004C0930"/>
    <w:rsid w:val="004C1B25"/>
    <w:rsid w:val="004C1E8B"/>
    <w:rsid w:val="004C2425"/>
    <w:rsid w:val="004C3658"/>
    <w:rsid w:val="004C4AD1"/>
    <w:rsid w:val="004D0429"/>
    <w:rsid w:val="004D2055"/>
    <w:rsid w:val="004D2449"/>
    <w:rsid w:val="004D24DE"/>
    <w:rsid w:val="004D3A4D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1D4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17D3E"/>
    <w:rsid w:val="00520313"/>
    <w:rsid w:val="00523E35"/>
    <w:rsid w:val="005265C3"/>
    <w:rsid w:val="00526A11"/>
    <w:rsid w:val="0053256D"/>
    <w:rsid w:val="00533039"/>
    <w:rsid w:val="00536487"/>
    <w:rsid w:val="005376F9"/>
    <w:rsid w:val="0054641B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7DC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C6713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660"/>
    <w:rsid w:val="005F0C59"/>
    <w:rsid w:val="005F1B37"/>
    <w:rsid w:val="005F37CF"/>
    <w:rsid w:val="005F3967"/>
    <w:rsid w:val="005F4497"/>
    <w:rsid w:val="005F449A"/>
    <w:rsid w:val="005F567A"/>
    <w:rsid w:val="00603D13"/>
    <w:rsid w:val="00603F4E"/>
    <w:rsid w:val="00610BA5"/>
    <w:rsid w:val="00611F38"/>
    <w:rsid w:val="00620DD3"/>
    <w:rsid w:val="006221BE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3F02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4A1"/>
    <w:rsid w:val="006745D9"/>
    <w:rsid w:val="0067534A"/>
    <w:rsid w:val="00676CA8"/>
    <w:rsid w:val="0067720B"/>
    <w:rsid w:val="00677A85"/>
    <w:rsid w:val="0068140F"/>
    <w:rsid w:val="006821B1"/>
    <w:rsid w:val="0068231B"/>
    <w:rsid w:val="006830B7"/>
    <w:rsid w:val="0068527E"/>
    <w:rsid w:val="00685CA0"/>
    <w:rsid w:val="00686636"/>
    <w:rsid w:val="00686ACC"/>
    <w:rsid w:val="006872A6"/>
    <w:rsid w:val="00687555"/>
    <w:rsid w:val="00690031"/>
    <w:rsid w:val="006905AC"/>
    <w:rsid w:val="006910A8"/>
    <w:rsid w:val="00692938"/>
    <w:rsid w:val="00693374"/>
    <w:rsid w:val="0069400D"/>
    <w:rsid w:val="00696D0D"/>
    <w:rsid w:val="0069717A"/>
    <w:rsid w:val="006A0BFF"/>
    <w:rsid w:val="006A0FD1"/>
    <w:rsid w:val="006A39E5"/>
    <w:rsid w:val="006B18B1"/>
    <w:rsid w:val="006B4CDC"/>
    <w:rsid w:val="006B603F"/>
    <w:rsid w:val="006B73DF"/>
    <w:rsid w:val="006C10EC"/>
    <w:rsid w:val="006C2BB5"/>
    <w:rsid w:val="006C326C"/>
    <w:rsid w:val="006C5D24"/>
    <w:rsid w:val="006C76AC"/>
    <w:rsid w:val="006C7E2E"/>
    <w:rsid w:val="006D0E25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16C8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440F"/>
    <w:rsid w:val="007458D3"/>
    <w:rsid w:val="00747FD0"/>
    <w:rsid w:val="00750BC1"/>
    <w:rsid w:val="0075239A"/>
    <w:rsid w:val="00754556"/>
    <w:rsid w:val="00764246"/>
    <w:rsid w:val="0077217D"/>
    <w:rsid w:val="00772F89"/>
    <w:rsid w:val="00773410"/>
    <w:rsid w:val="00773D3D"/>
    <w:rsid w:val="007742FF"/>
    <w:rsid w:val="00775FB2"/>
    <w:rsid w:val="00781A90"/>
    <w:rsid w:val="007828F1"/>
    <w:rsid w:val="00783A68"/>
    <w:rsid w:val="00783DE5"/>
    <w:rsid w:val="00784950"/>
    <w:rsid w:val="00785EA0"/>
    <w:rsid w:val="0079134F"/>
    <w:rsid w:val="0079181B"/>
    <w:rsid w:val="00792D6D"/>
    <w:rsid w:val="007A030A"/>
    <w:rsid w:val="007A1F93"/>
    <w:rsid w:val="007A5D07"/>
    <w:rsid w:val="007B0766"/>
    <w:rsid w:val="007B0A64"/>
    <w:rsid w:val="007B43A3"/>
    <w:rsid w:val="007B66E4"/>
    <w:rsid w:val="007B671D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3ED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46AA"/>
    <w:rsid w:val="007F5A75"/>
    <w:rsid w:val="007F6A27"/>
    <w:rsid w:val="008021F0"/>
    <w:rsid w:val="008024BA"/>
    <w:rsid w:val="00803803"/>
    <w:rsid w:val="00804643"/>
    <w:rsid w:val="00805824"/>
    <w:rsid w:val="008073AC"/>
    <w:rsid w:val="00810935"/>
    <w:rsid w:val="00822F99"/>
    <w:rsid w:val="00824A77"/>
    <w:rsid w:val="00824F7E"/>
    <w:rsid w:val="00825360"/>
    <w:rsid w:val="00825402"/>
    <w:rsid w:val="0082662A"/>
    <w:rsid w:val="0082662B"/>
    <w:rsid w:val="00826DBE"/>
    <w:rsid w:val="008312EE"/>
    <w:rsid w:val="00832B1A"/>
    <w:rsid w:val="00836B63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4552"/>
    <w:rsid w:val="00865F63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0458"/>
    <w:rsid w:val="008A1A30"/>
    <w:rsid w:val="008A413F"/>
    <w:rsid w:val="008A7504"/>
    <w:rsid w:val="008B0CFF"/>
    <w:rsid w:val="008B41BA"/>
    <w:rsid w:val="008B5356"/>
    <w:rsid w:val="008B5A0F"/>
    <w:rsid w:val="008B5A23"/>
    <w:rsid w:val="008B63B8"/>
    <w:rsid w:val="008B6853"/>
    <w:rsid w:val="008B7815"/>
    <w:rsid w:val="008C3122"/>
    <w:rsid w:val="008D0698"/>
    <w:rsid w:val="008D77B1"/>
    <w:rsid w:val="008E13D5"/>
    <w:rsid w:val="008E4AC1"/>
    <w:rsid w:val="008E4BBA"/>
    <w:rsid w:val="008E4E84"/>
    <w:rsid w:val="008E6D13"/>
    <w:rsid w:val="008F0406"/>
    <w:rsid w:val="008F3482"/>
    <w:rsid w:val="008F3798"/>
    <w:rsid w:val="008F47F7"/>
    <w:rsid w:val="008F5750"/>
    <w:rsid w:val="008F57F4"/>
    <w:rsid w:val="009017B8"/>
    <w:rsid w:val="00902B3A"/>
    <w:rsid w:val="00904483"/>
    <w:rsid w:val="009048AE"/>
    <w:rsid w:val="00905751"/>
    <w:rsid w:val="00906094"/>
    <w:rsid w:val="009145BE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1EA8"/>
    <w:rsid w:val="00944C65"/>
    <w:rsid w:val="009507D1"/>
    <w:rsid w:val="00950D1A"/>
    <w:rsid w:val="0095197D"/>
    <w:rsid w:val="009534D0"/>
    <w:rsid w:val="00954665"/>
    <w:rsid w:val="009602CA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773E5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3C9D"/>
    <w:rsid w:val="009B4D97"/>
    <w:rsid w:val="009C2103"/>
    <w:rsid w:val="009C594A"/>
    <w:rsid w:val="009C7284"/>
    <w:rsid w:val="009D5A95"/>
    <w:rsid w:val="009D5AAA"/>
    <w:rsid w:val="009E38D8"/>
    <w:rsid w:val="009E5A59"/>
    <w:rsid w:val="009E6DC8"/>
    <w:rsid w:val="009E7231"/>
    <w:rsid w:val="009F053F"/>
    <w:rsid w:val="009F0DA5"/>
    <w:rsid w:val="009F0E85"/>
    <w:rsid w:val="009F2AC3"/>
    <w:rsid w:val="009F3E89"/>
    <w:rsid w:val="009F498A"/>
    <w:rsid w:val="009F6E8D"/>
    <w:rsid w:val="009F75EF"/>
    <w:rsid w:val="00A02C03"/>
    <w:rsid w:val="00A02C6A"/>
    <w:rsid w:val="00A032F1"/>
    <w:rsid w:val="00A0357B"/>
    <w:rsid w:val="00A054E4"/>
    <w:rsid w:val="00A06453"/>
    <w:rsid w:val="00A06979"/>
    <w:rsid w:val="00A06A6E"/>
    <w:rsid w:val="00A114AB"/>
    <w:rsid w:val="00A12EDF"/>
    <w:rsid w:val="00A149AD"/>
    <w:rsid w:val="00A14C7C"/>
    <w:rsid w:val="00A216B2"/>
    <w:rsid w:val="00A2266E"/>
    <w:rsid w:val="00A23424"/>
    <w:rsid w:val="00A252E5"/>
    <w:rsid w:val="00A27ABC"/>
    <w:rsid w:val="00A27BD2"/>
    <w:rsid w:val="00A33A83"/>
    <w:rsid w:val="00A3585F"/>
    <w:rsid w:val="00A35DCF"/>
    <w:rsid w:val="00A378EF"/>
    <w:rsid w:val="00A42FE6"/>
    <w:rsid w:val="00A454F1"/>
    <w:rsid w:val="00A46DDE"/>
    <w:rsid w:val="00A50643"/>
    <w:rsid w:val="00A53723"/>
    <w:rsid w:val="00A53C31"/>
    <w:rsid w:val="00A55291"/>
    <w:rsid w:val="00A5591D"/>
    <w:rsid w:val="00A56034"/>
    <w:rsid w:val="00A57297"/>
    <w:rsid w:val="00A61129"/>
    <w:rsid w:val="00A620D5"/>
    <w:rsid w:val="00A65368"/>
    <w:rsid w:val="00A65B9C"/>
    <w:rsid w:val="00A737EF"/>
    <w:rsid w:val="00A748E7"/>
    <w:rsid w:val="00A76954"/>
    <w:rsid w:val="00A80179"/>
    <w:rsid w:val="00A809A1"/>
    <w:rsid w:val="00A8166D"/>
    <w:rsid w:val="00A8187D"/>
    <w:rsid w:val="00A8660D"/>
    <w:rsid w:val="00A86818"/>
    <w:rsid w:val="00A93C7E"/>
    <w:rsid w:val="00A9669C"/>
    <w:rsid w:val="00A971DF"/>
    <w:rsid w:val="00AA1124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B5242"/>
    <w:rsid w:val="00AC0441"/>
    <w:rsid w:val="00AC07D6"/>
    <w:rsid w:val="00AC2DD1"/>
    <w:rsid w:val="00AC75C6"/>
    <w:rsid w:val="00AC7E60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400C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17615"/>
    <w:rsid w:val="00B227DA"/>
    <w:rsid w:val="00B22B2C"/>
    <w:rsid w:val="00B2310F"/>
    <w:rsid w:val="00B24039"/>
    <w:rsid w:val="00B264AF"/>
    <w:rsid w:val="00B26600"/>
    <w:rsid w:val="00B26693"/>
    <w:rsid w:val="00B3268E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648D8"/>
    <w:rsid w:val="00B72769"/>
    <w:rsid w:val="00B73E3F"/>
    <w:rsid w:val="00B80452"/>
    <w:rsid w:val="00B8382A"/>
    <w:rsid w:val="00B84625"/>
    <w:rsid w:val="00B85541"/>
    <w:rsid w:val="00B8639A"/>
    <w:rsid w:val="00B90811"/>
    <w:rsid w:val="00B90DB4"/>
    <w:rsid w:val="00B92B6C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3FFC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054F4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3BA1"/>
    <w:rsid w:val="00C23C9B"/>
    <w:rsid w:val="00C24A3D"/>
    <w:rsid w:val="00C25A89"/>
    <w:rsid w:val="00C26040"/>
    <w:rsid w:val="00C27962"/>
    <w:rsid w:val="00C304F7"/>
    <w:rsid w:val="00C308EE"/>
    <w:rsid w:val="00C32797"/>
    <w:rsid w:val="00C35EB6"/>
    <w:rsid w:val="00C372F7"/>
    <w:rsid w:val="00C37FD2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2E97"/>
    <w:rsid w:val="00C756AE"/>
    <w:rsid w:val="00C757C7"/>
    <w:rsid w:val="00C80152"/>
    <w:rsid w:val="00C821D8"/>
    <w:rsid w:val="00C82529"/>
    <w:rsid w:val="00C85079"/>
    <w:rsid w:val="00C91D87"/>
    <w:rsid w:val="00C92890"/>
    <w:rsid w:val="00C97B18"/>
    <w:rsid w:val="00C97D87"/>
    <w:rsid w:val="00CA1288"/>
    <w:rsid w:val="00CA3BE9"/>
    <w:rsid w:val="00CA429B"/>
    <w:rsid w:val="00CA6F55"/>
    <w:rsid w:val="00CB06D0"/>
    <w:rsid w:val="00CB0863"/>
    <w:rsid w:val="00CB12C2"/>
    <w:rsid w:val="00CB2062"/>
    <w:rsid w:val="00CB46E7"/>
    <w:rsid w:val="00CB5131"/>
    <w:rsid w:val="00CC145B"/>
    <w:rsid w:val="00CC1709"/>
    <w:rsid w:val="00CC4669"/>
    <w:rsid w:val="00CC5BF1"/>
    <w:rsid w:val="00CD1059"/>
    <w:rsid w:val="00CD11F7"/>
    <w:rsid w:val="00CD42C0"/>
    <w:rsid w:val="00CD47F4"/>
    <w:rsid w:val="00CD4AF4"/>
    <w:rsid w:val="00CD4AF7"/>
    <w:rsid w:val="00CD4F0A"/>
    <w:rsid w:val="00CD6BC1"/>
    <w:rsid w:val="00CD7774"/>
    <w:rsid w:val="00CE026C"/>
    <w:rsid w:val="00CE0B05"/>
    <w:rsid w:val="00CE0E45"/>
    <w:rsid w:val="00CE1E64"/>
    <w:rsid w:val="00CE2914"/>
    <w:rsid w:val="00CE2B7A"/>
    <w:rsid w:val="00CE41E1"/>
    <w:rsid w:val="00CE5065"/>
    <w:rsid w:val="00CF1090"/>
    <w:rsid w:val="00CF1893"/>
    <w:rsid w:val="00CF6876"/>
    <w:rsid w:val="00D00486"/>
    <w:rsid w:val="00D010DD"/>
    <w:rsid w:val="00D056EF"/>
    <w:rsid w:val="00D10239"/>
    <w:rsid w:val="00D1224F"/>
    <w:rsid w:val="00D145FB"/>
    <w:rsid w:val="00D16931"/>
    <w:rsid w:val="00D17CCC"/>
    <w:rsid w:val="00D20111"/>
    <w:rsid w:val="00D21F8E"/>
    <w:rsid w:val="00D23750"/>
    <w:rsid w:val="00D25E04"/>
    <w:rsid w:val="00D269EB"/>
    <w:rsid w:val="00D2793D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4781B"/>
    <w:rsid w:val="00D47F74"/>
    <w:rsid w:val="00D522E6"/>
    <w:rsid w:val="00D571D0"/>
    <w:rsid w:val="00D6067D"/>
    <w:rsid w:val="00D63093"/>
    <w:rsid w:val="00D644F8"/>
    <w:rsid w:val="00D65204"/>
    <w:rsid w:val="00D66186"/>
    <w:rsid w:val="00D66B4C"/>
    <w:rsid w:val="00D725CA"/>
    <w:rsid w:val="00D734A1"/>
    <w:rsid w:val="00D74FDB"/>
    <w:rsid w:val="00D817BF"/>
    <w:rsid w:val="00D84B42"/>
    <w:rsid w:val="00D854D8"/>
    <w:rsid w:val="00D86549"/>
    <w:rsid w:val="00D873B5"/>
    <w:rsid w:val="00D87BA4"/>
    <w:rsid w:val="00D95C97"/>
    <w:rsid w:val="00D9614C"/>
    <w:rsid w:val="00D96605"/>
    <w:rsid w:val="00D96A89"/>
    <w:rsid w:val="00D96C00"/>
    <w:rsid w:val="00D976FE"/>
    <w:rsid w:val="00DA0F7E"/>
    <w:rsid w:val="00DA569D"/>
    <w:rsid w:val="00DB3BB1"/>
    <w:rsid w:val="00DB6371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1AC4"/>
    <w:rsid w:val="00DF2AE8"/>
    <w:rsid w:val="00DF2C7D"/>
    <w:rsid w:val="00DF2D14"/>
    <w:rsid w:val="00DF3752"/>
    <w:rsid w:val="00DF3E21"/>
    <w:rsid w:val="00DF42FD"/>
    <w:rsid w:val="00DF7563"/>
    <w:rsid w:val="00DF75D9"/>
    <w:rsid w:val="00DF776A"/>
    <w:rsid w:val="00E0058C"/>
    <w:rsid w:val="00E009B3"/>
    <w:rsid w:val="00E040A5"/>
    <w:rsid w:val="00E068C7"/>
    <w:rsid w:val="00E06EEE"/>
    <w:rsid w:val="00E07E9A"/>
    <w:rsid w:val="00E12FAD"/>
    <w:rsid w:val="00E17BB4"/>
    <w:rsid w:val="00E20380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53C3"/>
    <w:rsid w:val="00E36B90"/>
    <w:rsid w:val="00E4144E"/>
    <w:rsid w:val="00E42705"/>
    <w:rsid w:val="00E47503"/>
    <w:rsid w:val="00E50B6C"/>
    <w:rsid w:val="00E51D6E"/>
    <w:rsid w:val="00E51EE1"/>
    <w:rsid w:val="00E52237"/>
    <w:rsid w:val="00E53208"/>
    <w:rsid w:val="00E56DE0"/>
    <w:rsid w:val="00E577AB"/>
    <w:rsid w:val="00E57AD1"/>
    <w:rsid w:val="00E61911"/>
    <w:rsid w:val="00E63193"/>
    <w:rsid w:val="00E7340D"/>
    <w:rsid w:val="00E759B9"/>
    <w:rsid w:val="00E764FD"/>
    <w:rsid w:val="00E8121A"/>
    <w:rsid w:val="00E904A9"/>
    <w:rsid w:val="00E91BB0"/>
    <w:rsid w:val="00E96182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1F6E"/>
    <w:rsid w:val="00EB2587"/>
    <w:rsid w:val="00EB2A1D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1100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36E0"/>
    <w:rsid w:val="00F14393"/>
    <w:rsid w:val="00F1442C"/>
    <w:rsid w:val="00F1530B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564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57D68"/>
    <w:rsid w:val="00F60E5D"/>
    <w:rsid w:val="00F65E36"/>
    <w:rsid w:val="00F6707D"/>
    <w:rsid w:val="00F67F03"/>
    <w:rsid w:val="00F70ADA"/>
    <w:rsid w:val="00F71D5C"/>
    <w:rsid w:val="00F72235"/>
    <w:rsid w:val="00F72F11"/>
    <w:rsid w:val="00F7319B"/>
    <w:rsid w:val="00F76A7C"/>
    <w:rsid w:val="00F76BBB"/>
    <w:rsid w:val="00F80B75"/>
    <w:rsid w:val="00F8132A"/>
    <w:rsid w:val="00F82CF6"/>
    <w:rsid w:val="00F90156"/>
    <w:rsid w:val="00F90C7C"/>
    <w:rsid w:val="00F9175D"/>
    <w:rsid w:val="00F92C8F"/>
    <w:rsid w:val="00F952E0"/>
    <w:rsid w:val="00FA0997"/>
    <w:rsid w:val="00FA0C57"/>
    <w:rsid w:val="00FA1638"/>
    <w:rsid w:val="00FA193B"/>
    <w:rsid w:val="00FA3DE5"/>
    <w:rsid w:val="00FA4BE8"/>
    <w:rsid w:val="00FA6924"/>
    <w:rsid w:val="00FB2BA8"/>
    <w:rsid w:val="00FB4DF2"/>
    <w:rsid w:val="00FB4E5A"/>
    <w:rsid w:val="00FB6768"/>
    <w:rsid w:val="00FB703A"/>
    <w:rsid w:val="00FC1682"/>
    <w:rsid w:val="00FC21BA"/>
    <w:rsid w:val="00FC3A9F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E7C13"/>
    <w:rsid w:val="00FF056D"/>
    <w:rsid w:val="00FF1072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F23475"/>
  <w15:docId w15:val="{C601FF7E-EDDB-42EF-A8BE-6F94FE68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4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89712126581835"/>
          <c:y val="5.6031947533168112E-2"/>
          <c:w val="0.79115327207975772"/>
          <c:h val="0.65717025856199984"/>
        </c:manualLayout>
      </c:layout>
      <c:lineChart>
        <c:grouping val="standard"/>
        <c:varyColors val="0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5.4521747040926688E-2"/>
                  <c:y val="5.06054819494868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4DE-4391-BB60-9DDDC584AF97}"/>
                </c:ext>
              </c:extLst>
            </c:dLbl>
            <c:dLbl>
              <c:idx val="11"/>
              <c:layout>
                <c:manualLayout>
                  <c:x val="-8.5562956748506565E-3"/>
                  <c:y val="4.99045216653307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4DE-4391-BB60-9DDDC584AF97}"/>
                </c:ext>
              </c:extLst>
            </c:dLbl>
            <c:dLbl>
              <c:idx val="12"/>
              <c:layout>
                <c:manualLayout>
                  <c:x val="-1.3172132484028375E-4"/>
                  <c:y val="4.34214811808555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4DE-4391-BB60-9DDDC584AF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Sheet1!$A$2:$L$2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Sheet1!$A$3:$L$3</c:f>
              <c:numCache>
                <c:formatCode>0.00</c:formatCode>
                <c:ptCount val="12"/>
                <c:pt idx="0">
                  <c:v>79.251091717523352</c:v>
                </c:pt>
                <c:pt idx="1">
                  <c:v>80.725038117835936</c:v>
                </c:pt>
                <c:pt idx="2">
                  <c:v>78.442317109698081</c:v>
                </c:pt>
                <c:pt idx="3">
                  <c:v>79.181201989222757</c:v>
                </c:pt>
                <c:pt idx="4">
                  <c:v>82.006580415393316</c:v>
                </c:pt>
                <c:pt idx="5">
                  <c:v>74.288235026172302</c:v>
                </c:pt>
                <c:pt idx="6">
                  <c:v>84.942413712024972</c:v>
                </c:pt>
                <c:pt idx="7">
                  <c:v>87.583464398149701</c:v>
                </c:pt>
                <c:pt idx="8">
                  <c:v>92.645076244246169</c:v>
                </c:pt>
                <c:pt idx="9">
                  <c:v>85.717637910838192</c:v>
                </c:pt>
                <c:pt idx="10">
                  <c:v>84.372930094423381</c:v>
                </c:pt>
                <c:pt idx="11">
                  <c:v>83.50128768875939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4DE-4391-BB60-9DDDC584AF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8654464"/>
        <c:axId val="118656000"/>
      </c:lineChart>
      <c:catAx>
        <c:axId val="118654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3900000"/>
          <a:lstStyle/>
          <a:p>
            <a:pPr>
              <a:defRPr/>
            </a:pPr>
            <a:endParaRPr lang="en-US"/>
          </a:p>
        </c:txPr>
        <c:crossAx val="118656000"/>
        <c:crossesAt val="60"/>
        <c:auto val="1"/>
        <c:lblAlgn val="ctr"/>
        <c:lblOffset val="100"/>
        <c:noMultiLvlLbl val="0"/>
      </c:catAx>
      <c:valAx>
        <c:axId val="118656000"/>
        <c:scaling>
          <c:orientation val="minMax"/>
          <c:max val="10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crossAx val="118654464"/>
        <c:crosses val="autoZero"/>
        <c:crossBetween val="between"/>
        <c:majorUnit val="5"/>
        <c:minorUnit val="1"/>
      </c:valAx>
    </c:plotArea>
    <c:plotVisOnly val="1"/>
    <c:dispBlanksAs val="gap"/>
    <c:showDLblsOverMax val="0"/>
  </c:chart>
  <c:spPr>
    <a:noFill/>
    <a:ln cmpd="sng"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18B5D-AA04-4C7F-858C-E2DFFA145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Production Index (IPI) in Palestine</vt:lpstr>
    </vt:vector>
  </TitlesOfParts>
  <Company>Hewlett-Packard Company</Company>
  <LinksUpToDate>false</LinksUpToDate>
  <CharactersWithSpaces>2546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Production Index (IPI) in Palestine</dc:title>
  <dc:creator>kakhalid</dc:creator>
  <cp:lastModifiedBy>Hadeel Badran</cp:lastModifiedBy>
  <cp:revision>149</cp:revision>
  <cp:lastPrinted>2026-02-02T11:16:00Z</cp:lastPrinted>
  <dcterms:created xsi:type="dcterms:W3CDTF">2023-11-30T21:00:00Z</dcterms:created>
  <dcterms:modified xsi:type="dcterms:W3CDTF">2026-02-03T11:32:00Z</dcterms:modified>
</cp:coreProperties>
</file>