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1" w:rsidRDefault="00722131" w:rsidP="00722131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:rsidR="00722131" w:rsidRDefault="00722131" w:rsidP="00722131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:rsidR="00927F69" w:rsidRPr="00D06F12" w:rsidRDefault="00927F69" w:rsidP="00722131">
      <w:pPr>
        <w:tabs>
          <w:tab w:val="left" w:pos="1315"/>
        </w:tabs>
        <w:bidi/>
        <w:jc w:val="center"/>
        <w:rPr>
          <w:rFonts w:asciiTheme="majorBidi" w:hAnsiTheme="majorBidi" w:cstheme="majorBidi"/>
          <w:b w:val="0"/>
          <w:bCs/>
          <w:sz w:val="16"/>
          <w:szCs w:val="16"/>
          <w:rtl/>
        </w:rPr>
      </w:pPr>
    </w:p>
    <w:p w:rsidR="004221C5" w:rsidRPr="00F149B2" w:rsidRDefault="004221C5" w:rsidP="00722131">
      <w:pPr>
        <w:rPr>
          <w:rFonts w:asciiTheme="majorBidi" w:hAnsiTheme="majorBidi" w:cstheme="majorBidi"/>
          <w:i w:val="0"/>
          <w:iCs/>
          <w:sz w:val="2"/>
          <w:szCs w:val="2"/>
        </w:rPr>
      </w:pPr>
    </w:p>
    <w:p w:rsidR="00DC292C" w:rsidRPr="00F149B2" w:rsidRDefault="00DC292C" w:rsidP="00722131">
      <w:pPr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F149B2">
        <w:rPr>
          <w:rFonts w:asciiTheme="majorBidi" w:hAnsiTheme="majorBidi" w:cstheme="majorBidi"/>
          <w:i w:val="0"/>
          <w:iCs/>
          <w:sz w:val="28"/>
          <w:szCs w:val="28"/>
        </w:rPr>
        <w:t xml:space="preserve">The Net Stock of the International Investment Position (IIP) amounted to USD </w:t>
      </w:r>
      <w:r w:rsidR="00327B47" w:rsidRPr="00F149B2">
        <w:rPr>
          <w:rFonts w:asciiTheme="majorBidi" w:hAnsiTheme="majorBidi" w:cstheme="majorBidi"/>
          <w:i w:val="0"/>
          <w:iCs/>
          <w:sz w:val="28"/>
          <w:szCs w:val="28"/>
        </w:rPr>
        <w:t>3,</w:t>
      </w:r>
      <w:r w:rsidR="00D86AB4">
        <w:rPr>
          <w:rFonts w:asciiTheme="majorBidi" w:hAnsiTheme="majorBidi" w:cstheme="majorBidi"/>
          <w:i w:val="0"/>
          <w:iCs/>
          <w:sz w:val="28"/>
          <w:szCs w:val="28"/>
        </w:rPr>
        <w:t>3</w:t>
      </w:r>
      <w:r w:rsidR="00255403">
        <w:rPr>
          <w:rFonts w:asciiTheme="majorBidi" w:hAnsiTheme="majorBidi" w:cstheme="majorBidi"/>
          <w:i w:val="0"/>
          <w:iCs/>
          <w:sz w:val="28"/>
          <w:szCs w:val="28"/>
        </w:rPr>
        <w:t>27</w:t>
      </w:r>
      <w:r w:rsidRPr="00F149B2">
        <w:rPr>
          <w:rFonts w:asciiTheme="majorBidi" w:hAnsiTheme="majorBidi" w:cstheme="majorBidi"/>
          <w:i w:val="0"/>
          <w:iCs/>
          <w:sz w:val="28"/>
          <w:szCs w:val="28"/>
        </w:rPr>
        <w:t xml:space="preserve">million at the End of the </w:t>
      </w:r>
      <w:r w:rsidR="00320AFE">
        <w:rPr>
          <w:rFonts w:asciiTheme="majorBidi" w:hAnsiTheme="majorBidi" w:cstheme="majorBidi"/>
          <w:i w:val="0"/>
          <w:iCs/>
          <w:sz w:val="28"/>
          <w:szCs w:val="28"/>
        </w:rPr>
        <w:t>F</w:t>
      </w:r>
      <w:r w:rsidR="00411BA8">
        <w:rPr>
          <w:rFonts w:asciiTheme="majorBidi" w:hAnsiTheme="majorBidi" w:cstheme="majorBidi"/>
          <w:i w:val="0"/>
          <w:iCs/>
          <w:sz w:val="28"/>
          <w:szCs w:val="28"/>
        </w:rPr>
        <w:t>irst</w:t>
      </w:r>
      <w:r w:rsidRPr="00F149B2">
        <w:rPr>
          <w:rFonts w:asciiTheme="majorBidi" w:hAnsiTheme="majorBidi" w:cstheme="majorBidi"/>
          <w:i w:val="0"/>
          <w:iCs/>
          <w:sz w:val="28"/>
          <w:szCs w:val="28"/>
        </w:rPr>
        <w:t xml:space="preserve"> Quarter of 202</w:t>
      </w:r>
      <w:r w:rsidR="00411BA8">
        <w:rPr>
          <w:rFonts w:asciiTheme="majorBidi" w:hAnsiTheme="majorBidi" w:cstheme="majorBidi"/>
          <w:i w:val="0"/>
          <w:iCs/>
          <w:sz w:val="28"/>
          <w:szCs w:val="28"/>
        </w:rPr>
        <w:t>3</w:t>
      </w:r>
      <w:r w:rsidRPr="00F149B2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</w:p>
    <w:p w:rsidR="00DB5004" w:rsidRPr="00F149B2" w:rsidRDefault="00DB5004" w:rsidP="00722131">
      <w:pPr>
        <w:pStyle w:val="BodyText3"/>
        <w:ind w:right="70"/>
        <w:rPr>
          <w:rFonts w:asciiTheme="majorBidi" w:hAnsiTheme="majorBidi" w:cstheme="majorBidi"/>
          <w:i w:val="0"/>
          <w:iCs/>
          <w:sz w:val="24"/>
          <w:szCs w:val="24"/>
        </w:rPr>
      </w:pPr>
    </w:p>
    <w:p w:rsidR="008615B9" w:rsidRDefault="00DB5004" w:rsidP="0072213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Palestinian Central Bureau of Statistics</w:t>
      </w:r>
      <w:r w:rsidR="00C23EB0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(PCBS) and the Palestine Monetary Authority (PMA)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announced the preliminary results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of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International Investment Position</w:t>
      </w:r>
      <w:r w:rsidR="00C23EB0" w:rsidRPr="00722131">
        <w:rPr>
          <w:rStyle w:val="hps"/>
          <w:rFonts w:asciiTheme="majorBidi" w:hAnsiTheme="majorBidi" w:cstheme="majorBidi" w:hint="cs"/>
          <w:b w:val="0"/>
          <w:bCs/>
          <w:i w:val="0"/>
          <w:iCs/>
          <w:sz w:val="26"/>
          <w:szCs w:val="26"/>
          <w:rtl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(IIP), and External Debt statistics for Palestine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as of </w:t>
      </w:r>
      <w:r w:rsidR="00C56B7B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end of</w:t>
      </w:r>
      <w:r w:rsidR="00E85A96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the</w:t>
      </w:r>
      <w:r w:rsidR="00B51A43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320AFE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f</w:t>
      </w:r>
      <w:r w:rsidR="004150B7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irst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quarter 20</w:t>
      </w:r>
      <w:r w:rsidR="004150B7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23</w:t>
      </w:r>
      <w:r w:rsidR="006B1CE8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.</w:t>
      </w:r>
    </w:p>
    <w:p w:rsidR="00722131" w:rsidRPr="00722131" w:rsidRDefault="00722131" w:rsidP="0072213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722131" w:rsidRDefault="00DB5004" w:rsidP="0072213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total stocks of External Assets for </w:t>
      </w:r>
      <w:r w:rsidR="00C56B7B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Palestin</w:t>
      </w:r>
      <w:r w:rsidR="00E85A96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ian economy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amounted to USD </w:t>
      </w:r>
      <w:r w:rsidR="00892B81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9</w:t>
      </w:r>
      <w:r w:rsidR="00CB31FA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="00971465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741</w:t>
      </w:r>
      <w:r w:rsidR="00320AFE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million, </w:t>
      </w:r>
      <w:r w:rsidR="004B7C0D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he Foreign Direct Investment </w:t>
      </w:r>
      <w:r w:rsidR="006054EE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Abroad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contributed to </w:t>
      </w:r>
      <w:r w:rsidR="00892B81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3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%, </w:t>
      </w:r>
      <w:r w:rsidR="007862A5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and Portfolio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Investments abroad reached </w:t>
      </w:r>
      <w:r w:rsidR="00CB31FA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1</w:t>
      </w:r>
      <w:r w:rsidR="00D86AB4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7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%, while Other Foreign Investments </w:t>
      </w:r>
      <w:r w:rsidR="006054EE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Abroad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reached </w:t>
      </w:r>
      <w:r w:rsidR="00971465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68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 and Reserve Assets amounted to </w:t>
      </w:r>
      <w:r w:rsidR="00D86AB4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1</w:t>
      </w:r>
      <w:r w:rsidR="00971465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2</w:t>
      </w:r>
      <w:r w:rsidR="00EC5050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%.</w:t>
      </w:r>
      <w:r w:rsidR="000A5151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 </w:t>
      </w:r>
    </w:p>
    <w:p w:rsidR="008615B9" w:rsidRPr="00722131" w:rsidRDefault="008615B9" w:rsidP="00722131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</w:rPr>
      </w:pPr>
    </w:p>
    <w:p w:rsidR="00983443" w:rsidRPr="00722131" w:rsidRDefault="00320AFE" w:rsidP="00722131">
      <w:pPr>
        <w:pStyle w:val="BodyText3"/>
        <w:jc w:val="both"/>
        <w:rPr>
          <w:rFonts w:asciiTheme="majorBidi" w:hAnsiTheme="majorBidi" w:cstheme="majorBidi"/>
          <w:i w:val="0"/>
          <w:iCs/>
          <w:sz w:val="26"/>
          <w:szCs w:val="26"/>
        </w:rPr>
      </w:pPr>
      <w:r w:rsidRPr="00722131">
        <w:rPr>
          <w:rFonts w:asciiTheme="majorBidi" w:hAnsiTheme="majorBidi" w:cstheme="majorBidi"/>
          <w:i w:val="0"/>
          <w:iCs/>
          <w:sz w:val="26"/>
          <w:szCs w:val="26"/>
        </w:rPr>
        <w:t>5</w:t>
      </w:r>
      <w:r w:rsidR="00790086" w:rsidRPr="00722131">
        <w:rPr>
          <w:rFonts w:asciiTheme="majorBidi" w:hAnsiTheme="majorBidi" w:cstheme="majorBidi"/>
          <w:i w:val="0"/>
          <w:iCs/>
          <w:sz w:val="26"/>
          <w:szCs w:val="26"/>
        </w:rPr>
        <w:t>3</w:t>
      </w:r>
      <w:r w:rsidR="008615B9" w:rsidRPr="00722131">
        <w:rPr>
          <w:rFonts w:asciiTheme="majorBidi" w:hAnsiTheme="majorBidi" w:cstheme="majorBidi"/>
          <w:i w:val="0"/>
          <w:iCs/>
          <w:sz w:val="26"/>
          <w:szCs w:val="26"/>
        </w:rPr>
        <w:t>% of the total foreign liabilities on the Palestinian economy</w:t>
      </w:r>
      <w:r w:rsidR="00355BB6" w:rsidRPr="00722131">
        <w:rPr>
          <w:rFonts w:asciiTheme="majorBidi" w:hAnsiTheme="majorBidi" w:cstheme="majorBidi"/>
          <w:i w:val="0"/>
          <w:iCs/>
          <w:sz w:val="26"/>
          <w:szCs w:val="26"/>
        </w:rPr>
        <w:t xml:space="preserve"> at the e</w:t>
      </w:r>
      <w:r w:rsidR="002E3BDC" w:rsidRPr="00722131">
        <w:rPr>
          <w:rFonts w:asciiTheme="majorBidi" w:hAnsiTheme="majorBidi" w:cstheme="majorBidi"/>
          <w:i w:val="0"/>
          <w:iCs/>
          <w:sz w:val="26"/>
          <w:szCs w:val="26"/>
        </w:rPr>
        <w:t xml:space="preserve">nd of the </w:t>
      </w:r>
      <w:r w:rsidR="00355BB6" w:rsidRPr="00722131">
        <w:rPr>
          <w:rFonts w:asciiTheme="majorBidi" w:hAnsiTheme="majorBidi" w:cstheme="majorBidi"/>
          <w:i w:val="0"/>
          <w:iCs/>
          <w:sz w:val="26"/>
          <w:szCs w:val="26"/>
        </w:rPr>
        <w:t>f</w:t>
      </w:r>
      <w:r w:rsidR="00790086" w:rsidRPr="00722131">
        <w:rPr>
          <w:rFonts w:asciiTheme="majorBidi" w:hAnsiTheme="majorBidi" w:cstheme="majorBidi"/>
          <w:i w:val="0"/>
          <w:iCs/>
          <w:sz w:val="26"/>
          <w:szCs w:val="26"/>
        </w:rPr>
        <w:t xml:space="preserve">irst </w:t>
      </w:r>
      <w:r w:rsidR="00355BB6" w:rsidRPr="00722131">
        <w:rPr>
          <w:rFonts w:asciiTheme="majorBidi" w:hAnsiTheme="majorBidi" w:cstheme="majorBidi"/>
          <w:i w:val="0"/>
          <w:iCs/>
          <w:sz w:val="26"/>
          <w:szCs w:val="26"/>
        </w:rPr>
        <w:t>q</w:t>
      </w:r>
      <w:r w:rsidR="002E3BDC" w:rsidRPr="00722131">
        <w:rPr>
          <w:rFonts w:asciiTheme="majorBidi" w:hAnsiTheme="majorBidi" w:cstheme="majorBidi"/>
          <w:i w:val="0"/>
          <w:iCs/>
          <w:sz w:val="26"/>
          <w:szCs w:val="26"/>
        </w:rPr>
        <w:t xml:space="preserve">uarter of </w:t>
      </w:r>
      <w:r w:rsidR="00905A56" w:rsidRPr="00722131">
        <w:rPr>
          <w:rFonts w:asciiTheme="majorBidi" w:hAnsiTheme="majorBidi" w:cstheme="majorBidi"/>
          <w:i w:val="0"/>
          <w:iCs/>
          <w:sz w:val="26"/>
          <w:szCs w:val="26"/>
        </w:rPr>
        <w:t>202</w:t>
      </w:r>
      <w:r w:rsidR="00790086" w:rsidRPr="00722131">
        <w:rPr>
          <w:rFonts w:asciiTheme="majorBidi" w:hAnsiTheme="majorBidi" w:cstheme="majorBidi"/>
          <w:i w:val="0"/>
          <w:iCs/>
          <w:sz w:val="26"/>
          <w:szCs w:val="26"/>
        </w:rPr>
        <w:t>3</w:t>
      </w:r>
      <w:r w:rsidR="008615B9" w:rsidRPr="00722131">
        <w:rPr>
          <w:rFonts w:asciiTheme="majorBidi" w:hAnsiTheme="majorBidi" w:cstheme="majorBidi"/>
          <w:i w:val="0"/>
          <w:iCs/>
          <w:sz w:val="26"/>
          <w:szCs w:val="26"/>
        </w:rPr>
        <w:t xml:space="preserve"> are </w:t>
      </w:r>
      <w:r w:rsidR="00C56B7B" w:rsidRPr="00722131">
        <w:rPr>
          <w:rFonts w:asciiTheme="majorBidi" w:hAnsiTheme="majorBidi" w:cstheme="majorBidi"/>
          <w:i w:val="0"/>
          <w:iCs/>
          <w:sz w:val="26"/>
          <w:szCs w:val="26"/>
        </w:rPr>
        <w:t xml:space="preserve">a </w:t>
      </w:r>
      <w:r w:rsidR="008615B9" w:rsidRPr="00722131">
        <w:rPr>
          <w:rFonts w:asciiTheme="majorBidi" w:hAnsiTheme="majorBidi" w:cstheme="majorBidi"/>
          <w:i w:val="0"/>
          <w:iCs/>
          <w:sz w:val="26"/>
          <w:szCs w:val="26"/>
        </w:rPr>
        <w:t>foreign direct investment</w:t>
      </w:r>
    </w:p>
    <w:p w:rsidR="004221C5" w:rsidRDefault="00DB5004" w:rsidP="0072213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total stocks of For</w:t>
      </w:r>
      <w:r w:rsidR="00B902AB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eign Liabilities in Palestine (</w:t>
      </w:r>
      <w:r w:rsidR="003D2935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Balances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of non-residents invested in Palestine) amounted to USD </w:t>
      </w:r>
      <w:r w:rsidR="00892B81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6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="00790086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414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million, </w:t>
      </w:r>
      <w:r w:rsidR="009D1202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where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Foreign Direct Investment in Palestine contributed to </w:t>
      </w:r>
      <w:r w:rsidR="00320AFE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5</w:t>
      </w:r>
      <w:r w:rsidR="00790086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3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%, Portfolio Investments in Palestine reached </w:t>
      </w:r>
      <w:r w:rsidR="00320AFE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14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%</w:t>
      </w:r>
      <w:r w:rsidR="003265DF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,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and </w:t>
      </w:r>
      <w:r w:rsidR="00C87C90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O</w:t>
      </w:r>
      <w:r w:rsidR="00C23EB0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ther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Investments in Palestine (mainly loans and deposits from abroad) amounted to </w:t>
      </w:r>
      <w:r w:rsidR="000C3870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3</w:t>
      </w:r>
      <w:r w:rsidR="00790086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3</w:t>
      </w:r>
      <w:r w:rsidR="00DD6071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%.</w:t>
      </w:r>
      <w:r w:rsidR="00D13DDD" w:rsidRPr="00722131">
        <w:rPr>
          <w:rFonts w:asciiTheme="majorBidi" w:hAnsiTheme="majorBidi" w:cstheme="majorBidi" w:hint="cs"/>
          <w:b w:val="0"/>
          <w:bCs/>
          <w:i w:val="0"/>
          <w:iCs/>
          <w:sz w:val="26"/>
          <w:szCs w:val="26"/>
          <w:rtl/>
        </w:rPr>
        <w:t xml:space="preserve">  </w:t>
      </w:r>
      <w:r w:rsidR="00064A5C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A</w:t>
      </w:r>
      <w:r w:rsidR="000E5A08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C56B7B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sectoral level, foreign investments in </w:t>
      </w:r>
      <w:r w:rsidR="00C56B7B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bank</w:t>
      </w:r>
      <w:r w:rsidR="00C56B7B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ing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sector contributed a major value in the foreign liabilities, represented by </w:t>
      </w:r>
      <w:r w:rsidR="00320AFE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3</w:t>
      </w:r>
      <w:r w:rsidR="00790086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7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 of the total value of foreign liabilities </w:t>
      </w:r>
      <w:r w:rsidR="00C56B7B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i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n </w:t>
      </w:r>
      <w:r w:rsidR="00C56B7B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Palestinian economy.</w:t>
      </w:r>
    </w:p>
    <w:p w:rsidR="00722131" w:rsidRPr="00722131" w:rsidRDefault="00722131" w:rsidP="0072213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983443" w:rsidRPr="00722131" w:rsidRDefault="00A12E85" w:rsidP="00722131">
      <w:pPr>
        <w:pStyle w:val="HTMLPreformatted"/>
        <w:shd w:val="clear" w:color="auto" w:fill="FFFFFF"/>
        <w:spacing w:after="120"/>
        <w:jc w:val="both"/>
        <w:rPr>
          <w:rFonts w:asciiTheme="majorBidi" w:hAnsiTheme="majorBidi" w:cstheme="majorBidi"/>
          <w:b/>
          <w:iCs/>
          <w:sz w:val="26"/>
          <w:szCs w:val="26"/>
        </w:rPr>
      </w:pPr>
      <w:r w:rsidRPr="00722131">
        <w:rPr>
          <w:rFonts w:asciiTheme="majorBidi" w:hAnsiTheme="majorBidi" w:cstheme="majorBidi"/>
          <w:b/>
          <w:iCs/>
          <w:sz w:val="26"/>
          <w:szCs w:val="26"/>
        </w:rPr>
        <w:t>Stability</w:t>
      </w:r>
      <w:r w:rsidR="008615B9" w:rsidRPr="00722131">
        <w:rPr>
          <w:rFonts w:asciiTheme="majorBidi" w:hAnsiTheme="majorBidi" w:cstheme="majorBidi"/>
          <w:b/>
          <w:iCs/>
          <w:sz w:val="26"/>
          <w:szCs w:val="26"/>
        </w:rPr>
        <w:t xml:space="preserve"> </w:t>
      </w:r>
      <w:r w:rsidRPr="00722131">
        <w:rPr>
          <w:rFonts w:asciiTheme="majorBidi" w:hAnsiTheme="majorBidi" w:cstheme="majorBidi"/>
          <w:b/>
          <w:iCs/>
          <w:sz w:val="26"/>
          <w:szCs w:val="26"/>
        </w:rPr>
        <w:t>of</w:t>
      </w:r>
      <w:r w:rsidR="008615B9" w:rsidRPr="00722131">
        <w:rPr>
          <w:rFonts w:asciiTheme="majorBidi" w:hAnsiTheme="majorBidi" w:cstheme="majorBidi"/>
          <w:b/>
          <w:iCs/>
          <w:sz w:val="26"/>
          <w:szCs w:val="26"/>
        </w:rPr>
        <w:t xml:space="preserve"> </w:t>
      </w:r>
      <w:r w:rsidR="00515BCE" w:rsidRPr="00722131">
        <w:rPr>
          <w:rFonts w:asciiTheme="majorBidi" w:hAnsiTheme="majorBidi" w:cstheme="majorBidi"/>
          <w:b/>
          <w:iCs/>
          <w:sz w:val="26"/>
          <w:szCs w:val="26"/>
        </w:rPr>
        <w:t>s</w:t>
      </w:r>
      <w:r w:rsidR="00805979" w:rsidRPr="00722131">
        <w:rPr>
          <w:rFonts w:asciiTheme="majorBidi" w:hAnsiTheme="majorBidi" w:cstheme="majorBidi"/>
          <w:b/>
          <w:iCs/>
          <w:sz w:val="26"/>
          <w:szCs w:val="26"/>
        </w:rPr>
        <w:t xml:space="preserve">tock of </w:t>
      </w:r>
      <w:r w:rsidR="00DD103D" w:rsidRPr="00722131">
        <w:rPr>
          <w:rFonts w:asciiTheme="majorBidi" w:hAnsiTheme="majorBidi" w:cstheme="majorBidi"/>
          <w:b/>
          <w:iCs/>
          <w:sz w:val="26"/>
          <w:szCs w:val="26"/>
        </w:rPr>
        <w:t>e</w:t>
      </w:r>
      <w:r w:rsidR="00041F63" w:rsidRPr="00722131">
        <w:rPr>
          <w:rFonts w:asciiTheme="majorBidi" w:hAnsiTheme="majorBidi" w:cstheme="majorBidi"/>
          <w:b/>
          <w:iCs/>
          <w:sz w:val="26"/>
          <w:szCs w:val="26"/>
        </w:rPr>
        <w:t xml:space="preserve">xternal </w:t>
      </w:r>
      <w:r w:rsidR="00805979" w:rsidRPr="00722131">
        <w:rPr>
          <w:rFonts w:asciiTheme="majorBidi" w:hAnsiTheme="majorBidi" w:cstheme="majorBidi"/>
          <w:b/>
          <w:iCs/>
          <w:sz w:val="26"/>
          <w:szCs w:val="26"/>
        </w:rPr>
        <w:t>d</w:t>
      </w:r>
      <w:r w:rsidR="00064A5C" w:rsidRPr="00722131">
        <w:rPr>
          <w:rFonts w:asciiTheme="majorBidi" w:hAnsiTheme="majorBidi" w:cstheme="majorBidi"/>
          <w:b/>
          <w:iCs/>
          <w:sz w:val="26"/>
          <w:szCs w:val="26"/>
        </w:rPr>
        <w:t>ebt</w:t>
      </w:r>
      <w:r w:rsidR="001D3A4A" w:rsidRPr="00722131">
        <w:rPr>
          <w:rFonts w:asciiTheme="majorBidi" w:hAnsiTheme="majorBidi" w:cstheme="majorBidi"/>
          <w:b/>
          <w:iCs/>
          <w:sz w:val="26"/>
          <w:szCs w:val="26"/>
        </w:rPr>
        <w:t xml:space="preserve"> on general government sector</w:t>
      </w:r>
      <w:r w:rsidR="00064A5C" w:rsidRPr="00722131">
        <w:rPr>
          <w:rFonts w:asciiTheme="majorBidi" w:hAnsiTheme="majorBidi" w:cstheme="majorBidi"/>
          <w:b/>
          <w:iCs/>
          <w:sz w:val="26"/>
          <w:szCs w:val="26"/>
        </w:rPr>
        <w:t xml:space="preserve"> </w:t>
      </w:r>
      <w:r w:rsidRPr="00722131">
        <w:rPr>
          <w:rFonts w:asciiTheme="majorBidi" w:hAnsiTheme="majorBidi" w:cstheme="majorBidi"/>
          <w:b/>
          <w:iCs/>
          <w:sz w:val="26"/>
          <w:szCs w:val="26"/>
        </w:rPr>
        <w:t xml:space="preserve">at </w:t>
      </w:r>
      <w:r w:rsidR="008426B2" w:rsidRPr="00722131">
        <w:rPr>
          <w:rFonts w:asciiTheme="majorBidi" w:hAnsiTheme="majorBidi" w:cstheme="majorBidi"/>
          <w:b/>
          <w:iCs/>
          <w:sz w:val="26"/>
          <w:szCs w:val="26"/>
        </w:rPr>
        <w:t xml:space="preserve">about </w:t>
      </w:r>
      <w:r w:rsidR="009560FE" w:rsidRPr="00722131">
        <w:rPr>
          <w:rFonts w:asciiTheme="majorBidi" w:hAnsiTheme="majorBidi" w:cstheme="majorBidi"/>
          <w:b/>
          <w:iCs/>
          <w:sz w:val="26"/>
          <w:szCs w:val="26"/>
        </w:rPr>
        <w:t xml:space="preserve">USD </w:t>
      </w:r>
      <w:r w:rsidRPr="00722131">
        <w:rPr>
          <w:rFonts w:asciiTheme="majorBidi" w:hAnsiTheme="majorBidi" w:cstheme="majorBidi"/>
          <w:b/>
          <w:iCs/>
          <w:sz w:val="26"/>
          <w:szCs w:val="26"/>
        </w:rPr>
        <w:t xml:space="preserve">1.3 </w:t>
      </w:r>
      <w:r w:rsidR="00041F63" w:rsidRPr="00722131">
        <w:rPr>
          <w:rFonts w:asciiTheme="majorBidi" w:hAnsiTheme="majorBidi" w:cstheme="majorBidi"/>
          <w:b/>
          <w:iCs/>
          <w:sz w:val="26"/>
          <w:szCs w:val="26"/>
        </w:rPr>
        <w:t xml:space="preserve">billion at the end of the </w:t>
      </w:r>
      <w:r w:rsidR="00042E1B" w:rsidRPr="00722131">
        <w:rPr>
          <w:rFonts w:asciiTheme="majorBidi" w:hAnsiTheme="majorBidi" w:cstheme="majorBidi"/>
          <w:b/>
          <w:iCs/>
          <w:sz w:val="26"/>
          <w:szCs w:val="26"/>
        </w:rPr>
        <w:t>f</w:t>
      </w:r>
      <w:r w:rsidR="00790086" w:rsidRPr="00722131">
        <w:rPr>
          <w:rFonts w:asciiTheme="majorBidi" w:hAnsiTheme="majorBidi" w:cstheme="majorBidi"/>
          <w:b/>
          <w:iCs/>
          <w:sz w:val="26"/>
          <w:szCs w:val="26"/>
        </w:rPr>
        <w:t>irst</w:t>
      </w:r>
      <w:r w:rsidR="00041F63" w:rsidRPr="00722131">
        <w:rPr>
          <w:rFonts w:asciiTheme="majorBidi" w:hAnsiTheme="majorBidi" w:cstheme="majorBidi"/>
          <w:b/>
          <w:iCs/>
          <w:sz w:val="26"/>
          <w:szCs w:val="26"/>
        </w:rPr>
        <w:t xml:space="preserve"> quarter 20</w:t>
      </w:r>
      <w:r w:rsidR="00741D4C" w:rsidRPr="00722131">
        <w:rPr>
          <w:rFonts w:asciiTheme="majorBidi" w:hAnsiTheme="majorBidi" w:cstheme="majorBidi"/>
          <w:b/>
          <w:iCs/>
          <w:sz w:val="26"/>
          <w:szCs w:val="26"/>
        </w:rPr>
        <w:t>2</w:t>
      </w:r>
      <w:r w:rsidR="00790086" w:rsidRPr="00722131">
        <w:rPr>
          <w:rFonts w:asciiTheme="majorBidi" w:hAnsiTheme="majorBidi" w:cstheme="majorBidi"/>
          <w:b/>
          <w:iCs/>
          <w:sz w:val="26"/>
          <w:szCs w:val="26"/>
        </w:rPr>
        <w:t>3</w:t>
      </w:r>
    </w:p>
    <w:p w:rsidR="00DB5004" w:rsidRPr="00722131" w:rsidRDefault="00DB5004" w:rsidP="00722131">
      <w:pPr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  <w:rtl/>
        </w:rPr>
      </w:pP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Gross External Debt</w:t>
      </w:r>
      <w:r w:rsidR="001D3A4A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Stock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1D3A4A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on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the Palestinian econom</w:t>
      </w:r>
      <w:r w:rsidR="00F33016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ic sectors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reached USD </w:t>
      </w:r>
      <w:r w:rsidR="001336A8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2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="00042E1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1</w:t>
      </w:r>
      <w:r w:rsidR="00790086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7</w:t>
      </w:r>
      <w:r w:rsidR="00042E1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1</w:t>
      </w:r>
      <w:r w:rsidR="00D13DDD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million</w:t>
      </w:r>
      <w:r w:rsidR="002E060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042E1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de</w:t>
      </w:r>
      <w:r w:rsidR="002E060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creased by </w:t>
      </w:r>
      <w:r w:rsidR="00042E1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1</w:t>
      </w:r>
      <w:r w:rsidR="002E060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 compared with </w:t>
      </w:r>
      <w:r w:rsidR="00C56B7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="002E060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previous quarter</w:t>
      </w:r>
      <w:r w:rsidR="003C16F6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, </w:t>
      </w:r>
      <w:r w:rsidR="00A12E85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decline was concentrated in the banking sector</w:t>
      </w:r>
      <w:r w:rsidR="00A12E85" w:rsidRPr="00722131">
        <w:rPr>
          <w:rStyle w:val="hps"/>
          <w:rFonts w:asciiTheme="majorBidi" w:hAnsiTheme="majorBidi" w:cstheme="majorBidi" w:hint="cs"/>
          <w:b w:val="0"/>
          <w:bCs/>
          <w:i w:val="0"/>
          <w:iCs/>
          <w:sz w:val="26"/>
          <w:szCs w:val="26"/>
          <w:rtl/>
        </w:rPr>
        <w:t xml:space="preserve"> </w:t>
      </w:r>
      <w:r w:rsidR="00A12E85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by about 2%,</w:t>
      </w:r>
      <w:r w:rsidR="009560FE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while the government’s external debt remained stable at</w:t>
      </w:r>
      <w:r w:rsidR="008426B2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about</w:t>
      </w:r>
      <w:r w:rsidR="009560FE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USD </w:t>
      </w:r>
      <w:r w:rsidR="003C16F6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1.3 billion at the end of the f</w:t>
      </w:r>
      <w:r w:rsidR="00790086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irst</w:t>
      </w:r>
      <w:r w:rsidR="003C16F6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quarter of 20</w:t>
      </w:r>
      <w:r w:rsidR="00790086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23</w:t>
      </w:r>
      <w:r w:rsidR="0070585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.</w:t>
      </w:r>
      <w:r w:rsidR="00705853" w:rsidRPr="00722131">
        <w:rPr>
          <w:rStyle w:val="hps"/>
          <w:rFonts w:asciiTheme="majorBidi" w:hAnsiTheme="majorBidi" w:cstheme="majorBidi"/>
          <w:b w:val="0"/>
          <w:bCs/>
          <w:i w:val="0"/>
          <w:iCs/>
          <w:color w:val="FF0000"/>
          <w:sz w:val="26"/>
          <w:szCs w:val="26"/>
        </w:rPr>
        <w:t xml:space="preserve"> </w:t>
      </w:r>
      <w:r w:rsidR="000F23F0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3C16F6" w:rsidRPr="00722131">
        <w:rPr>
          <w:rStyle w:val="hps"/>
          <w:rFonts w:asciiTheme="majorBidi" w:hAnsiTheme="majorBidi" w:cstheme="majorBidi"/>
          <w:b w:val="0"/>
          <w:i w:val="0"/>
          <w:sz w:val="26"/>
          <w:szCs w:val="26"/>
        </w:rPr>
        <w:t xml:space="preserve">The Stock of external debt has been distributed between debt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on </w:t>
      </w:r>
      <w:r w:rsidR="00C56B7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</w:t>
      </w:r>
      <w:r w:rsidR="001D3A4A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general</w:t>
      </w:r>
      <w:r w:rsidR="00C56B7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government sector represented</w:t>
      </w:r>
      <w:r w:rsidR="00D13DDD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790086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60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%, while debt on </w:t>
      </w:r>
      <w:r w:rsidR="00BB2CD8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banking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sector</w:t>
      </w:r>
      <w:r w:rsidR="00CA3846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(deposits of non-residents in banks operating in Palestine)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reached </w:t>
      </w:r>
      <w:r w:rsidR="00042E1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3</w:t>
      </w:r>
      <w:r w:rsidR="00790086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3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%, debt on other sectors (</w:t>
      </w:r>
      <w:r w:rsidR="00B902A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n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on</w:t>
      </w:r>
      <w:r w:rsidR="00D13DDD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-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bank</w:t>
      </w:r>
      <w:r w:rsidR="00F87856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ing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financial </w:t>
      </w:r>
      <w:r w:rsidR="00F87856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institutions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, non-financial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corporations, NGOs</w:t>
      </w:r>
      <w:r w:rsidR="00C56B7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and household sector) amounted to</w:t>
      </w:r>
      <w:r w:rsidR="00D13DDD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496138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5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%,</w:t>
      </w:r>
      <w:r w:rsidR="009D1202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8C3935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and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lending between affiliated companies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reached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496138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2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%.</w:t>
      </w:r>
    </w:p>
    <w:p w:rsidR="00722131" w:rsidRPr="00722131" w:rsidRDefault="00722131" w:rsidP="0072213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722131" w:rsidRDefault="00DB5004" w:rsidP="0072213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International Investment Position</w:t>
      </w:r>
      <w:r w:rsidR="00C23EB0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(IIP) is </w:t>
      </w:r>
      <w:r w:rsidR="009D1202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 statistical record </w:t>
      </w:r>
      <w:r w:rsidR="005B0FB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of</w:t>
      </w:r>
      <w:r w:rsidR="009D1202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investments stocks for the residents in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Palestine (individuals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 institutions</w:t>
      </w:r>
      <w:r w:rsidR="005B0FBB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and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government)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invested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 the rest of the world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(abroad)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under the name of</w:t>
      </w:r>
      <w:r w:rsidR="00C23EB0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(assets)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,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compare</w:t>
      </w:r>
      <w:r w:rsidR="009D1202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d with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investments stocks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owned by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residents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outside Palestine (individuals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 institutions</w:t>
      </w:r>
      <w:r w:rsidR="005B0FBB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and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government)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invested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 Palestine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under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name of (liabilities).</w:t>
      </w:r>
    </w:p>
    <w:p w:rsidR="00DB5004" w:rsidRPr="00722131" w:rsidRDefault="00DB5004" w:rsidP="00722131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722131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  <w:shd w:val="clear" w:color="auto" w:fill="FFFFFF"/>
        </w:rPr>
        <w:lastRenderedPageBreak/>
        <w:t>The Balance of Payments Manual - fifth edition, issued by the International Monetary Fund in 1993, divides the assets and liabilities into direct investment (investment by 10% and more in the non-resident capital)</w:t>
      </w:r>
      <w:r w:rsidR="004A5A58" w:rsidRPr="00722131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  <w:shd w:val="clear" w:color="auto" w:fill="FFFFFF"/>
        </w:rPr>
        <w:t>. P</w:t>
      </w:r>
      <w:r w:rsidRPr="00722131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  <w:shd w:val="clear" w:color="auto" w:fill="FFFFFF"/>
        </w:rPr>
        <w:t>ortfolio investment (investment less than 10% in the non-resident capital as well as investment in bonds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), and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other investments</w:t>
      </w:r>
      <w:r w:rsidR="009D1202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(includes </w:t>
      </w:r>
      <w:r w:rsidRPr="00722131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stocks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of trade credit</w:t>
      </w:r>
      <w:r w:rsidRPr="00722131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, loans, currency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and deposits</w:t>
      </w:r>
      <w:r w:rsidR="005B0FBB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and any</w:t>
      </w:r>
      <w:r w:rsidRPr="00722131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other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assets or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liabilities</w:t>
      </w:r>
      <w:r w:rsidRPr="00722131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)</w:t>
      </w:r>
      <w:r w:rsidR="009D1202" w:rsidRPr="00722131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.</w:t>
      </w:r>
      <w:r w:rsidRPr="00722131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4A5A58" w:rsidRPr="00722131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</w:t>
      </w:r>
      <w:r w:rsidRPr="00722131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n addition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to the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Reserve Assets</w:t>
      </w:r>
      <w:r w:rsidRPr="00722131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, i.e.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Stocks</w:t>
      </w:r>
      <w:r w:rsidR="00C23EB0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held by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Central </w:t>
      </w:r>
      <w:r w:rsidR="00DC1F91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B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anks/ Monetary Authorities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to address the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imbalances</w:t>
      </w:r>
      <w:r w:rsidR="00B51A43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 the balance of</w:t>
      </w:r>
      <w:r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payments</w:t>
      </w:r>
      <w:r w:rsidR="004A5A58" w:rsidRPr="00722131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. I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 is worth mentioning that the reserve assets are only included </w:t>
      </w:r>
      <w:r w:rsidR="00F87856"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on</w:t>
      </w:r>
      <w:r w:rsidRPr="00722131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the asset side. </w:t>
      </w:r>
    </w:p>
    <w:p w:rsidR="00722131" w:rsidRPr="00722131" w:rsidRDefault="00722131" w:rsidP="00722131">
      <w:pPr>
        <w:pStyle w:val="BodyText"/>
        <w:bidi w:val="0"/>
        <w:jc w:val="both"/>
        <w:rPr>
          <w:rStyle w:val="hps"/>
          <w:rFonts w:asciiTheme="majorBidi" w:hAnsiTheme="majorBidi" w:cstheme="majorBidi"/>
          <w:bCs/>
          <w:iCs/>
          <w:sz w:val="16"/>
          <w:szCs w:val="16"/>
        </w:rPr>
      </w:pPr>
    </w:p>
    <w:p w:rsidR="00DB5004" w:rsidRPr="00722131" w:rsidRDefault="00DB5004" w:rsidP="00722131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26"/>
          <w:szCs w:val="26"/>
        </w:rPr>
      </w:pPr>
      <w:r w:rsidRPr="00722131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The External Debt is </w:t>
      </w:r>
      <w:r w:rsidR="004A5A58" w:rsidRPr="00722131">
        <w:rPr>
          <w:rStyle w:val="hps"/>
          <w:rFonts w:asciiTheme="majorBidi" w:hAnsiTheme="majorBidi" w:cstheme="majorBidi"/>
          <w:sz w:val="26"/>
          <w:szCs w:val="26"/>
        </w:rPr>
        <w:t>a statistical record</w:t>
      </w:r>
      <w:r w:rsidR="004A5A58" w:rsidRPr="00722131">
        <w:rPr>
          <w:rStyle w:val="hps"/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r w:rsidR="005B0FBB" w:rsidRPr="00722131">
        <w:rPr>
          <w:rStyle w:val="hps"/>
          <w:rFonts w:asciiTheme="majorBidi" w:hAnsiTheme="majorBidi" w:cstheme="majorBidi"/>
          <w:sz w:val="26"/>
          <w:szCs w:val="26"/>
        </w:rPr>
        <w:t>of</w:t>
      </w:r>
      <w:r w:rsidR="004A5A58" w:rsidRPr="00722131">
        <w:rPr>
          <w:rStyle w:val="hps"/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722131">
        <w:rPr>
          <w:rFonts w:asciiTheme="majorBidi" w:hAnsiTheme="majorBidi" w:cstheme="majorBidi"/>
          <w:bCs/>
          <w:iCs/>
          <w:sz w:val="26"/>
          <w:szCs w:val="26"/>
        </w:rPr>
        <w:t>the debt stocks on Palestinian economic sectors due to non-residents.</w:t>
      </w:r>
      <w:r w:rsidR="00B51A43"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  </w:t>
      </w:r>
      <w:r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These include (loans from non-residents, </w:t>
      </w:r>
      <w:r w:rsidR="00DC1F91" w:rsidRPr="00722131">
        <w:rPr>
          <w:rFonts w:asciiTheme="majorBidi" w:hAnsiTheme="majorBidi" w:cstheme="majorBidi"/>
          <w:bCs/>
          <w:iCs/>
          <w:sz w:val="26"/>
          <w:szCs w:val="26"/>
        </w:rPr>
        <w:t>deposit</w:t>
      </w:r>
      <w:r w:rsidR="00260883" w:rsidRPr="00722131">
        <w:rPr>
          <w:rFonts w:asciiTheme="majorBidi" w:hAnsiTheme="majorBidi" w:cstheme="majorBidi"/>
          <w:bCs/>
          <w:iCs/>
          <w:sz w:val="26"/>
          <w:szCs w:val="26"/>
        </w:rPr>
        <w:t>s</w:t>
      </w:r>
      <w:r w:rsidR="00DC1F91"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 of</w:t>
      </w:r>
      <w:r w:rsidR="00B51A43"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non-residents deposited in the banks </w:t>
      </w:r>
      <w:r w:rsidR="00BB2CD8" w:rsidRPr="00722131">
        <w:rPr>
          <w:rFonts w:asciiTheme="majorBidi" w:hAnsiTheme="majorBidi" w:cstheme="majorBidi"/>
          <w:bCs/>
          <w:iCs/>
          <w:sz w:val="26"/>
          <w:szCs w:val="26"/>
        </w:rPr>
        <w:t>operating</w:t>
      </w:r>
      <w:r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 in Palestine, the Palestinian bonds purchased by non-residents, </w:t>
      </w:r>
      <w:r w:rsidR="005B0FBB"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and </w:t>
      </w:r>
      <w:r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debt transactions between the non-resident enterprises and fellow enterprises in Palestine. They encompass as well any other liabilities </w:t>
      </w:r>
      <w:r w:rsidR="00F87856" w:rsidRPr="00722131">
        <w:rPr>
          <w:rFonts w:asciiTheme="majorBidi" w:hAnsiTheme="majorBidi" w:cstheme="majorBidi"/>
          <w:bCs/>
          <w:iCs/>
          <w:sz w:val="26"/>
          <w:szCs w:val="26"/>
        </w:rPr>
        <w:t>in</w:t>
      </w:r>
      <w:r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5B0FBB"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the </w:t>
      </w:r>
      <w:r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Palestinian economy) the data of external debt have been extracted from the liabilities side in the international investment position matrix (debt items). </w:t>
      </w:r>
      <w:r w:rsidR="004A5A58"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Compiling and disseminating </w:t>
      </w:r>
      <w:r w:rsidRPr="00722131">
        <w:rPr>
          <w:rFonts w:asciiTheme="majorBidi" w:hAnsiTheme="majorBidi" w:cstheme="majorBidi"/>
          <w:bCs/>
          <w:iCs/>
          <w:sz w:val="26"/>
          <w:szCs w:val="26"/>
        </w:rPr>
        <w:t>the data based on (</w:t>
      </w:r>
      <w:r w:rsidR="005B0FBB"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The </w:t>
      </w:r>
      <w:r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External Debt Statistics Manual) issued by IMF in 2003, </w:t>
      </w:r>
      <w:r w:rsidR="004A5A58"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which </w:t>
      </w:r>
      <w:r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is harmonized with </w:t>
      </w:r>
      <w:r w:rsidR="00E85A96"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the </w:t>
      </w:r>
      <w:r w:rsidR="00AF576D" w:rsidRPr="00722131">
        <w:rPr>
          <w:rFonts w:asciiTheme="majorBidi" w:hAnsiTheme="majorBidi" w:cstheme="majorBidi"/>
          <w:bCs/>
          <w:iCs/>
          <w:sz w:val="26"/>
          <w:szCs w:val="26"/>
        </w:rPr>
        <w:t>fifth</w:t>
      </w:r>
      <w:r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 edition of </w:t>
      </w:r>
      <w:r w:rsidR="005B0FBB" w:rsidRPr="00722131">
        <w:rPr>
          <w:rFonts w:asciiTheme="majorBidi" w:hAnsiTheme="majorBidi" w:cstheme="majorBidi"/>
          <w:bCs/>
          <w:iCs/>
          <w:sz w:val="26"/>
          <w:szCs w:val="26"/>
        </w:rPr>
        <w:t xml:space="preserve">the </w:t>
      </w:r>
      <w:r w:rsidRPr="00722131">
        <w:rPr>
          <w:rFonts w:asciiTheme="majorBidi" w:hAnsiTheme="majorBidi" w:cstheme="majorBidi"/>
          <w:bCs/>
          <w:iCs/>
          <w:sz w:val="26"/>
          <w:szCs w:val="26"/>
        </w:rPr>
        <w:t>Balance of Payments Manual</w:t>
      </w:r>
      <w:r w:rsidR="00E85A96" w:rsidRPr="00722131">
        <w:rPr>
          <w:rFonts w:asciiTheme="majorBidi" w:hAnsiTheme="majorBidi" w:cstheme="majorBidi"/>
          <w:bCs/>
          <w:iCs/>
          <w:sz w:val="26"/>
          <w:szCs w:val="26"/>
        </w:rPr>
        <w:t>.</w:t>
      </w:r>
    </w:p>
    <w:p w:rsidR="00DB5004" w:rsidRPr="00722131" w:rsidRDefault="00DB5004" w:rsidP="00722131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26"/>
          <w:szCs w:val="26"/>
        </w:rPr>
      </w:pPr>
    </w:p>
    <w:p w:rsidR="00DB5004" w:rsidRPr="00F149B2" w:rsidRDefault="00DB5004" w:rsidP="00722131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  <w:bookmarkStart w:id="0" w:name="_GoBack"/>
      <w:bookmarkEnd w:id="0"/>
    </w:p>
    <w:p w:rsidR="00DB5004" w:rsidRPr="00F149B2" w:rsidRDefault="00DB5004" w:rsidP="00722131">
      <w:pPr>
        <w:spacing w:before="120" w:after="120"/>
        <w:rPr>
          <w:rFonts w:asciiTheme="majorBidi" w:hAnsiTheme="majorBidi" w:cstheme="majorBidi"/>
          <w:b w:val="0"/>
          <w:bCs/>
          <w:i w:val="0"/>
          <w:iCs/>
        </w:rPr>
      </w:pPr>
      <w:r w:rsidRPr="00F149B2">
        <w:rPr>
          <w:rFonts w:asciiTheme="majorBidi" w:hAnsiTheme="majorBidi" w:cstheme="majorBidi"/>
          <w:b w:val="0"/>
          <w:bCs/>
          <w:i w:val="0"/>
          <w:iCs/>
        </w:rPr>
        <w:br w:type="page"/>
      </w:r>
    </w:p>
    <w:p w:rsidR="00DB5004" w:rsidRPr="00722131" w:rsidRDefault="00DB5004" w:rsidP="00722131">
      <w:pPr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722131">
        <w:rPr>
          <w:rFonts w:asciiTheme="majorBidi" w:hAnsiTheme="majorBidi" w:cstheme="majorBidi"/>
          <w:i w:val="0"/>
          <w:iCs/>
          <w:sz w:val="28"/>
          <w:szCs w:val="28"/>
        </w:rPr>
        <w:lastRenderedPageBreak/>
        <w:t xml:space="preserve">Table 1: International Investment Position (IIP) </w:t>
      </w:r>
      <w:r w:rsidR="006D61E4"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Stock </w:t>
      </w:r>
      <w:r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by Economic Sectors </w:t>
      </w:r>
      <w:r w:rsidR="006D61E4"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for </w:t>
      </w:r>
      <w:r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Palestine, at the </w:t>
      </w:r>
      <w:r w:rsidR="00112F30" w:rsidRPr="00722131">
        <w:rPr>
          <w:rFonts w:asciiTheme="majorBidi" w:hAnsiTheme="majorBidi" w:cstheme="majorBidi"/>
          <w:i w:val="0"/>
          <w:iCs/>
          <w:sz w:val="28"/>
          <w:szCs w:val="28"/>
        </w:rPr>
        <w:t>e</w:t>
      </w:r>
      <w:r w:rsidR="006D61E4"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nd </w:t>
      </w:r>
      <w:r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  <w:r w:rsidR="00042E1B" w:rsidRPr="00722131">
        <w:rPr>
          <w:rFonts w:asciiTheme="majorBidi" w:hAnsiTheme="majorBidi" w:cstheme="majorBidi"/>
          <w:i w:val="0"/>
          <w:iCs/>
          <w:sz w:val="28"/>
          <w:szCs w:val="28"/>
        </w:rPr>
        <w:t>F</w:t>
      </w:r>
      <w:r w:rsidR="00790086" w:rsidRPr="00722131">
        <w:rPr>
          <w:rFonts w:asciiTheme="majorBidi" w:hAnsiTheme="majorBidi" w:cstheme="majorBidi"/>
          <w:i w:val="0"/>
          <w:iCs/>
          <w:sz w:val="28"/>
          <w:szCs w:val="28"/>
        </w:rPr>
        <w:t>irst</w:t>
      </w:r>
      <w:r w:rsidR="00CB0325"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722131">
        <w:rPr>
          <w:rFonts w:asciiTheme="majorBidi" w:hAnsiTheme="majorBidi" w:cstheme="majorBidi"/>
          <w:i w:val="0"/>
          <w:iCs/>
          <w:sz w:val="28"/>
          <w:szCs w:val="28"/>
        </w:rPr>
        <w:t>Quarter</w:t>
      </w:r>
      <w:r w:rsidR="00E85A96" w:rsidRPr="00722131">
        <w:rPr>
          <w:rFonts w:asciiTheme="majorBidi" w:hAnsiTheme="majorBidi" w:cstheme="majorBidi"/>
          <w:i w:val="0"/>
          <w:iCs/>
          <w:sz w:val="28"/>
          <w:szCs w:val="28"/>
        </w:rPr>
        <w:t>,</w:t>
      </w:r>
      <w:r w:rsidR="00CB0325"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722131">
        <w:rPr>
          <w:rFonts w:asciiTheme="majorBidi" w:hAnsiTheme="majorBidi" w:cstheme="majorBidi"/>
          <w:i w:val="0"/>
          <w:iCs/>
          <w:sz w:val="28"/>
          <w:szCs w:val="28"/>
        </w:rPr>
        <w:t>20</w:t>
      </w:r>
      <w:r w:rsidR="00C50347" w:rsidRPr="00722131">
        <w:rPr>
          <w:rFonts w:asciiTheme="majorBidi" w:hAnsiTheme="majorBidi" w:cstheme="majorBidi"/>
          <w:i w:val="0"/>
          <w:iCs/>
          <w:sz w:val="28"/>
          <w:szCs w:val="28"/>
        </w:rPr>
        <w:t>2</w:t>
      </w:r>
      <w:r w:rsidR="00790086" w:rsidRPr="00722131">
        <w:rPr>
          <w:rFonts w:asciiTheme="majorBidi" w:hAnsiTheme="majorBidi" w:cstheme="majorBidi"/>
          <w:i w:val="0"/>
          <w:iCs/>
          <w:sz w:val="28"/>
          <w:szCs w:val="28"/>
        </w:rPr>
        <w:t>3</w:t>
      </w:r>
    </w:p>
    <w:p w:rsidR="00DB5004" w:rsidRPr="00F149B2" w:rsidRDefault="00DB5004" w:rsidP="00722131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722131" w:rsidRDefault="00B51A43" w:rsidP="00722131">
      <w:pPr>
        <w:ind w:left="-851" w:right="3631" w:hanging="142"/>
        <w:contextualSpacing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722131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   </w:t>
      </w:r>
      <w:r w:rsidR="00722131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    </w:t>
      </w:r>
      <w:r w:rsidR="00DB5004" w:rsidRPr="00722131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Value in million USD</w:t>
      </w:r>
    </w:p>
    <w:tbl>
      <w:tblPr>
        <w:bidiVisual/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1095"/>
        <w:gridCol w:w="1701"/>
        <w:gridCol w:w="989"/>
        <w:gridCol w:w="1136"/>
        <w:gridCol w:w="1420"/>
        <w:gridCol w:w="3400"/>
      </w:tblGrid>
      <w:tr w:rsidR="00DB5004" w:rsidRPr="00722131" w:rsidTr="00722131">
        <w:trPr>
          <w:trHeight w:val="284"/>
          <w:jc w:val="center"/>
        </w:trPr>
        <w:tc>
          <w:tcPr>
            <w:tcW w:w="499" w:type="pct"/>
            <w:vMerge w:val="restart"/>
            <w:vAlign w:val="center"/>
          </w:tcPr>
          <w:p w:rsidR="00DB5004" w:rsidRPr="00722131" w:rsidRDefault="00DB5004" w:rsidP="00722131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TOTAL</w:t>
            </w:r>
          </w:p>
        </w:tc>
        <w:tc>
          <w:tcPr>
            <w:tcW w:w="1292" w:type="pct"/>
            <w:gridSpan w:val="2"/>
            <w:vAlign w:val="center"/>
          </w:tcPr>
          <w:p w:rsidR="00DB5004" w:rsidRPr="00722131" w:rsidRDefault="00DB5004" w:rsidP="00722131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  <w:tc>
          <w:tcPr>
            <w:tcW w:w="457" w:type="pct"/>
            <w:vMerge w:val="restart"/>
            <w:vAlign w:val="center"/>
          </w:tcPr>
          <w:p w:rsidR="00DB5004" w:rsidRPr="00722131" w:rsidRDefault="00DB5004" w:rsidP="00722131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Banks Sector</w:t>
            </w:r>
          </w:p>
        </w:tc>
        <w:tc>
          <w:tcPr>
            <w:tcW w:w="525" w:type="pct"/>
            <w:vMerge w:val="restart"/>
            <w:vAlign w:val="center"/>
          </w:tcPr>
          <w:p w:rsidR="00DB5004" w:rsidRPr="00722131" w:rsidRDefault="001D3A4A" w:rsidP="00722131">
            <w:pPr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 xml:space="preserve">General </w:t>
            </w:r>
            <w:r w:rsidR="00DB5004" w:rsidRPr="00722131">
              <w:rPr>
                <w:rFonts w:asciiTheme="majorBidi" w:hAnsiTheme="majorBidi" w:cstheme="majorBidi"/>
                <w:i w:val="0"/>
                <w:iCs/>
              </w:rPr>
              <w:t>Government Sector</w:t>
            </w:r>
          </w:p>
        </w:tc>
        <w:tc>
          <w:tcPr>
            <w:tcW w:w="656" w:type="pct"/>
            <w:vMerge w:val="restart"/>
            <w:vAlign w:val="center"/>
          </w:tcPr>
          <w:p w:rsidR="00DB5004" w:rsidRPr="00722131" w:rsidRDefault="00DB5004" w:rsidP="00722131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Monetary Authorities (PMA)</w:t>
            </w:r>
          </w:p>
        </w:tc>
        <w:tc>
          <w:tcPr>
            <w:tcW w:w="1571" w:type="pct"/>
            <w:vMerge w:val="restart"/>
          </w:tcPr>
          <w:p w:rsidR="00DB5004" w:rsidRPr="00722131" w:rsidRDefault="00722131" w:rsidP="00722131">
            <w:pPr>
              <w:ind w:left="720"/>
              <w:rPr>
                <w:rFonts w:asciiTheme="majorBidi" w:hAnsiTheme="majorBidi" w:cstheme="majorBidi"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52070</wp:posOffset>
                      </wp:positionV>
                      <wp:extent cx="2105025" cy="1314450"/>
                      <wp:effectExtent l="0" t="0" r="2857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314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3E6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2.3pt;margin-top:4.1pt;width:165.75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"/>
                  </w:pict>
                </mc:Fallback>
              </mc:AlternateContent>
            </w:r>
            <w:r w:rsidR="004B6F4B" w:rsidRPr="00722131">
              <w:rPr>
                <w:rFonts w:asciiTheme="majorBidi" w:hAnsiTheme="majorBidi" w:cstheme="majorBidi"/>
                <w:i w:val="0"/>
                <w:iCs/>
              </w:rPr>
              <w:t xml:space="preserve">    </w:t>
            </w:r>
            <w:r w:rsidR="00DB5004" w:rsidRPr="00722131">
              <w:rPr>
                <w:rFonts w:asciiTheme="majorBidi" w:hAnsiTheme="majorBidi" w:cstheme="majorBidi"/>
                <w:i w:val="0"/>
                <w:iCs/>
              </w:rPr>
              <w:t>Economic Sector</w:t>
            </w:r>
          </w:p>
          <w:p w:rsidR="00DB5004" w:rsidRPr="00722131" w:rsidRDefault="00DB5004" w:rsidP="0072213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722131" w:rsidRDefault="00DB5004" w:rsidP="0072213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722131" w:rsidRDefault="00DB5004" w:rsidP="0072213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722131" w:rsidRDefault="00DB5004" w:rsidP="0072213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722131" w:rsidRDefault="00DB5004" w:rsidP="0072213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</w:p>
          <w:p w:rsidR="00DB5004" w:rsidRPr="00722131" w:rsidRDefault="00DB5004" w:rsidP="0072213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Investments Stocks by</w:t>
            </w:r>
          </w:p>
          <w:p w:rsidR="00DB5004" w:rsidRPr="00722131" w:rsidRDefault="00DB5004" w:rsidP="0072213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Type of Investment</w:t>
            </w:r>
          </w:p>
        </w:tc>
      </w:tr>
      <w:tr w:rsidR="00DB5004" w:rsidRPr="00722131" w:rsidTr="00722131">
        <w:trPr>
          <w:trHeight w:val="1492"/>
          <w:jc w:val="center"/>
        </w:trPr>
        <w:tc>
          <w:tcPr>
            <w:tcW w:w="499" w:type="pct"/>
            <w:vMerge/>
            <w:vAlign w:val="center"/>
          </w:tcPr>
          <w:p w:rsidR="00DB5004" w:rsidRPr="00722131" w:rsidRDefault="00DB5004" w:rsidP="00722131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</w:p>
        </w:tc>
        <w:tc>
          <w:tcPr>
            <w:tcW w:w="506" w:type="pct"/>
            <w:vAlign w:val="center"/>
          </w:tcPr>
          <w:p w:rsidR="00DB5004" w:rsidRPr="00722131" w:rsidRDefault="00DB5004" w:rsidP="00722131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House- Holds Sector</w:t>
            </w:r>
          </w:p>
        </w:tc>
        <w:tc>
          <w:tcPr>
            <w:tcW w:w="786" w:type="pct"/>
            <w:vAlign w:val="center"/>
          </w:tcPr>
          <w:p w:rsidR="00DB5004" w:rsidRPr="00722131" w:rsidRDefault="00DB5004" w:rsidP="00722131">
            <w:pPr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Non</w:t>
            </w:r>
            <w:r w:rsidR="00D13DDD" w:rsidRPr="00722131">
              <w:rPr>
                <w:rFonts w:asciiTheme="majorBidi" w:hAnsiTheme="majorBidi" w:cstheme="majorBidi"/>
                <w:i w:val="0"/>
                <w:iCs/>
              </w:rPr>
              <w:t>-</w:t>
            </w:r>
            <w:r w:rsidRPr="00722131">
              <w:rPr>
                <w:rFonts w:asciiTheme="majorBidi" w:hAnsiTheme="majorBidi" w:cstheme="majorBidi"/>
                <w:i w:val="0"/>
                <w:iCs/>
              </w:rPr>
              <w:t>bank Financial Corporations, Non-Financial Corporations, and NGOs Sector</w:t>
            </w:r>
          </w:p>
        </w:tc>
        <w:tc>
          <w:tcPr>
            <w:tcW w:w="457" w:type="pct"/>
            <w:vMerge/>
          </w:tcPr>
          <w:p w:rsidR="00DB5004" w:rsidRPr="00722131" w:rsidRDefault="00DB5004" w:rsidP="00722131">
            <w:pPr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525" w:type="pct"/>
            <w:vMerge/>
          </w:tcPr>
          <w:p w:rsidR="00DB5004" w:rsidRPr="00722131" w:rsidRDefault="00DB5004" w:rsidP="00722131">
            <w:pPr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656" w:type="pct"/>
            <w:vMerge/>
            <w:vAlign w:val="center"/>
          </w:tcPr>
          <w:p w:rsidR="00DB5004" w:rsidRPr="00722131" w:rsidRDefault="00DB5004" w:rsidP="00722131">
            <w:pPr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1571" w:type="pct"/>
            <w:vMerge/>
          </w:tcPr>
          <w:p w:rsidR="00DB5004" w:rsidRPr="00722131" w:rsidRDefault="00DB5004" w:rsidP="00722131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790086" w:rsidRPr="00722131" w:rsidTr="00722131">
        <w:trPr>
          <w:trHeight w:val="284"/>
          <w:jc w:val="center"/>
        </w:trPr>
        <w:tc>
          <w:tcPr>
            <w:tcW w:w="499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3,327 </w:t>
            </w:r>
          </w:p>
        </w:tc>
        <w:tc>
          <w:tcPr>
            <w:tcW w:w="506" w:type="pct"/>
            <w:vAlign w:val="bottom"/>
          </w:tcPr>
          <w:p w:rsidR="00790086" w:rsidRPr="00722131" w:rsidRDefault="00D1268B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>-1,023</w:t>
            </w:r>
          </w:p>
        </w:tc>
        <w:tc>
          <w:tcPr>
            <w:tcW w:w="786" w:type="pct"/>
            <w:vAlign w:val="bottom"/>
          </w:tcPr>
          <w:p w:rsidR="00790086" w:rsidRPr="00722131" w:rsidRDefault="00D1268B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>-785</w:t>
            </w:r>
          </w:p>
        </w:tc>
        <w:tc>
          <w:tcPr>
            <w:tcW w:w="457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4,247 </w:t>
            </w:r>
          </w:p>
        </w:tc>
        <w:tc>
          <w:tcPr>
            <w:tcW w:w="525" w:type="pct"/>
            <w:vAlign w:val="bottom"/>
          </w:tcPr>
          <w:p w:rsidR="00790086" w:rsidRPr="00722131" w:rsidRDefault="00D1268B" w:rsidP="00722131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>-624</w:t>
            </w:r>
          </w:p>
        </w:tc>
        <w:tc>
          <w:tcPr>
            <w:tcW w:w="65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1,512 </w:t>
            </w:r>
          </w:p>
        </w:tc>
        <w:tc>
          <w:tcPr>
            <w:tcW w:w="1571" w:type="pct"/>
            <w:vAlign w:val="center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International Investment Position (net)*</w:t>
            </w:r>
          </w:p>
        </w:tc>
      </w:tr>
      <w:tr w:rsidR="00790086" w:rsidRPr="00722131" w:rsidTr="00722131">
        <w:trPr>
          <w:trHeight w:val="284"/>
          <w:jc w:val="center"/>
        </w:trPr>
        <w:tc>
          <w:tcPr>
            <w:tcW w:w="499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9,741 </w:t>
            </w:r>
          </w:p>
        </w:tc>
        <w:tc>
          <w:tcPr>
            <w:tcW w:w="50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60 </w:t>
            </w:r>
          </w:p>
        </w:tc>
        <w:tc>
          <w:tcPr>
            <w:tcW w:w="78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849 </w:t>
            </w:r>
          </w:p>
        </w:tc>
        <w:tc>
          <w:tcPr>
            <w:tcW w:w="457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6,644 </w:t>
            </w:r>
          </w:p>
        </w:tc>
        <w:tc>
          <w:tcPr>
            <w:tcW w:w="525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676 </w:t>
            </w:r>
          </w:p>
        </w:tc>
        <w:tc>
          <w:tcPr>
            <w:tcW w:w="65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1,512 </w:t>
            </w:r>
          </w:p>
        </w:tc>
        <w:tc>
          <w:tcPr>
            <w:tcW w:w="1571" w:type="pct"/>
            <w:vAlign w:val="center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 xml:space="preserve">Total External Assets </w:t>
            </w:r>
          </w:p>
        </w:tc>
      </w:tr>
      <w:tr w:rsidR="00790086" w:rsidRPr="00722131" w:rsidTr="00722131">
        <w:trPr>
          <w:trHeight w:val="284"/>
          <w:jc w:val="center"/>
        </w:trPr>
        <w:tc>
          <w:tcPr>
            <w:tcW w:w="499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318 </w:t>
            </w:r>
          </w:p>
        </w:tc>
        <w:tc>
          <w:tcPr>
            <w:tcW w:w="50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25 </w:t>
            </w:r>
          </w:p>
        </w:tc>
        <w:tc>
          <w:tcPr>
            <w:tcW w:w="78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293 </w:t>
            </w:r>
          </w:p>
        </w:tc>
        <w:tc>
          <w:tcPr>
            <w:tcW w:w="457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525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65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1571" w:type="pct"/>
            <w:vAlign w:val="center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Foreign Direct Investment Abroad</w:t>
            </w:r>
          </w:p>
        </w:tc>
      </w:tr>
      <w:tr w:rsidR="00790086" w:rsidRPr="00722131" w:rsidTr="00722131">
        <w:trPr>
          <w:trHeight w:val="284"/>
          <w:jc w:val="center"/>
        </w:trPr>
        <w:tc>
          <w:tcPr>
            <w:tcW w:w="499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1,660 </w:t>
            </w:r>
          </w:p>
        </w:tc>
        <w:tc>
          <w:tcPr>
            <w:tcW w:w="50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78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499 </w:t>
            </w:r>
          </w:p>
        </w:tc>
        <w:tc>
          <w:tcPr>
            <w:tcW w:w="457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1,008 </w:t>
            </w:r>
          </w:p>
        </w:tc>
        <w:tc>
          <w:tcPr>
            <w:tcW w:w="525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65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153 </w:t>
            </w:r>
          </w:p>
        </w:tc>
        <w:tc>
          <w:tcPr>
            <w:tcW w:w="1571" w:type="pct"/>
            <w:vAlign w:val="center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Portfolio Investments Abroad</w:t>
            </w:r>
          </w:p>
        </w:tc>
      </w:tr>
      <w:tr w:rsidR="00790086" w:rsidRPr="00722131" w:rsidTr="00722131">
        <w:trPr>
          <w:trHeight w:val="284"/>
          <w:jc w:val="center"/>
        </w:trPr>
        <w:tc>
          <w:tcPr>
            <w:tcW w:w="499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6,585 </w:t>
            </w:r>
          </w:p>
        </w:tc>
        <w:tc>
          <w:tcPr>
            <w:tcW w:w="50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35 </w:t>
            </w:r>
          </w:p>
        </w:tc>
        <w:tc>
          <w:tcPr>
            <w:tcW w:w="78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57 </w:t>
            </w:r>
          </w:p>
        </w:tc>
        <w:tc>
          <w:tcPr>
            <w:tcW w:w="457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5,636 </w:t>
            </w:r>
          </w:p>
        </w:tc>
        <w:tc>
          <w:tcPr>
            <w:tcW w:w="525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676 </w:t>
            </w:r>
          </w:p>
        </w:tc>
        <w:tc>
          <w:tcPr>
            <w:tcW w:w="65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181 </w:t>
            </w:r>
          </w:p>
        </w:tc>
        <w:tc>
          <w:tcPr>
            <w:tcW w:w="1571" w:type="pct"/>
            <w:vAlign w:val="center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Other Investments Abroad</w:t>
            </w:r>
          </w:p>
        </w:tc>
      </w:tr>
      <w:tr w:rsidR="00790086" w:rsidRPr="00722131" w:rsidTr="00722131">
        <w:trPr>
          <w:trHeight w:val="284"/>
          <w:jc w:val="center"/>
        </w:trPr>
        <w:tc>
          <w:tcPr>
            <w:tcW w:w="499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5,822 </w:t>
            </w:r>
          </w:p>
        </w:tc>
        <w:tc>
          <w:tcPr>
            <w:tcW w:w="50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35 </w:t>
            </w:r>
          </w:p>
        </w:tc>
        <w:tc>
          <w:tcPr>
            <w:tcW w:w="78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2 </w:t>
            </w:r>
          </w:p>
        </w:tc>
        <w:tc>
          <w:tcPr>
            <w:tcW w:w="457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5,604 </w:t>
            </w:r>
          </w:p>
        </w:tc>
        <w:tc>
          <w:tcPr>
            <w:tcW w:w="525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65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181 </w:t>
            </w:r>
          </w:p>
        </w:tc>
        <w:tc>
          <w:tcPr>
            <w:tcW w:w="1571" w:type="pct"/>
            <w:vAlign w:val="center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</w:rPr>
              <w:t xml:space="preserve">      Of which: currency and deposits**</w:t>
            </w:r>
          </w:p>
        </w:tc>
      </w:tr>
      <w:tr w:rsidR="00790086" w:rsidRPr="00722131" w:rsidTr="00722131">
        <w:trPr>
          <w:trHeight w:val="284"/>
          <w:jc w:val="center"/>
        </w:trPr>
        <w:tc>
          <w:tcPr>
            <w:tcW w:w="499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1,178 </w:t>
            </w:r>
          </w:p>
        </w:tc>
        <w:tc>
          <w:tcPr>
            <w:tcW w:w="50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78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457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525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65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1,178 </w:t>
            </w:r>
          </w:p>
        </w:tc>
        <w:tc>
          <w:tcPr>
            <w:tcW w:w="1571" w:type="pct"/>
            <w:vAlign w:val="center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Reserve Assets</w:t>
            </w:r>
          </w:p>
        </w:tc>
      </w:tr>
      <w:tr w:rsidR="00790086" w:rsidRPr="00722131" w:rsidTr="00722131">
        <w:trPr>
          <w:trHeight w:val="284"/>
          <w:jc w:val="center"/>
        </w:trPr>
        <w:tc>
          <w:tcPr>
            <w:tcW w:w="499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6,414 </w:t>
            </w:r>
          </w:p>
        </w:tc>
        <w:tc>
          <w:tcPr>
            <w:tcW w:w="50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1,083 </w:t>
            </w:r>
          </w:p>
        </w:tc>
        <w:tc>
          <w:tcPr>
            <w:tcW w:w="78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1,634 </w:t>
            </w:r>
          </w:p>
        </w:tc>
        <w:tc>
          <w:tcPr>
            <w:tcW w:w="457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2,397 </w:t>
            </w:r>
          </w:p>
        </w:tc>
        <w:tc>
          <w:tcPr>
            <w:tcW w:w="525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 1,300 </w:t>
            </w:r>
          </w:p>
        </w:tc>
        <w:tc>
          <w:tcPr>
            <w:tcW w:w="65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1571" w:type="pct"/>
            <w:vAlign w:val="center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 xml:space="preserve">Total Foreign Liabilities </w:t>
            </w:r>
          </w:p>
        </w:tc>
      </w:tr>
      <w:tr w:rsidR="00790086" w:rsidRPr="00722131" w:rsidTr="00722131">
        <w:trPr>
          <w:trHeight w:val="284"/>
          <w:jc w:val="center"/>
        </w:trPr>
        <w:tc>
          <w:tcPr>
            <w:tcW w:w="499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3,387 </w:t>
            </w:r>
          </w:p>
        </w:tc>
        <w:tc>
          <w:tcPr>
            <w:tcW w:w="50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1,083 </w:t>
            </w:r>
          </w:p>
        </w:tc>
        <w:tc>
          <w:tcPr>
            <w:tcW w:w="78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934 </w:t>
            </w:r>
          </w:p>
        </w:tc>
        <w:tc>
          <w:tcPr>
            <w:tcW w:w="457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1,370 </w:t>
            </w:r>
          </w:p>
        </w:tc>
        <w:tc>
          <w:tcPr>
            <w:tcW w:w="525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65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1571" w:type="pct"/>
            <w:vAlign w:val="center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Foreign Direct Investment in Palestine</w:t>
            </w:r>
          </w:p>
        </w:tc>
      </w:tr>
      <w:tr w:rsidR="00790086" w:rsidRPr="00722131" w:rsidTr="00722131">
        <w:trPr>
          <w:trHeight w:val="284"/>
          <w:jc w:val="center"/>
        </w:trPr>
        <w:tc>
          <w:tcPr>
            <w:tcW w:w="499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897 </w:t>
            </w:r>
          </w:p>
        </w:tc>
        <w:tc>
          <w:tcPr>
            <w:tcW w:w="50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78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596 </w:t>
            </w:r>
          </w:p>
        </w:tc>
        <w:tc>
          <w:tcPr>
            <w:tcW w:w="457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301 </w:t>
            </w:r>
          </w:p>
        </w:tc>
        <w:tc>
          <w:tcPr>
            <w:tcW w:w="525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65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1571" w:type="pct"/>
            <w:vAlign w:val="center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Foreign Portfolio Investments in Palestine</w:t>
            </w:r>
          </w:p>
        </w:tc>
      </w:tr>
      <w:tr w:rsidR="00790086" w:rsidRPr="00722131" w:rsidTr="00722131">
        <w:trPr>
          <w:trHeight w:val="284"/>
          <w:jc w:val="center"/>
        </w:trPr>
        <w:tc>
          <w:tcPr>
            <w:tcW w:w="499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2,130 </w:t>
            </w:r>
          </w:p>
        </w:tc>
        <w:tc>
          <w:tcPr>
            <w:tcW w:w="50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78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104 </w:t>
            </w:r>
          </w:p>
        </w:tc>
        <w:tc>
          <w:tcPr>
            <w:tcW w:w="457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726 </w:t>
            </w:r>
          </w:p>
        </w:tc>
        <w:tc>
          <w:tcPr>
            <w:tcW w:w="525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1,300 </w:t>
            </w:r>
          </w:p>
        </w:tc>
        <w:tc>
          <w:tcPr>
            <w:tcW w:w="65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1571" w:type="pct"/>
            <w:vAlign w:val="center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Foreign Other Investments in Palestine:</w:t>
            </w:r>
          </w:p>
        </w:tc>
      </w:tr>
      <w:tr w:rsidR="00790086" w:rsidRPr="00722131" w:rsidTr="00722131">
        <w:trPr>
          <w:trHeight w:val="284"/>
          <w:jc w:val="center"/>
        </w:trPr>
        <w:tc>
          <w:tcPr>
            <w:tcW w:w="499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1,501 </w:t>
            </w:r>
          </w:p>
        </w:tc>
        <w:tc>
          <w:tcPr>
            <w:tcW w:w="50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78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104 </w:t>
            </w:r>
          </w:p>
        </w:tc>
        <w:tc>
          <w:tcPr>
            <w:tcW w:w="457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97 </w:t>
            </w:r>
          </w:p>
        </w:tc>
        <w:tc>
          <w:tcPr>
            <w:tcW w:w="525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1,300 </w:t>
            </w:r>
          </w:p>
        </w:tc>
        <w:tc>
          <w:tcPr>
            <w:tcW w:w="656" w:type="pct"/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1571" w:type="pct"/>
            <w:vAlign w:val="center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</w:rPr>
              <w:t xml:space="preserve">      Of which: loans from abroad</w:t>
            </w:r>
          </w:p>
        </w:tc>
      </w:tr>
      <w:tr w:rsidR="00790086" w:rsidRPr="00722131" w:rsidTr="00722131">
        <w:trPr>
          <w:trHeight w:val="284"/>
          <w:jc w:val="center"/>
        </w:trPr>
        <w:tc>
          <w:tcPr>
            <w:tcW w:w="499" w:type="pct"/>
            <w:tcBorders>
              <w:bottom w:val="single" w:sz="4" w:space="0" w:color="auto"/>
            </w:tcBorders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629 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 629 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bottom"/>
          </w:tcPr>
          <w:p w:rsidR="00790086" w:rsidRPr="00722131" w:rsidRDefault="00790086" w:rsidP="0072213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 xml:space="preserve">0 </w:t>
            </w:r>
          </w:p>
        </w:tc>
        <w:tc>
          <w:tcPr>
            <w:tcW w:w="1571" w:type="pct"/>
            <w:tcBorders>
              <w:bottom w:val="single" w:sz="4" w:space="0" w:color="auto"/>
            </w:tcBorders>
            <w:vAlign w:val="center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</w:rPr>
              <w:t xml:space="preserve">      Of which: currency and deposits***</w:t>
            </w:r>
          </w:p>
        </w:tc>
      </w:tr>
    </w:tbl>
    <w:p w:rsidR="00DB5004" w:rsidRPr="00F149B2" w:rsidRDefault="00DB5004" w:rsidP="00722131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722131" w:rsidRDefault="00DB5004" w:rsidP="00722131">
      <w:pPr>
        <w:spacing w:after="120"/>
        <w:ind w:left="-567" w:right="142"/>
        <w:rPr>
          <w:rFonts w:asciiTheme="majorBidi" w:hAnsiTheme="majorBidi" w:cstheme="majorBidi"/>
          <w:b w:val="0"/>
          <w:bCs/>
          <w:sz w:val="20"/>
          <w:szCs w:val="20"/>
        </w:rPr>
      </w:pPr>
      <w:r w:rsidRPr="00722131">
        <w:rPr>
          <w:rFonts w:asciiTheme="majorBidi" w:hAnsiTheme="majorBidi" w:cstheme="majorBidi"/>
          <w:sz w:val="20"/>
          <w:szCs w:val="20"/>
        </w:rPr>
        <w:t>Notes</w:t>
      </w:r>
      <w:r w:rsidRPr="00722131">
        <w:rPr>
          <w:rFonts w:asciiTheme="majorBidi" w:hAnsiTheme="majorBidi" w:cstheme="majorBidi"/>
          <w:b w:val="0"/>
          <w:bCs/>
          <w:sz w:val="20"/>
          <w:szCs w:val="20"/>
        </w:rPr>
        <w:t xml:space="preserve">: </w:t>
      </w:r>
    </w:p>
    <w:p w:rsidR="00DB5004" w:rsidRPr="00722131" w:rsidRDefault="00DB5004" w:rsidP="00722131">
      <w:pPr>
        <w:pStyle w:val="ListParagraph"/>
        <w:spacing w:after="120"/>
        <w:ind w:left="-567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in the above table are close to the nearest integer.</w:t>
      </w:r>
    </w:p>
    <w:p w:rsidR="00DB5004" w:rsidRPr="00722131" w:rsidRDefault="00DB5004" w:rsidP="00722131">
      <w:pPr>
        <w:pStyle w:val="ListParagraph"/>
        <w:spacing w:after="120"/>
        <w:ind w:left="-567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does not include the value of land owned by non-residents.</w:t>
      </w:r>
    </w:p>
    <w:p w:rsidR="00DB5004" w:rsidRPr="00722131" w:rsidRDefault="00DB5004" w:rsidP="00722131">
      <w:pPr>
        <w:spacing w:after="120"/>
        <w:ind w:left="-567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  <w:rtl/>
        </w:rPr>
      </w:pPr>
      <w:r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 International investment position (net): equals total external assets minus total foreign liabilities.</w:t>
      </w:r>
    </w:p>
    <w:p w:rsidR="00DB5004" w:rsidRPr="00722131" w:rsidRDefault="00722131" w:rsidP="00722131">
      <w:pPr>
        <w:spacing w:after="120"/>
        <w:ind w:left="-567" w:right="-45" w:hanging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  </w:t>
      </w:r>
      <w:r w:rsidR="00DB5004"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** Currency and deposits: Includ</w:t>
      </w:r>
      <w:r w:rsidR="00840C31"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</w:t>
      </w:r>
      <w:r w:rsidR="004B6F4B"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</w:t>
      </w:r>
      <w:r w:rsidR="00112F30"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the </w:t>
      </w:r>
      <w:proofErr w:type="gramStart"/>
      <w:r w:rsidR="00DB5004"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residents</w:t>
      </w:r>
      <w:proofErr w:type="gramEnd"/>
      <w:r w:rsidR="00DB5004"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deposits in banks abroad, in addition to foreign </w:t>
      </w:r>
      <w:r w:rsidR="00AF576D"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exchange</w:t>
      </w:r>
      <w:r w:rsidR="00112F30"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in Palestinian </w:t>
      </w:r>
      <w:r w:rsidR="00DB5004"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economy.</w:t>
      </w:r>
    </w:p>
    <w:p w:rsidR="00DB5004" w:rsidRPr="00722131" w:rsidRDefault="00DB5004" w:rsidP="00722131">
      <w:pPr>
        <w:spacing w:after="120"/>
        <w:ind w:left="-567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722131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*** Currency and deposits: Include the deposits of non-residents deposited in resident banks.</w:t>
      </w:r>
      <w:r w:rsidRPr="00F149B2">
        <w:rPr>
          <w:rFonts w:asciiTheme="majorBidi" w:hAnsiTheme="majorBidi" w:cstheme="majorBidi"/>
          <w:bCs/>
          <w:iCs/>
        </w:rPr>
        <w:br w:type="page"/>
      </w:r>
    </w:p>
    <w:p w:rsidR="00DB5004" w:rsidRPr="00722131" w:rsidRDefault="00DB5004" w:rsidP="00722131">
      <w:pPr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722131">
        <w:rPr>
          <w:rFonts w:asciiTheme="majorBidi" w:hAnsiTheme="majorBidi" w:cstheme="majorBidi"/>
          <w:i w:val="0"/>
          <w:iCs/>
          <w:sz w:val="28"/>
          <w:szCs w:val="28"/>
        </w:rPr>
        <w:lastRenderedPageBreak/>
        <w:t xml:space="preserve">Table 2: Gross External Debt </w:t>
      </w:r>
      <w:r w:rsidR="00B6004F" w:rsidRPr="00722131">
        <w:rPr>
          <w:rFonts w:asciiTheme="majorBidi" w:hAnsiTheme="majorBidi" w:cstheme="majorBidi"/>
          <w:i w:val="0"/>
          <w:iCs/>
          <w:sz w:val="28"/>
          <w:szCs w:val="28"/>
        </w:rPr>
        <w:t>Position</w:t>
      </w:r>
      <w:r w:rsidR="001D3A4A"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 Stock</w:t>
      </w:r>
      <w:r w:rsidR="00B6004F"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on Palestine, at the </w:t>
      </w:r>
      <w:r w:rsidR="00B6004F"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End </w:t>
      </w:r>
      <w:r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</w:p>
    <w:p w:rsidR="00DB5004" w:rsidRPr="00722131" w:rsidRDefault="00790086" w:rsidP="00722131">
      <w:pPr>
        <w:ind w:left="1440" w:hanging="1440"/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722131">
        <w:rPr>
          <w:rFonts w:asciiTheme="majorBidi" w:hAnsiTheme="majorBidi" w:cstheme="majorBidi"/>
          <w:i w:val="0"/>
          <w:iCs/>
          <w:sz w:val="28"/>
          <w:szCs w:val="28"/>
        </w:rPr>
        <w:t>Fourth</w:t>
      </w:r>
      <w:r w:rsidR="004B6F4B"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B92512" w:rsidRPr="00722131">
        <w:rPr>
          <w:rFonts w:asciiTheme="majorBidi" w:hAnsiTheme="majorBidi" w:cstheme="majorBidi"/>
          <w:i w:val="0"/>
          <w:iCs/>
          <w:sz w:val="28"/>
          <w:szCs w:val="28"/>
        </w:rPr>
        <w:t>Quarter</w:t>
      </w:r>
      <w:r w:rsidR="00D34D3F" w:rsidRPr="00722131">
        <w:rPr>
          <w:rFonts w:asciiTheme="majorBidi" w:hAnsiTheme="majorBidi" w:cstheme="majorBidi"/>
          <w:i w:val="0"/>
          <w:iCs/>
          <w:sz w:val="28"/>
          <w:szCs w:val="28"/>
        </w:rPr>
        <w:t>, 20</w:t>
      </w:r>
      <w:r w:rsidR="004968BA" w:rsidRPr="00722131">
        <w:rPr>
          <w:rFonts w:asciiTheme="majorBidi" w:hAnsiTheme="majorBidi" w:cstheme="majorBidi"/>
          <w:i w:val="0"/>
          <w:iCs/>
          <w:sz w:val="28"/>
          <w:szCs w:val="28"/>
        </w:rPr>
        <w:t>2</w:t>
      </w:r>
      <w:r w:rsidR="00160716" w:rsidRPr="00722131">
        <w:rPr>
          <w:rFonts w:asciiTheme="majorBidi" w:hAnsiTheme="majorBidi" w:cstheme="majorBidi"/>
          <w:i w:val="0"/>
          <w:iCs/>
          <w:sz w:val="28"/>
          <w:szCs w:val="28"/>
        </w:rPr>
        <w:t>2</w:t>
      </w:r>
      <w:r w:rsidR="00C50347"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 and </w:t>
      </w:r>
      <w:r w:rsidR="00760EE6" w:rsidRPr="00722131">
        <w:rPr>
          <w:rFonts w:asciiTheme="majorBidi" w:hAnsiTheme="majorBidi" w:cstheme="majorBidi"/>
          <w:i w:val="0"/>
          <w:iCs/>
          <w:sz w:val="28"/>
          <w:szCs w:val="28"/>
        </w:rPr>
        <w:t>F</w:t>
      </w:r>
      <w:r w:rsidRPr="00722131">
        <w:rPr>
          <w:rFonts w:asciiTheme="majorBidi" w:hAnsiTheme="majorBidi" w:cstheme="majorBidi"/>
          <w:i w:val="0"/>
          <w:iCs/>
          <w:sz w:val="28"/>
          <w:szCs w:val="28"/>
        </w:rPr>
        <w:t>irst</w:t>
      </w:r>
      <w:r w:rsidR="00C87C90" w:rsidRPr="00722131">
        <w:rPr>
          <w:rFonts w:asciiTheme="majorBidi" w:hAnsiTheme="majorBidi" w:cstheme="majorBidi"/>
          <w:i w:val="0"/>
          <w:iCs/>
          <w:sz w:val="28"/>
          <w:szCs w:val="28"/>
        </w:rPr>
        <w:t xml:space="preserve"> Quarter</w:t>
      </w:r>
      <w:r w:rsidR="00C50347" w:rsidRPr="00722131">
        <w:rPr>
          <w:rFonts w:asciiTheme="majorBidi" w:hAnsiTheme="majorBidi" w:cstheme="majorBidi"/>
          <w:i w:val="0"/>
          <w:iCs/>
          <w:sz w:val="28"/>
          <w:szCs w:val="28"/>
        </w:rPr>
        <w:t>, 202</w:t>
      </w:r>
      <w:r w:rsidRPr="00722131">
        <w:rPr>
          <w:rFonts w:asciiTheme="majorBidi" w:hAnsiTheme="majorBidi" w:cstheme="majorBidi"/>
          <w:i w:val="0"/>
          <w:iCs/>
          <w:sz w:val="28"/>
          <w:szCs w:val="28"/>
        </w:rPr>
        <w:t>3</w:t>
      </w:r>
    </w:p>
    <w:p w:rsidR="00DB5004" w:rsidRPr="00F149B2" w:rsidRDefault="00DB5004" w:rsidP="00722131">
      <w:pPr>
        <w:contextualSpacing/>
        <w:rPr>
          <w:rFonts w:ascii="Arial" w:hAnsi="Arial"/>
          <w:i w:val="0"/>
          <w:iCs/>
          <w:sz w:val="22"/>
          <w:szCs w:val="22"/>
        </w:rPr>
      </w:pPr>
    </w:p>
    <w:p w:rsidR="00D06F12" w:rsidRDefault="008E4CA4" w:rsidP="00722131">
      <w:pPr>
        <w:ind w:left="-284" w:right="3967" w:firstLine="284"/>
        <w:contextualSpacing/>
        <w:rPr>
          <w:rFonts w:ascii="Arial" w:hAnsi="Arial"/>
          <w:b w:val="0"/>
          <w:bCs/>
          <w:i w:val="0"/>
          <w:iCs/>
          <w:sz w:val="18"/>
          <w:szCs w:val="18"/>
        </w:rPr>
      </w:pPr>
      <w:r w:rsidRPr="00F149B2">
        <w:rPr>
          <w:rFonts w:ascii="Arial" w:hAnsi="Arial"/>
          <w:b w:val="0"/>
          <w:bCs/>
          <w:i w:val="0"/>
          <w:iCs/>
          <w:sz w:val="18"/>
          <w:szCs w:val="18"/>
        </w:rPr>
        <w:t xml:space="preserve">    </w:t>
      </w:r>
    </w:p>
    <w:p w:rsidR="00DB5004" w:rsidRPr="00722131" w:rsidRDefault="008E4CA4" w:rsidP="00722131">
      <w:pPr>
        <w:ind w:left="-284" w:right="3967" w:firstLine="284"/>
        <w:contextualSpacing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F149B2">
        <w:rPr>
          <w:rFonts w:ascii="Arial" w:hAnsi="Arial"/>
          <w:b w:val="0"/>
          <w:bCs/>
          <w:i w:val="0"/>
          <w:iCs/>
          <w:sz w:val="18"/>
          <w:szCs w:val="18"/>
        </w:rPr>
        <w:t xml:space="preserve"> </w:t>
      </w:r>
      <w:r w:rsidR="00DB5004" w:rsidRPr="00722131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Value in million USD </w:t>
      </w:r>
    </w:p>
    <w:tbl>
      <w:tblPr>
        <w:tblpPr w:leftFromText="180" w:rightFromText="180" w:vertAnchor="text" w:tblpXSpec="center" w:tblpY="1"/>
        <w:tblOverlap w:val="never"/>
        <w:bidiVisual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2695"/>
        <w:gridCol w:w="4242"/>
      </w:tblGrid>
      <w:tr w:rsidR="00E741B1" w:rsidRPr="00722131" w:rsidTr="00D06F12">
        <w:trPr>
          <w:trHeight w:val="530"/>
        </w:trPr>
        <w:tc>
          <w:tcPr>
            <w:tcW w:w="1453" w:type="pct"/>
            <w:vAlign w:val="center"/>
          </w:tcPr>
          <w:p w:rsidR="00E741B1" w:rsidRPr="00722131" w:rsidRDefault="00E741B1" w:rsidP="00722131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 xml:space="preserve">Stock at the end of the </w:t>
            </w:r>
            <w:r w:rsidR="004968BA" w:rsidRPr="00722131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="00760EE6" w:rsidRPr="00722131">
              <w:rPr>
                <w:rFonts w:asciiTheme="majorBidi" w:hAnsiTheme="majorBidi" w:cstheme="majorBidi"/>
              </w:rPr>
              <w:t xml:space="preserve"> </w:t>
            </w:r>
            <w:r w:rsidR="00760EE6" w:rsidRPr="00722131">
              <w:rPr>
                <w:rFonts w:asciiTheme="majorBidi" w:hAnsiTheme="majorBidi" w:cstheme="majorBidi"/>
                <w:i w:val="0"/>
                <w:iCs/>
              </w:rPr>
              <w:t>F</w:t>
            </w:r>
            <w:r w:rsidR="00790086" w:rsidRPr="00722131">
              <w:rPr>
                <w:rFonts w:asciiTheme="majorBidi" w:hAnsiTheme="majorBidi" w:cstheme="majorBidi"/>
                <w:i w:val="0"/>
                <w:iCs/>
              </w:rPr>
              <w:t>irst</w:t>
            </w:r>
            <w:r w:rsidR="00760EE6" w:rsidRPr="00722131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Pr="00722131">
              <w:rPr>
                <w:rFonts w:asciiTheme="majorBidi" w:hAnsiTheme="majorBidi" w:cstheme="majorBidi"/>
                <w:i w:val="0"/>
                <w:iCs/>
              </w:rPr>
              <w:t xml:space="preserve">Quarter </w:t>
            </w:r>
            <w:r w:rsidR="00355BB6" w:rsidRPr="00722131">
              <w:rPr>
                <w:rFonts w:asciiTheme="majorBidi" w:hAnsiTheme="majorBidi" w:cstheme="majorBidi"/>
                <w:i w:val="0"/>
                <w:iCs/>
              </w:rPr>
              <w:t>2023</w:t>
            </w:r>
          </w:p>
        </w:tc>
        <w:tc>
          <w:tcPr>
            <w:tcW w:w="1378" w:type="pct"/>
            <w:vAlign w:val="center"/>
          </w:tcPr>
          <w:p w:rsidR="00E741B1" w:rsidRPr="00722131" w:rsidRDefault="00AA4359" w:rsidP="00722131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 xml:space="preserve">Stock at the end of the  </w:t>
            </w:r>
            <w:r w:rsidR="00EF12BA" w:rsidRPr="00722131">
              <w:rPr>
                <w:rFonts w:asciiTheme="majorBidi" w:hAnsiTheme="majorBidi" w:cstheme="majorBidi"/>
              </w:rPr>
              <w:t xml:space="preserve"> </w:t>
            </w:r>
            <w:r w:rsidR="00760EE6" w:rsidRPr="00722131">
              <w:rPr>
                <w:rFonts w:asciiTheme="majorBidi" w:hAnsiTheme="majorBidi" w:cstheme="majorBidi"/>
              </w:rPr>
              <w:t xml:space="preserve"> </w:t>
            </w:r>
            <w:r w:rsidR="00790086" w:rsidRPr="00722131">
              <w:rPr>
                <w:rFonts w:asciiTheme="majorBidi" w:hAnsiTheme="majorBidi" w:cstheme="majorBidi"/>
              </w:rPr>
              <w:t xml:space="preserve"> </w:t>
            </w:r>
            <w:r w:rsidR="00790086" w:rsidRPr="00722131">
              <w:rPr>
                <w:rFonts w:asciiTheme="majorBidi" w:hAnsiTheme="majorBidi" w:cstheme="majorBidi"/>
                <w:i w:val="0"/>
                <w:iCs/>
              </w:rPr>
              <w:t xml:space="preserve">Fourth </w:t>
            </w:r>
            <w:r w:rsidR="00760EE6" w:rsidRPr="00722131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Pr="00722131">
              <w:rPr>
                <w:rFonts w:asciiTheme="majorBidi" w:hAnsiTheme="majorBidi" w:cstheme="majorBidi"/>
                <w:i w:val="0"/>
                <w:iCs/>
              </w:rPr>
              <w:t>Quarter 202</w:t>
            </w:r>
            <w:r w:rsidR="00160716" w:rsidRPr="00722131">
              <w:rPr>
                <w:rFonts w:asciiTheme="majorBidi" w:hAnsiTheme="majorBidi" w:cstheme="majorBidi"/>
                <w:i w:val="0"/>
                <w:iCs/>
              </w:rPr>
              <w:t>2</w:t>
            </w:r>
          </w:p>
        </w:tc>
        <w:tc>
          <w:tcPr>
            <w:tcW w:w="2170" w:type="pct"/>
            <w:vAlign w:val="center"/>
          </w:tcPr>
          <w:p w:rsidR="00E741B1" w:rsidRPr="00722131" w:rsidRDefault="00E741B1" w:rsidP="00722131">
            <w:pPr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Economic Sector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>1,300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1,302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General Government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243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color w:val="000000"/>
                <w:rtl/>
              </w:rPr>
              <w:t>221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Short-term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1057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color w:val="000000"/>
                <w:rtl/>
              </w:rPr>
              <w:t>1081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Long-term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>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Monetary Authorities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Short-term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Long-term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>726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744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Banks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208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color w:val="000000"/>
                <w:rtl/>
              </w:rPr>
              <w:t>413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Short-term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518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color w:val="000000"/>
                <w:rtl/>
              </w:rPr>
              <w:t>331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Long-term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>104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104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Short-term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104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color w:val="000000"/>
                <w:rtl/>
              </w:rPr>
              <w:t>104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Long-term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>41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41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Direct Investment: lending between affiliated companies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Debt liabilities to affiliated companies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41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color w:val="000000"/>
                <w:rtl/>
              </w:rPr>
              <w:t>41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Debt liabilities to direct investors</w:t>
            </w:r>
          </w:p>
        </w:tc>
      </w:tr>
      <w:tr w:rsidR="00790086" w:rsidRPr="00722131" w:rsidTr="00D06F12">
        <w:trPr>
          <w:trHeight w:val="284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  <w:color w:val="000000"/>
              </w:rPr>
              <w:t>2,171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086" w:rsidRPr="00722131" w:rsidRDefault="00790086" w:rsidP="0072213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722131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2,191</w:t>
            </w:r>
          </w:p>
        </w:tc>
        <w:tc>
          <w:tcPr>
            <w:tcW w:w="2170" w:type="pct"/>
            <w:vAlign w:val="bottom"/>
          </w:tcPr>
          <w:p w:rsidR="00790086" w:rsidRPr="00722131" w:rsidRDefault="00790086" w:rsidP="00722131">
            <w:pPr>
              <w:rPr>
                <w:rFonts w:asciiTheme="majorBidi" w:hAnsiTheme="majorBidi" w:cstheme="majorBidi"/>
                <w:i w:val="0"/>
                <w:iCs/>
              </w:rPr>
            </w:pPr>
            <w:r w:rsidRPr="00722131">
              <w:rPr>
                <w:rFonts w:asciiTheme="majorBidi" w:hAnsiTheme="majorBidi" w:cstheme="majorBidi"/>
                <w:i w:val="0"/>
                <w:iCs/>
              </w:rPr>
              <w:t>Gross External Debt Position</w:t>
            </w:r>
          </w:p>
        </w:tc>
      </w:tr>
    </w:tbl>
    <w:p w:rsidR="00DB5004" w:rsidRPr="00F149B2" w:rsidRDefault="00CB0325" w:rsidP="00722131">
      <w:pPr>
        <w:tabs>
          <w:tab w:val="left" w:pos="8018"/>
        </w:tabs>
        <w:contextualSpacing/>
        <w:rPr>
          <w:rFonts w:ascii="Arial" w:hAnsi="Arial"/>
          <w:i w:val="0"/>
          <w:iCs/>
          <w:sz w:val="22"/>
          <w:szCs w:val="22"/>
          <w:rtl/>
        </w:rPr>
      </w:pPr>
      <w:r w:rsidRPr="00F149B2">
        <w:rPr>
          <w:rFonts w:ascii="Arial" w:hAnsi="Arial"/>
          <w:i w:val="0"/>
          <w:iCs/>
          <w:sz w:val="22"/>
          <w:szCs w:val="22"/>
        </w:rPr>
        <w:tab/>
      </w:r>
    </w:p>
    <w:p w:rsidR="00DB5004" w:rsidRPr="00F149B2" w:rsidRDefault="00DB5004" w:rsidP="00722131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DB5004" w:rsidRPr="00F149B2" w:rsidRDefault="00DB5004" w:rsidP="00722131">
      <w:pPr>
        <w:spacing w:before="120" w:after="120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F2693C" w:rsidRPr="00F149B2" w:rsidRDefault="00F2693C" w:rsidP="00722131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722131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722131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722131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722131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722131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722131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722131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722131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722131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722131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722131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722131">
      <w:pPr>
        <w:bidi/>
        <w:jc w:val="center"/>
        <w:rPr>
          <w:rFonts w:asciiTheme="majorBidi" w:hAnsiTheme="majorBidi" w:cstheme="majorBidi"/>
        </w:rPr>
      </w:pPr>
    </w:p>
    <w:sectPr w:rsidR="006B1CE8" w:rsidRPr="00F149B2" w:rsidSect="00722131">
      <w:headerReference w:type="default" r:id="rId9"/>
      <w:footerReference w:type="default" r:id="rId10"/>
      <w:pgSz w:w="11907" w:h="16839" w:code="9"/>
      <w:pgMar w:top="1134" w:right="1134" w:bottom="1134" w:left="1134" w:header="0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E9A" w:rsidRDefault="003A0E9A" w:rsidP="00885BEC">
      <w:r>
        <w:separator/>
      </w:r>
    </w:p>
  </w:endnote>
  <w:endnote w:type="continuationSeparator" w:id="0">
    <w:p w:rsidR="003A0E9A" w:rsidRDefault="003A0E9A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7B" w:rsidRDefault="003A0E9A" w:rsidP="00146AE4">
    <w:pPr>
      <w:pStyle w:val="Footer"/>
      <w:tabs>
        <w:tab w:val="clear" w:pos="9360"/>
      </w:tabs>
      <w:jc w:val="center"/>
      <w:rPr>
        <w:rFonts w:asciiTheme="majorBidi" w:hAnsiTheme="majorBidi" w:cstheme="majorBidi"/>
        <w:bCs/>
        <w:i w:val="0"/>
        <w:sz w:val="20"/>
        <w:szCs w:val="20"/>
      </w:rPr>
    </w:pPr>
    <w:sdt>
      <w:sdtPr>
        <w:id w:val="11285779"/>
        <w:docPartObj>
          <w:docPartGallery w:val="Page Numbers (Bottom of Page)"/>
          <w:docPartUnique/>
        </w:docPartObj>
      </w:sdtPr>
      <w:sdtEndPr/>
      <w:sdtContent>
        <w:r w:rsidR="00C56B7B"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C56B7B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="00C56B7B"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2D0058">
          <w:rPr>
            <w:b w:val="0"/>
            <w:bCs/>
            <w:i w:val="0"/>
            <w:iCs/>
            <w:noProof/>
            <w:sz w:val="20"/>
            <w:szCs w:val="20"/>
          </w:rPr>
          <w:t>3</w:t>
        </w:r>
        <w:r w:rsidR="00C56B7B"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E9A" w:rsidRDefault="003A0E9A" w:rsidP="00885BEC">
      <w:r>
        <w:separator/>
      </w:r>
    </w:p>
  </w:footnote>
  <w:footnote w:type="continuationSeparator" w:id="0">
    <w:p w:rsidR="003A0E9A" w:rsidRDefault="003A0E9A" w:rsidP="0088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31" w:rsidRDefault="00722131" w:rsidP="00411BA8">
    <w:pPr>
      <w:pStyle w:val="Footer"/>
      <w:jc w:val="right"/>
      <w:rPr>
        <w:rFonts w:asciiTheme="majorBidi" w:hAnsiTheme="majorBidi" w:cstheme="majorBidi"/>
        <w:bCs/>
        <w:i w:val="0"/>
        <w:sz w:val="20"/>
        <w:szCs w:val="20"/>
      </w:rPr>
    </w:pPr>
  </w:p>
  <w:p w:rsidR="00C56B7B" w:rsidRDefault="00C56B7B" w:rsidP="00411BA8">
    <w:pPr>
      <w:pStyle w:val="Footer"/>
      <w:jc w:val="right"/>
    </w:pPr>
    <w:r w:rsidRPr="006171D1">
      <w:rPr>
        <w:rFonts w:asciiTheme="majorBidi" w:hAnsiTheme="majorBidi" w:cstheme="majorBidi"/>
        <w:bCs/>
        <w:i w:val="0"/>
        <w:sz w:val="20"/>
        <w:szCs w:val="20"/>
      </w:rPr>
      <w:t xml:space="preserve">Issued </w:t>
    </w:r>
    <w:proofErr w:type="gramStart"/>
    <w:r w:rsidRPr="006171D1">
      <w:rPr>
        <w:rFonts w:asciiTheme="majorBidi" w:hAnsiTheme="majorBidi" w:cstheme="majorBidi"/>
        <w:bCs/>
        <w:i w:val="0"/>
        <w:sz w:val="20"/>
        <w:szCs w:val="20"/>
      </w:rPr>
      <w:t>on</w:t>
    </w:r>
    <w:r w:rsidRPr="006171D1">
      <w:rPr>
        <w:rFonts w:asciiTheme="majorBidi" w:hAnsiTheme="majorBidi" w:cstheme="majorBidi"/>
        <w:b w:val="0"/>
        <w:i w:val="0"/>
        <w:sz w:val="20"/>
        <w:szCs w:val="20"/>
      </w:rPr>
      <w:t xml:space="preserve"> :</w:t>
    </w:r>
    <w:proofErr w:type="gramEnd"/>
    <w:r w:rsidRPr="006171D1">
      <w:rPr>
        <w:rFonts w:asciiTheme="majorBidi" w:hAnsiTheme="majorBidi" w:cstheme="majorBidi"/>
        <w:b w:val="0"/>
        <w:i w:val="0"/>
        <w:sz w:val="20"/>
        <w:szCs w:val="20"/>
      </w:rPr>
      <w:t xml:space="preserve"> </w:t>
    </w:r>
    <w:r w:rsidR="007140D7">
      <w:rPr>
        <w:rFonts w:asciiTheme="majorBidi" w:hAnsiTheme="majorBidi" w:cstheme="majorBidi"/>
        <w:b w:val="0"/>
        <w:i w:val="0"/>
        <w:sz w:val="20"/>
        <w:szCs w:val="20"/>
      </w:rPr>
      <w:t>2</w:t>
    </w:r>
    <w:r w:rsidR="00411BA8">
      <w:rPr>
        <w:rFonts w:asciiTheme="majorBidi" w:hAnsiTheme="majorBidi" w:cstheme="majorBidi"/>
        <w:b w:val="0"/>
        <w:i w:val="0"/>
        <w:sz w:val="20"/>
        <w:szCs w:val="20"/>
      </w:rPr>
      <w:t>1</w:t>
    </w:r>
    <w:r w:rsidRPr="006171D1">
      <w:rPr>
        <w:rFonts w:asciiTheme="majorBidi" w:hAnsiTheme="majorBidi" w:cstheme="majorBidi"/>
        <w:b w:val="0"/>
        <w:i w:val="0"/>
        <w:sz w:val="20"/>
        <w:szCs w:val="20"/>
      </w:rPr>
      <w:t>/</w:t>
    </w:r>
    <w:r w:rsidR="007140D7">
      <w:rPr>
        <w:rFonts w:asciiTheme="majorBidi" w:hAnsiTheme="majorBidi" w:cstheme="majorBidi"/>
        <w:b w:val="0"/>
        <w:i w:val="0"/>
        <w:sz w:val="20"/>
        <w:szCs w:val="20"/>
      </w:rPr>
      <w:t>0</w:t>
    </w:r>
    <w:r w:rsidR="00411BA8">
      <w:rPr>
        <w:rFonts w:asciiTheme="majorBidi" w:hAnsiTheme="majorBidi" w:cstheme="majorBidi"/>
        <w:b w:val="0"/>
        <w:i w:val="0"/>
        <w:sz w:val="20"/>
        <w:szCs w:val="20"/>
      </w:rPr>
      <w:t>6</w:t>
    </w:r>
    <w:r w:rsidRPr="006171D1">
      <w:rPr>
        <w:rFonts w:asciiTheme="majorBidi" w:hAnsiTheme="majorBidi" w:cstheme="majorBidi"/>
        <w:b w:val="0"/>
        <w:i w:val="0"/>
        <w:sz w:val="20"/>
        <w:szCs w:val="20"/>
      </w:rPr>
      <w:t>/20</w:t>
    </w:r>
    <w:r>
      <w:rPr>
        <w:rFonts w:asciiTheme="majorBidi" w:hAnsiTheme="majorBidi" w:cstheme="majorBidi"/>
        <w:b w:val="0"/>
        <w:i w:val="0"/>
        <w:sz w:val="20"/>
        <w:szCs w:val="20"/>
      </w:rPr>
      <w:t>2</w:t>
    </w:r>
    <w:r w:rsidR="007140D7">
      <w:rPr>
        <w:rFonts w:asciiTheme="majorBidi" w:hAnsiTheme="majorBidi" w:cstheme="majorBidi"/>
        <w:b w:val="0"/>
        <w:i w:val="0"/>
        <w:sz w:val="20"/>
        <w:szCs w:val="20"/>
      </w:rPr>
      <w:t>3</w:t>
    </w:r>
  </w:p>
  <w:tbl>
    <w:tblPr>
      <w:tblStyle w:val="TableGrid"/>
      <w:tblW w:w="9918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1"/>
      <w:gridCol w:w="4957"/>
    </w:tblGrid>
    <w:tr w:rsidR="00722131" w:rsidTr="002E751C">
      <w:trPr>
        <w:jc w:val="center"/>
      </w:trPr>
      <w:tc>
        <w:tcPr>
          <w:tcW w:w="4961" w:type="dxa"/>
        </w:tcPr>
        <w:p w:rsidR="00722131" w:rsidRDefault="00722131" w:rsidP="00411BA8">
          <w:pPr>
            <w:pStyle w:val="Footer"/>
            <w:jc w:val="right"/>
          </w:pPr>
          <w:r w:rsidRPr="00F149B2">
            <w:rPr>
              <w:rFonts w:hint="cs"/>
              <w:b w:val="0"/>
              <w:bCs/>
              <w:i w:val="0"/>
              <w:iCs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2E925B80" wp14:editId="3FCD0189">
                <wp:simplePos x="0" y="0"/>
                <wp:positionH relativeFrom="margin">
                  <wp:posOffset>536575</wp:posOffset>
                </wp:positionH>
                <wp:positionV relativeFrom="margin">
                  <wp:posOffset>45720</wp:posOffset>
                </wp:positionV>
                <wp:extent cx="1584960" cy="1189990"/>
                <wp:effectExtent l="19050" t="0" r="0" b="0"/>
                <wp:wrapSquare wrapText="bothSides"/>
                <wp:docPr id="2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960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57" w:type="dxa"/>
        </w:tcPr>
        <w:p w:rsidR="00F9430A" w:rsidRDefault="00F9430A" w:rsidP="00722131">
          <w:pPr>
            <w:pStyle w:val="Footer"/>
            <w:jc w:val="center"/>
            <w:rPr>
              <w:rtl/>
            </w:rPr>
          </w:pPr>
        </w:p>
        <w:p w:rsidR="00722131" w:rsidRDefault="00722131" w:rsidP="00722131">
          <w:pPr>
            <w:pStyle w:val="Footer"/>
            <w:jc w:val="center"/>
          </w:pPr>
          <w:r w:rsidRPr="00F149B2">
            <w:rPr>
              <w:b w:val="0"/>
              <w:bCs/>
              <w:i w:val="0"/>
              <w:iCs/>
              <w:noProof/>
              <w:rtl/>
            </w:rPr>
            <w:drawing>
              <wp:inline distT="0" distB="0" distL="0" distR="0" wp14:anchorId="60607D4B" wp14:editId="70B38D58">
                <wp:extent cx="714375" cy="666750"/>
                <wp:effectExtent l="0" t="0" r="9525" b="0"/>
                <wp:docPr id="27" name="Picture 1" descr="C:\Users\adeek\Desktop\New Picture (3)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eek\Desktop\New Picture (3)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10" cy="6762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22131" w:rsidRPr="00F149B2" w:rsidRDefault="00722131" w:rsidP="00F9430A">
          <w:pPr>
            <w:tabs>
              <w:tab w:val="left" w:pos="554"/>
              <w:tab w:val="right" w:pos="5961"/>
            </w:tabs>
            <w:bidi/>
            <w:jc w:val="center"/>
            <w:rPr>
              <w:rFonts w:asciiTheme="majorBidi" w:hAnsiTheme="majorBidi" w:cstheme="majorBidi"/>
              <w:b w:val="0"/>
              <w:bCs/>
              <w:i w:val="0"/>
              <w:iCs/>
            </w:rPr>
          </w:pPr>
          <w:r w:rsidRPr="00F149B2">
            <w:rPr>
              <w:rFonts w:asciiTheme="majorBidi" w:hAnsiTheme="majorBidi" w:cstheme="majorBidi"/>
              <w:b w:val="0"/>
              <w:bCs/>
              <w:rtl/>
            </w:rPr>
            <w:t>الجهاز المركزي للإحصاء الفلسطيني</w:t>
          </w:r>
        </w:p>
        <w:p w:rsidR="00722131" w:rsidRPr="00F149B2" w:rsidRDefault="00722131" w:rsidP="00722131">
          <w:pPr>
            <w:bidi/>
            <w:jc w:val="center"/>
            <w:rPr>
              <w:rFonts w:asciiTheme="majorBidi" w:hAnsiTheme="majorBidi" w:cstheme="majorBidi"/>
              <w:i w:val="0"/>
              <w:iCs/>
              <w:rtl/>
            </w:rPr>
          </w:pPr>
          <w:r w:rsidRPr="00F149B2">
            <w:rPr>
              <w:rFonts w:asciiTheme="majorBidi" w:hAnsiTheme="majorBidi" w:cstheme="majorBidi"/>
              <w:i w:val="0"/>
              <w:iCs/>
            </w:rPr>
            <w:t>Palestinian Central Bureau of Statistics</w:t>
          </w:r>
        </w:p>
        <w:p w:rsidR="00722131" w:rsidRPr="00722131" w:rsidRDefault="00722131" w:rsidP="00722131">
          <w:pPr>
            <w:jc w:val="center"/>
          </w:pPr>
        </w:p>
      </w:tc>
    </w:tr>
  </w:tbl>
  <w:p w:rsidR="00C56B7B" w:rsidRPr="00722131" w:rsidRDefault="00C56B7B" w:rsidP="00722131">
    <w:pPr>
      <w:pStyle w:val="Header"/>
      <w:rPr>
        <w:b w:val="0"/>
        <w:bCs/>
        <w:i w:val="0"/>
        <w:iC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59B9"/>
    <w:rsid w:val="00006227"/>
    <w:rsid w:val="000072F1"/>
    <w:rsid w:val="000110B2"/>
    <w:rsid w:val="000115CC"/>
    <w:rsid w:val="000115F8"/>
    <w:rsid w:val="0001231A"/>
    <w:rsid w:val="000124A7"/>
    <w:rsid w:val="00013A84"/>
    <w:rsid w:val="000148EC"/>
    <w:rsid w:val="00014C69"/>
    <w:rsid w:val="00020807"/>
    <w:rsid w:val="00022F55"/>
    <w:rsid w:val="00023916"/>
    <w:rsid w:val="00023F63"/>
    <w:rsid w:val="0002627D"/>
    <w:rsid w:val="000271AF"/>
    <w:rsid w:val="00030C2F"/>
    <w:rsid w:val="00032DB0"/>
    <w:rsid w:val="00032E32"/>
    <w:rsid w:val="00035642"/>
    <w:rsid w:val="00037C5E"/>
    <w:rsid w:val="00040BCA"/>
    <w:rsid w:val="00041F63"/>
    <w:rsid w:val="00042E1B"/>
    <w:rsid w:val="00047BC1"/>
    <w:rsid w:val="00050DB2"/>
    <w:rsid w:val="000541C3"/>
    <w:rsid w:val="00056CE8"/>
    <w:rsid w:val="00056EBF"/>
    <w:rsid w:val="000621F0"/>
    <w:rsid w:val="00064A5C"/>
    <w:rsid w:val="000673F1"/>
    <w:rsid w:val="00067DB7"/>
    <w:rsid w:val="0007197F"/>
    <w:rsid w:val="00072644"/>
    <w:rsid w:val="000726B5"/>
    <w:rsid w:val="00077AA7"/>
    <w:rsid w:val="00080709"/>
    <w:rsid w:val="00080765"/>
    <w:rsid w:val="00081BE1"/>
    <w:rsid w:val="00084741"/>
    <w:rsid w:val="00085209"/>
    <w:rsid w:val="00090534"/>
    <w:rsid w:val="00090697"/>
    <w:rsid w:val="00090A98"/>
    <w:rsid w:val="00091661"/>
    <w:rsid w:val="00092663"/>
    <w:rsid w:val="00093458"/>
    <w:rsid w:val="000934AF"/>
    <w:rsid w:val="00093B55"/>
    <w:rsid w:val="0009408F"/>
    <w:rsid w:val="000944C5"/>
    <w:rsid w:val="0009567F"/>
    <w:rsid w:val="0009774E"/>
    <w:rsid w:val="000A0089"/>
    <w:rsid w:val="000A23B0"/>
    <w:rsid w:val="000A2842"/>
    <w:rsid w:val="000A3B64"/>
    <w:rsid w:val="000A3D5C"/>
    <w:rsid w:val="000A5151"/>
    <w:rsid w:val="000A5E40"/>
    <w:rsid w:val="000B09BC"/>
    <w:rsid w:val="000B19A1"/>
    <w:rsid w:val="000B2406"/>
    <w:rsid w:val="000B3046"/>
    <w:rsid w:val="000B4B6A"/>
    <w:rsid w:val="000B638F"/>
    <w:rsid w:val="000B66F2"/>
    <w:rsid w:val="000C0673"/>
    <w:rsid w:val="000C0F4B"/>
    <w:rsid w:val="000C156F"/>
    <w:rsid w:val="000C2CD8"/>
    <w:rsid w:val="000C30EC"/>
    <w:rsid w:val="000C3870"/>
    <w:rsid w:val="000D0B86"/>
    <w:rsid w:val="000D134F"/>
    <w:rsid w:val="000D36E9"/>
    <w:rsid w:val="000D4C84"/>
    <w:rsid w:val="000E57DB"/>
    <w:rsid w:val="000E5A08"/>
    <w:rsid w:val="000E6DC2"/>
    <w:rsid w:val="000E724E"/>
    <w:rsid w:val="000E76D1"/>
    <w:rsid w:val="000E77D9"/>
    <w:rsid w:val="000F23F0"/>
    <w:rsid w:val="000F26C9"/>
    <w:rsid w:val="000F2F95"/>
    <w:rsid w:val="000F449F"/>
    <w:rsid w:val="000F4C18"/>
    <w:rsid w:val="000F6AD3"/>
    <w:rsid w:val="000F6F0F"/>
    <w:rsid w:val="000F7730"/>
    <w:rsid w:val="00100B52"/>
    <w:rsid w:val="0011238A"/>
    <w:rsid w:val="00112F30"/>
    <w:rsid w:val="00116CB6"/>
    <w:rsid w:val="00122B0F"/>
    <w:rsid w:val="001243F4"/>
    <w:rsid w:val="001253D2"/>
    <w:rsid w:val="00126E34"/>
    <w:rsid w:val="00130495"/>
    <w:rsid w:val="00131018"/>
    <w:rsid w:val="00132B71"/>
    <w:rsid w:val="001336A8"/>
    <w:rsid w:val="0013600F"/>
    <w:rsid w:val="00136634"/>
    <w:rsid w:val="00136FD5"/>
    <w:rsid w:val="001371FD"/>
    <w:rsid w:val="00137DE2"/>
    <w:rsid w:val="00140A8A"/>
    <w:rsid w:val="00141DE1"/>
    <w:rsid w:val="001420A0"/>
    <w:rsid w:val="00143718"/>
    <w:rsid w:val="0014579C"/>
    <w:rsid w:val="00146AE4"/>
    <w:rsid w:val="0014725E"/>
    <w:rsid w:val="0014777A"/>
    <w:rsid w:val="00151B5B"/>
    <w:rsid w:val="00151C3B"/>
    <w:rsid w:val="001570B7"/>
    <w:rsid w:val="001573C2"/>
    <w:rsid w:val="00157479"/>
    <w:rsid w:val="00160716"/>
    <w:rsid w:val="001609E2"/>
    <w:rsid w:val="00161954"/>
    <w:rsid w:val="001627FC"/>
    <w:rsid w:val="00162E38"/>
    <w:rsid w:val="001646F7"/>
    <w:rsid w:val="00170276"/>
    <w:rsid w:val="00171363"/>
    <w:rsid w:val="00181A2B"/>
    <w:rsid w:val="001823A8"/>
    <w:rsid w:val="001844CA"/>
    <w:rsid w:val="0018465B"/>
    <w:rsid w:val="001861B2"/>
    <w:rsid w:val="001862D7"/>
    <w:rsid w:val="00190B3C"/>
    <w:rsid w:val="00191CB7"/>
    <w:rsid w:val="001933C3"/>
    <w:rsid w:val="001951A5"/>
    <w:rsid w:val="0019579D"/>
    <w:rsid w:val="00196708"/>
    <w:rsid w:val="001A0774"/>
    <w:rsid w:val="001A3990"/>
    <w:rsid w:val="001A4D2C"/>
    <w:rsid w:val="001A75AC"/>
    <w:rsid w:val="001B0FB0"/>
    <w:rsid w:val="001B1110"/>
    <w:rsid w:val="001B2151"/>
    <w:rsid w:val="001B22C7"/>
    <w:rsid w:val="001B2404"/>
    <w:rsid w:val="001B35EB"/>
    <w:rsid w:val="001B4D6A"/>
    <w:rsid w:val="001B6CC5"/>
    <w:rsid w:val="001B7265"/>
    <w:rsid w:val="001C1307"/>
    <w:rsid w:val="001C161B"/>
    <w:rsid w:val="001C2180"/>
    <w:rsid w:val="001C2247"/>
    <w:rsid w:val="001C6697"/>
    <w:rsid w:val="001C7022"/>
    <w:rsid w:val="001C7347"/>
    <w:rsid w:val="001D3642"/>
    <w:rsid w:val="001D3A4A"/>
    <w:rsid w:val="001D43EA"/>
    <w:rsid w:val="001D5ADB"/>
    <w:rsid w:val="001D5D12"/>
    <w:rsid w:val="001D7ADF"/>
    <w:rsid w:val="001D7C9B"/>
    <w:rsid w:val="001E1616"/>
    <w:rsid w:val="001E2FD6"/>
    <w:rsid w:val="001E4E8A"/>
    <w:rsid w:val="001F14B4"/>
    <w:rsid w:val="001F37D2"/>
    <w:rsid w:val="001F3FC7"/>
    <w:rsid w:val="001F4820"/>
    <w:rsid w:val="001F5051"/>
    <w:rsid w:val="001F6290"/>
    <w:rsid w:val="001F67A4"/>
    <w:rsid w:val="002058E4"/>
    <w:rsid w:val="00205A26"/>
    <w:rsid w:val="002078E3"/>
    <w:rsid w:val="002104C1"/>
    <w:rsid w:val="002106D8"/>
    <w:rsid w:val="00211E0E"/>
    <w:rsid w:val="00216CA7"/>
    <w:rsid w:val="002214FB"/>
    <w:rsid w:val="002219A2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2546"/>
    <w:rsid w:val="00244E71"/>
    <w:rsid w:val="00246BC1"/>
    <w:rsid w:val="00250FBE"/>
    <w:rsid w:val="00251A59"/>
    <w:rsid w:val="0025216F"/>
    <w:rsid w:val="002523D4"/>
    <w:rsid w:val="002528CB"/>
    <w:rsid w:val="00254AB5"/>
    <w:rsid w:val="00254E95"/>
    <w:rsid w:val="00254FB5"/>
    <w:rsid w:val="00255403"/>
    <w:rsid w:val="00255BC3"/>
    <w:rsid w:val="00260883"/>
    <w:rsid w:val="0026165F"/>
    <w:rsid w:val="00262AC2"/>
    <w:rsid w:val="00264A2F"/>
    <w:rsid w:val="00265939"/>
    <w:rsid w:val="00267601"/>
    <w:rsid w:val="00270B06"/>
    <w:rsid w:val="00271538"/>
    <w:rsid w:val="00271B76"/>
    <w:rsid w:val="00272F88"/>
    <w:rsid w:val="00273603"/>
    <w:rsid w:val="002739C2"/>
    <w:rsid w:val="0027580A"/>
    <w:rsid w:val="00281346"/>
    <w:rsid w:val="00281F10"/>
    <w:rsid w:val="002822F3"/>
    <w:rsid w:val="0028358A"/>
    <w:rsid w:val="00285269"/>
    <w:rsid w:val="0028584B"/>
    <w:rsid w:val="00287955"/>
    <w:rsid w:val="002930BA"/>
    <w:rsid w:val="002945F6"/>
    <w:rsid w:val="00296DE7"/>
    <w:rsid w:val="002A039D"/>
    <w:rsid w:val="002A0947"/>
    <w:rsid w:val="002B0376"/>
    <w:rsid w:val="002B1F4B"/>
    <w:rsid w:val="002B2CA8"/>
    <w:rsid w:val="002B36F3"/>
    <w:rsid w:val="002B519B"/>
    <w:rsid w:val="002B7102"/>
    <w:rsid w:val="002C032A"/>
    <w:rsid w:val="002C1546"/>
    <w:rsid w:val="002C5EF1"/>
    <w:rsid w:val="002C6263"/>
    <w:rsid w:val="002C6DD7"/>
    <w:rsid w:val="002D0058"/>
    <w:rsid w:val="002D1337"/>
    <w:rsid w:val="002D1980"/>
    <w:rsid w:val="002D2328"/>
    <w:rsid w:val="002D3D1B"/>
    <w:rsid w:val="002D40C1"/>
    <w:rsid w:val="002D429D"/>
    <w:rsid w:val="002D5FC8"/>
    <w:rsid w:val="002D7608"/>
    <w:rsid w:val="002E060B"/>
    <w:rsid w:val="002E0670"/>
    <w:rsid w:val="002E20F7"/>
    <w:rsid w:val="002E22CA"/>
    <w:rsid w:val="002E241A"/>
    <w:rsid w:val="002E3BDC"/>
    <w:rsid w:val="002E5E97"/>
    <w:rsid w:val="002E6591"/>
    <w:rsid w:val="002E710B"/>
    <w:rsid w:val="002E751C"/>
    <w:rsid w:val="002F1E39"/>
    <w:rsid w:val="002F51DB"/>
    <w:rsid w:val="002F6F48"/>
    <w:rsid w:val="00300B52"/>
    <w:rsid w:val="00301F14"/>
    <w:rsid w:val="00306FC9"/>
    <w:rsid w:val="0031286D"/>
    <w:rsid w:val="00312946"/>
    <w:rsid w:val="00313C39"/>
    <w:rsid w:val="003143C8"/>
    <w:rsid w:val="003143EE"/>
    <w:rsid w:val="00314F90"/>
    <w:rsid w:val="00315123"/>
    <w:rsid w:val="003159C2"/>
    <w:rsid w:val="003164D4"/>
    <w:rsid w:val="00317CDE"/>
    <w:rsid w:val="00317E26"/>
    <w:rsid w:val="00320AFE"/>
    <w:rsid w:val="00322DEF"/>
    <w:rsid w:val="00322FF5"/>
    <w:rsid w:val="00325B26"/>
    <w:rsid w:val="003265DF"/>
    <w:rsid w:val="003267A8"/>
    <w:rsid w:val="00327B47"/>
    <w:rsid w:val="003312A1"/>
    <w:rsid w:val="00334D86"/>
    <w:rsid w:val="00334E32"/>
    <w:rsid w:val="0033623F"/>
    <w:rsid w:val="0033635F"/>
    <w:rsid w:val="0034096B"/>
    <w:rsid w:val="0034163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55BB6"/>
    <w:rsid w:val="003602C4"/>
    <w:rsid w:val="00360975"/>
    <w:rsid w:val="003623FA"/>
    <w:rsid w:val="00363DE2"/>
    <w:rsid w:val="00364DE2"/>
    <w:rsid w:val="003650EA"/>
    <w:rsid w:val="003713EE"/>
    <w:rsid w:val="00371BAA"/>
    <w:rsid w:val="003742D1"/>
    <w:rsid w:val="00376039"/>
    <w:rsid w:val="00376277"/>
    <w:rsid w:val="00376DA0"/>
    <w:rsid w:val="00377817"/>
    <w:rsid w:val="0038255A"/>
    <w:rsid w:val="00382E41"/>
    <w:rsid w:val="003838AD"/>
    <w:rsid w:val="0038458B"/>
    <w:rsid w:val="00384844"/>
    <w:rsid w:val="00385033"/>
    <w:rsid w:val="003857CD"/>
    <w:rsid w:val="00385B91"/>
    <w:rsid w:val="00387A29"/>
    <w:rsid w:val="00390435"/>
    <w:rsid w:val="003916ED"/>
    <w:rsid w:val="00391B60"/>
    <w:rsid w:val="00394B30"/>
    <w:rsid w:val="00397CC6"/>
    <w:rsid w:val="003A0E9A"/>
    <w:rsid w:val="003A1748"/>
    <w:rsid w:val="003A3E2C"/>
    <w:rsid w:val="003A41BC"/>
    <w:rsid w:val="003A441E"/>
    <w:rsid w:val="003A7091"/>
    <w:rsid w:val="003B0C69"/>
    <w:rsid w:val="003B2285"/>
    <w:rsid w:val="003B4EFD"/>
    <w:rsid w:val="003B56C9"/>
    <w:rsid w:val="003C00B9"/>
    <w:rsid w:val="003C16F6"/>
    <w:rsid w:val="003C22E0"/>
    <w:rsid w:val="003C4844"/>
    <w:rsid w:val="003C5966"/>
    <w:rsid w:val="003C64EA"/>
    <w:rsid w:val="003D005D"/>
    <w:rsid w:val="003D1AD0"/>
    <w:rsid w:val="003D2935"/>
    <w:rsid w:val="003D64EB"/>
    <w:rsid w:val="003D6FF3"/>
    <w:rsid w:val="003D7154"/>
    <w:rsid w:val="003E0504"/>
    <w:rsid w:val="003E0E00"/>
    <w:rsid w:val="003E289D"/>
    <w:rsid w:val="003E38BC"/>
    <w:rsid w:val="003E3D66"/>
    <w:rsid w:val="003E5A4E"/>
    <w:rsid w:val="003E65F8"/>
    <w:rsid w:val="003F1357"/>
    <w:rsid w:val="003F2C98"/>
    <w:rsid w:val="003F331E"/>
    <w:rsid w:val="003F34C6"/>
    <w:rsid w:val="003F5357"/>
    <w:rsid w:val="003F57FD"/>
    <w:rsid w:val="003F586E"/>
    <w:rsid w:val="003F701A"/>
    <w:rsid w:val="00400738"/>
    <w:rsid w:val="00402A43"/>
    <w:rsid w:val="00403BFD"/>
    <w:rsid w:val="00406F83"/>
    <w:rsid w:val="004073E4"/>
    <w:rsid w:val="0040747F"/>
    <w:rsid w:val="004079CB"/>
    <w:rsid w:val="00410274"/>
    <w:rsid w:val="00411BA8"/>
    <w:rsid w:val="00411C10"/>
    <w:rsid w:val="00412B95"/>
    <w:rsid w:val="004150B7"/>
    <w:rsid w:val="00420768"/>
    <w:rsid w:val="00421004"/>
    <w:rsid w:val="004221C5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54FAC"/>
    <w:rsid w:val="00462347"/>
    <w:rsid w:val="004624A9"/>
    <w:rsid w:val="004636B1"/>
    <w:rsid w:val="00463EB9"/>
    <w:rsid w:val="00463F73"/>
    <w:rsid w:val="0046412B"/>
    <w:rsid w:val="0046623B"/>
    <w:rsid w:val="00466329"/>
    <w:rsid w:val="00466417"/>
    <w:rsid w:val="004706FF"/>
    <w:rsid w:val="00470EB2"/>
    <w:rsid w:val="0047210C"/>
    <w:rsid w:val="00472299"/>
    <w:rsid w:val="004722F3"/>
    <w:rsid w:val="00473BE3"/>
    <w:rsid w:val="00475B38"/>
    <w:rsid w:val="00482097"/>
    <w:rsid w:val="00483A1A"/>
    <w:rsid w:val="00485E88"/>
    <w:rsid w:val="00486C03"/>
    <w:rsid w:val="0048744C"/>
    <w:rsid w:val="004908D8"/>
    <w:rsid w:val="00491538"/>
    <w:rsid w:val="00491F13"/>
    <w:rsid w:val="004920F5"/>
    <w:rsid w:val="00492AFA"/>
    <w:rsid w:val="00494846"/>
    <w:rsid w:val="00494AD4"/>
    <w:rsid w:val="004954C4"/>
    <w:rsid w:val="0049585A"/>
    <w:rsid w:val="00496138"/>
    <w:rsid w:val="004968BA"/>
    <w:rsid w:val="00496B15"/>
    <w:rsid w:val="004A5A58"/>
    <w:rsid w:val="004A6FCF"/>
    <w:rsid w:val="004B46C3"/>
    <w:rsid w:val="004B5431"/>
    <w:rsid w:val="004B6088"/>
    <w:rsid w:val="004B65A3"/>
    <w:rsid w:val="004B6F4B"/>
    <w:rsid w:val="004B73D8"/>
    <w:rsid w:val="004B7C0D"/>
    <w:rsid w:val="004C1D42"/>
    <w:rsid w:val="004C2B1A"/>
    <w:rsid w:val="004C2D0B"/>
    <w:rsid w:val="004C4217"/>
    <w:rsid w:val="004C6AE8"/>
    <w:rsid w:val="004D093E"/>
    <w:rsid w:val="004D13BB"/>
    <w:rsid w:val="004D1601"/>
    <w:rsid w:val="004D31DC"/>
    <w:rsid w:val="004D5A71"/>
    <w:rsid w:val="004D5B74"/>
    <w:rsid w:val="004E0A56"/>
    <w:rsid w:val="004E120D"/>
    <w:rsid w:val="004E2CDA"/>
    <w:rsid w:val="004E3896"/>
    <w:rsid w:val="004E48F0"/>
    <w:rsid w:val="004E625A"/>
    <w:rsid w:val="004F052B"/>
    <w:rsid w:val="004F1663"/>
    <w:rsid w:val="004F3B71"/>
    <w:rsid w:val="004F4AAC"/>
    <w:rsid w:val="004F4E08"/>
    <w:rsid w:val="004F701E"/>
    <w:rsid w:val="00501ACB"/>
    <w:rsid w:val="0050324C"/>
    <w:rsid w:val="00505632"/>
    <w:rsid w:val="00512E0F"/>
    <w:rsid w:val="00513BB5"/>
    <w:rsid w:val="00515BCE"/>
    <w:rsid w:val="0051707F"/>
    <w:rsid w:val="00526366"/>
    <w:rsid w:val="00530F49"/>
    <w:rsid w:val="005322B0"/>
    <w:rsid w:val="0053266C"/>
    <w:rsid w:val="00532EFB"/>
    <w:rsid w:val="0053622D"/>
    <w:rsid w:val="00543C49"/>
    <w:rsid w:val="00544D08"/>
    <w:rsid w:val="00545118"/>
    <w:rsid w:val="00545C08"/>
    <w:rsid w:val="005506A6"/>
    <w:rsid w:val="00550FEB"/>
    <w:rsid w:val="00552DE8"/>
    <w:rsid w:val="00553325"/>
    <w:rsid w:val="005540CE"/>
    <w:rsid w:val="00554D40"/>
    <w:rsid w:val="00557B46"/>
    <w:rsid w:val="005606A6"/>
    <w:rsid w:val="00561D22"/>
    <w:rsid w:val="005622E7"/>
    <w:rsid w:val="005643D1"/>
    <w:rsid w:val="00564454"/>
    <w:rsid w:val="00570B11"/>
    <w:rsid w:val="005715DA"/>
    <w:rsid w:val="005721DA"/>
    <w:rsid w:val="00572967"/>
    <w:rsid w:val="005738ED"/>
    <w:rsid w:val="00575A80"/>
    <w:rsid w:val="005775B3"/>
    <w:rsid w:val="00580428"/>
    <w:rsid w:val="00583A54"/>
    <w:rsid w:val="00584208"/>
    <w:rsid w:val="0058499C"/>
    <w:rsid w:val="00587065"/>
    <w:rsid w:val="00587861"/>
    <w:rsid w:val="00590575"/>
    <w:rsid w:val="0059372F"/>
    <w:rsid w:val="00594133"/>
    <w:rsid w:val="00595820"/>
    <w:rsid w:val="005A0581"/>
    <w:rsid w:val="005A05C8"/>
    <w:rsid w:val="005A2675"/>
    <w:rsid w:val="005A4E76"/>
    <w:rsid w:val="005A622B"/>
    <w:rsid w:val="005B0FBB"/>
    <w:rsid w:val="005B47E8"/>
    <w:rsid w:val="005B6A18"/>
    <w:rsid w:val="005C3F38"/>
    <w:rsid w:val="005C500B"/>
    <w:rsid w:val="005C63F0"/>
    <w:rsid w:val="005C6ACB"/>
    <w:rsid w:val="005C7213"/>
    <w:rsid w:val="005C7E82"/>
    <w:rsid w:val="005D0A4B"/>
    <w:rsid w:val="005D1897"/>
    <w:rsid w:val="005D292F"/>
    <w:rsid w:val="005D32C1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02F5F"/>
    <w:rsid w:val="006054EE"/>
    <w:rsid w:val="00606EC4"/>
    <w:rsid w:val="006101E4"/>
    <w:rsid w:val="00612242"/>
    <w:rsid w:val="00613DED"/>
    <w:rsid w:val="00616296"/>
    <w:rsid w:val="006162C8"/>
    <w:rsid w:val="006171D1"/>
    <w:rsid w:val="00617945"/>
    <w:rsid w:val="006211A1"/>
    <w:rsid w:val="006239FE"/>
    <w:rsid w:val="00623A01"/>
    <w:rsid w:val="0062406A"/>
    <w:rsid w:val="006251C6"/>
    <w:rsid w:val="00627303"/>
    <w:rsid w:val="00631A9E"/>
    <w:rsid w:val="00633411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3CFB"/>
    <w:rsid w:val="006649CA"/>
    <w:rsid w:val="0066502B"/>
    <w:rsid w:val="0066643E"/>
    <w:rsid w:val="0066664C"/>
    <w:rsid w:val="0067102F"/>
    <w:rsid w:val="00672923"/>
    <w:rsid w:val="00673220"/>
    <w:rsid w:val="006738B1"/>
    <w:rsid w:val="00681C63"/>
    <w:rsid w:val="006825EB"/>
    <w:rsid w:val="00682D89"/>
    <w:rsid w:val="006845AC"/>
    <w:rsid w:val="0068576E"/>
    <w:rsid w:val="006860A4"/>
    <w:rsid w:val="006864AF"/>
    <w:rsid w:val="00692615"/>
    <w:rsid w:val="006945FA"/>
    <w:rsid w:val="006949AB"/>
    <w:rsid w:val="006A4970"/>
    <w:rsid w:val="006A6595"/>
    <w:rsid w:val="006B1CE8"/>
    <w:rsid w:val="006B5EE1"/>
    <w:rsid w:val="006B61A0"/>
    <w:rsid w:val="006C0330"/>
    <w:rsid w:val="006C3E2A"/>
    <w:rsid w:val="006C46B3"/>
    <w:rsid w:val="006C4F86"/>
    <w:rsid w:val="006C5842"/>
    <w:rsid w:val="006C5ED3"/>
    <w:rsid w:val="006D24EE"/>
    <w:rsid w:val="006D2BD6"/>
    <w:rsid w:val="006D4F2F"/>
    <w:rsid w:val="006D61E4"/>
    <w:rsid w:val="006D6EEF"/>
    <w:rsid w:val="006E4D2F"/>
    <w:rsid w:val="006E775A"/>
    <w:rsid w:val="006F21B2"/>
    <w:rsid w:val="006F2D58"/>
    <w:rsid w:val="006F5843"/>
    <w:rsid w:val="006F5851"/>
    <w:rsid w:val="0070333F"/>
    <w:rsid w:val="00705853"/>
    <w:rsid w:val="00710589"/>
    <w:rsid w:val="007115CF"/>
    <w:rsid w:val="007117F4"/>
    <w:rsid w:val="00713756"/>
    <w:rsid w:val="007140D7"/>
    <w:rsid w:val="00720A7F"/>
    <w:rsid w:val="00722131"/>
    <w:rsid w:val="00725408"/>
    <w:rsid w:val="00727151"/>
    <w:rsid w:val="00730C57"/>
    <w:rsid w:val="00734801"/>
    <w:rsid w:val="00737401"/>
    <w:rsid w:val="00741D4C"/>
    <w:rsid w:val="007440AA"/>
    <w:rsid w:val="0074518D"/>
    <w:rsid w:val="007456E6"/>
    <w:rsid w:val="00745DFE"/>
    <w:rsid w:val="00751556"/>
    <w:rsid w:val="007517CE"/>
    <w:rsid w:val="00753738"/>
    <w:rsid w:val="0075703F"/>
    <w:rsid w:val="00757248"/>
    <w:rsid w:val="00760B80"/>
    <w:rsid w:val="00760EE6"/>
    <w:rsid w:val="00761E99"/>
    <w:rsid w:val="0076206A"/>
    <w:rsid w:val="007634C9"/>
    <w:rsid w:val="0076521B"/>
    <w:rsid w:val="007673B4"/>
    <w:rsid w:val="00770755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2A5"/>
    <w:rsid w:val="00786E33"/>
    <w:rsid w:val="00790086"/>
    <w:rsid w:val="00795FD1"/>
    <w:rsid w:val="00796D97"/>
    <w:rsid w:val="00796DF9"/>
    <w:rsid w:val="007971E6"/>
    <w:rsid w:val="007A0A4E"/>
    <w:rsid w:val="007A0E58"/>
    <w:rsid w:val="007A1768"/>
    <w:rsid w:val="007A67ED"/>
    <w:rsid w:val="007A705B"/>
    <w:rsid w:val="007B0F66"/>
    <w:rsid w:val="007B1CC5"/>
    <w:rsid w:val="007B438C"/>
    <w:rsid w:val="007C159F"/>
    <w:rsid w:val="007C3F47"/>
    <w:rsid w:val="007C626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0CA6"/>
    <w:rsid w:val="007E0CD1"/>
    <w:rsid w:val="007E1BD9"/>
    <w:rsid w:val="007E2FA4"/>
    <w:rsid w:val="007E356A"/>
    <w:rsid w:val="007E3CEC"/>
    <w:rsid w:val="007E6926"/>
    <w:rsid w:val="007E7CB3"/>
    <w:rsid w:val="007F046C"/>
    <w:rsid w:val="007F34C4"/>
    <w:rsid w:val="007F5618"/>
    <w:rsid w:val="007F5B60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5979"/>
    <w:rsid w:val="008063DF"/>
    <w:rsid w:val="00810168"/>
    <w:rsid w:val="00812AC2"/>
    <w:rsid w:val="00813699"/>
    <w:rsid w:val="008136E2"/>
    <w:rsid w:val="00813889"/>
    <w:rsid w:val="00820280"/>
    <w:rsid w:val="00822930"/>
    <w:rsid w:val="00823A76"/>
    <w:rsid w:val="008244F8"/>
    <w:rsid w:val="00824C66"/>
    <w:rsid w:val="00831A99"/>
    <w:rsid w:val="00836286"/>
    <w:rsid w:val="00837C26"/>
    <w:rsid w:val="00840C31"/>
    <w:rsid w:val="008426B2"/>
    <w:rsid w:val="008442FD"/>
    <w:rsid w:val="008443CF"/>
    <w:rsid w:val="00851D2D"/>
    <w:rsid w:val="00852594"/>
    <w:rsid w:val="00854491"/>
    <w:rsid w:val="0085689F"/>
    <w:rsid w:val="008614ED"/>
    <w:rsid w:val="008615B9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642"/>
    <w:rsid w:val="00880B7E"/>
    <w:rsid w:val="00881181"/>
    <w:rsid w:val="00881593"/>
    <w:rsid w:val="00881DB6"/>
    <w:rsid w:val="00883934"/>
    <w:rsid w:val="00883CEF"/>
    <w:rsid w:val="008840BB"/>
    <w:rsid w:val="00884C1C"/>
    <w:rsid w:val="00885814"/>
    <w:rsid w:val="00885BEC"/>
    <w:rsid w:val="00887793"/>
    <w:rsid w:val="00887DDA"/>
    <w:rsid w:val="00892B81"/>
    <w:rsid w:val="0089649C"/>
    <w:rsid w:val="008975DB"/>
    <w:rsid w:val="008A1232"/>
    <w:rsid w:val="008A4688"/>
    <w:rsid w:val="008A4EE4"/>
    <w:rsid w:val="008A50C1"/>
    <w:rsid w:val="008A61F5"/>
    <w:rsid w:val="008A6433"/>
    <w:rsid w:val="008B054B"/>
    <w:rsid w:val="008B1F2E"/>
    <w:rsid w:val="008B2BC1"/>
    <w:rsid w:val="008B57E2"/>
    <w:rsid w:val="008B5F89"/>
    <w:rsid w:val="008B7ADD"/>
    <w:rsid w:val="008C25F1"/>
    <w:rsid w:val="008C3145"/>
    <w:rsid w:val="008C3935"/>
    <w:rsid w:val="008C6098"/>
    <w:rsid w:val="008C7DA5"/>
    <w:rsid w:val="008D3918"/>
    <w:rsid w:val="008D3B4F"/>
    <w:rsid w:val="008D58D0"/>
    <w:rsid w:val="008D6DAC"/>
    <w:rsid w:val="008E4CA4"/>
    <w:rsid w:val="008E5E96"/>
    <w:rsid w:val="008F1AEC"/>
    <w:rsid w:val="008F21DC"/>
    <w:rsid w:val="008F4CEC"/>
    <w:rsid w:val="008F5D45"/>
    <w:rsid w:val="00901CF7"/>
    <w:rsid w:val="00902456"/>
    <w:rsid w:val="0090255C"/>
    <w:rsid w:val="009026ED"/>
    <w:rsid w:val="00902A6A"/>
    <w:rsid w:val="00904219"/>
    <w:rsid w:val="00905A56"/>
    <w:rsid w:val="00906711"/>
    <w:rsid w:val="00906D73"/>
    <w:rsid w:val="00910D26"/>
    <w:rsid w:val="00911E2C"/>
    <w:rsid w:val="00914274"/>
    <w:rsid w:val="00915218"/>
    <w:rsid w:val="00915AC3"/>
    <w:rsid w:val="00917480"/>
    <w:rsid w:val="00924D55"/>
    <w:rsid w:val="00924F20"/>
    <w:rsid w:val="009255C6"/>
    <w:rsid w:val="00925BF6"/>
    <w:rsid w:val="00926CCD"/>
    <w:rsid w:val="00927F69"/>
    <w:rsid w:val="00932592"/>
    <w:rsid w:val="00932724"/>
    <w:rsid w:val="00934182"/>
    <w:rsid w:val="00936B96"/>
    <w:rsid w:val="00942009"/>
    <w:rsid w:val="0094336B"/>
    <w:rsid w:val="009451F7"/>
    <w:rsid w:val="0094567A"/>
    <w:rsid w:val="009462EF"/>
    <w:rsid w:val="00946354"/>
    <w:rsid w:val="00946378"/>
    <w:rsid w:val="00946944"/>
    <w:rsid w:val="00950F57"/>
    <w:rsid w:val="00951FF5"/>
    <w:rsid w:val="00953141"/>
    <w:rsid w:val="00953670"/>
    <w:rsid w:val="00953ABE"/>
    <w:rsid w:val="00953F5F"/>
    <w:rsid w:val="00956058"/>
    <w:rsid w:val="009560FE"/>
    <w:rsid w:val="0095639D"/>
    <w:rsid w:val="00956D47"/>
    <w:rsid w:val="009612ED"/>
    <w:rsid w:val="00962742"/>
    <w:rsid w:val="00963577"/>
    <w:rsid w:val="00964E61"/>
    <w:rsid w:val="00965500"/>
    <w:rsid w:val="009662FF"/>
    <w:rsid w:val="009678A5"/>
    <w:rsid w:val="00971465"/>
    <w:rsid w:val="009716E9"/>
    <w:rsid w:val="00972174"/>
    <w:rsid w:val="00972DC3"/>
    <w:rsid w:val="009759A6"/>
    <w:rsid w:val="009774E2"/>
    <w:rsid w:val="00977D07"/>
    <w:rsid w:val="00981029"/>
    <w:rsid w:val="00983443"/>
    <w:rsid w:val="00986174"/>
    <w:rsid w:val="009871F4"/>
    <w:rsid w:val="009927DD"/>
    <w:rsid w:val="00993067"/>
    <w:rsid w:val="00995841"/>
    <w:rsid w:val="00995DBB"/>
    <w:rsid w:val="009973FF"/>
    <w:rsid w:val="009A04C2"/>
    <w:rsid w:val="009A1A09"/>
    <w:rsid w:val="009A283F"/>
    <w:rsid w:val="009A3453"/>
    <w:rsid w:val="009A4C10"/>
    <w:rsid w:val="009A4ED1"/>
    <w:rsid w:val="009A5052"/>
    <w:rsid w:val="009A62CC"/>
    <w:rsid w:val="009A7592"/>
    <w:rsid w:val="009A7BFB"/>
    <w:rsid w:val="009B2698"/>
    <w:rsid w:val="009B2A2B"/>
    <w:rsid w:val="009B4EDA"/>
    <w:rsid w:val="009C33E4"/>
    <w:rsid w:val="009D0085"/>
    <w:rsid w:val="009D1130"/>
    <w:rsid w:val="009D1202"/>
    <w:rsid w:val="009D1D31"/>
    <w:rsid w:val="009D3211"/>
    <w:rsid w:val="009D3B48"/>
    <w:rsid w:val="009D486A"/>
    <w:rsid w:val="009D4935"/>
    <w:rsid w:val="009D4B49"/>
    <w:rsid w:val="009D56B2"/>
    <w:rsid w:val="009D5850"/>
    <w:rsid w:val="009D6BA3"/>
    <w:rsid w:val="009E183D"/>
    <w:rsid w:val="009E1EA9"/>
    <w:rsid w:val="009E359D"/>
    <w:rsid w:val="009E365A"/>
    <w:rsid w:val="009E4139"/>
    <w:rsid w:val="009E531E"/>
    <w:rsid w:val="009E5D63"/>
    <w:rsid w:val="009E5EFA"/>
    <w:rsid w:val="009E617A"/>
    <w:rsid w:val="009E6C02"/>
    <w:rsid w:val="009E6F8A"/>
    <w:rsid w:val="009F0BD8"/>
    <w:rsid w:val="009F2EF7"/>
    <w:rsid w:val="009F6143"/>
    <w:rsid w:val="009F6862"/>
    <w:rsid w:val="00A0261D"/>
    <w:rsid w:val="00A05211"/>
    <w:rsid w:val="00A071CF"/>
    <w:rsid w:val="00A11EF4"/>
    <w:rsid w:val="00A12E85"/>
    <w:rsid w:val="00A13EA4"/>
    <w:rsid w:val="00A14C59"/>
    <w:rsid w:val="00A17436"/>
    <w:rsid w:val="00A211F1"/>
    <w:rsid w:val="00A21E60"/>
    <w:rsid w:val="00A22356"/>
    <w:rsid w:val="00A23C3A"/>
    <w:rsid w:val="00A24A69"/>
    <w:rsid w:val="00A259C6"/>
    <w:rsid w:val="00A30E49"/>
    <w:rsid w:val="00A32B2A"/>
    <w:rsid w:val="00A32FAD"/>
    <w:rsid w:val="00A34663"/>
    <w:rsid w:val="00A3567B"/>
    <w:rsid w:val="00A36B9C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56868"/>
    <w:rsid w:val="00A63CA6"/>
    <w:rsid w:val="00A64E89"/>
    <w:rsid w:val="00A70B84"/>
    <w:rsid w:val="00A71D30"/>
    <w:rsid w:val="00A71DF1"/>
    <w:rsid w:val="00A727AE"/>
    <w:rsid w:val="00A7421B"/>
    <w:rsid w:val="00A75058"/>
    <w:rsid w:val="00A763DB"/>
    <w:rsid w:val="00A80B3D"/>
    <w:rsid w:val="00A80CF4"/>
    <w:rsid w:val="00A83B3E"/>
    <w:rsid w:val="00A84C9F"/>
    <w:rsid w:val="00A85A9D"/>
    <w:rsid w:val="00A86274"/>
    <w:rsid w:val="00A864A1"/>
    <w:rsid w:val="00A87406"/>
    <w:rsid w:val="00A92509"/>
    <w:rsid w:val="00A93623"/>
    <w:rsid w:val="00A959EE"/>
    <w:rsid w:val="00A96BFE"/>
    <w:rsid w:val="00AA021F"/>
    <w:rsid w:val="00AA1DB3"/>
    <w:rsid w:val="00AA3270"/>
    <w:rsid w:val="00AA4359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80C"/>
    <w:rsid w:val="00AD2E54"/>
    <w:rsid w:val="00AD4DB2"/>
    <w:rsid w:val="00AD5FCC"/>
    <w:rsid w:val="00AD6348"/>
    <w:rsid w:val="00AE163D"/>
    <w:rsid w:val="00AE26FB"/>
    <w:rsid w:val="00AE3CFB"/>
    <w:rsid w:val="00AE3F67"/>
    <w:rsid w:val="00AE6F5E"/>
    <w:rsid w:val="00AE7AFC"/>
    <w:rsid w:val="00AF109B"/>
    <w:rsid w:val="00AF120E"/>
    <w:rsid w:val="00AF2816"/>
    <w:rsid w:val="00AF371C"/>
    <w:rsid w:val="00AF576D"/>
    <w:rsid w:val="00AF63AE"/>
    <w:rsid w:val="00AF7572"/>
    <w:rsid w:val="00B03F23"/>
    <w:rsid w:val="00B0409D"/>
    <w:rsid w:val="00B04FC6"/>
    <w:rsid w:val="00B05E68"/>
    <w:rsid w:val="00B06256"/>
    <w:rsid w:val="00B13D84"/>
    <w:rsid w:val="00B15440"/>
    <w:rsid w:val="00B16062"/>
    <w:rsid w:val="00B16375"/>
    <w:rsid w:val="00B21DD1"/>
    <w:rsid w:val="00B21F22"/>
    <w:rsid w:val="00B22450"/>
    <w:rsid w:val="00B30E91"/>
    <w:rsid w:val="00B30F72"/>
    <w:rsid w:val="00B3112C"/>
    <w:rsid w:val="00B32190"/>
    <w:rsid w:val="00B33396"/>
    <w:rsid w:val="00B3693F"/>
    <w:rsid w:val="00B37296"/>
    <w:rsid w:val="00B372CD"/>
    <w:rsid w:val="00B40E13"/>
    <w:rsid w:val="00B410A3"/>
    <w:rsid w:val="00B43628"/>
    <w:rsid w:val="00B442CF"/>
    <w:rsid w:val="00B47E25"/>
    <w:rsid w:val="00B51A43"/>
    <w:rsid w:val="00B5657B"/>
    <w:rsid w:val="00B57F82"/>
    <w:rsid w:val="00B6004F"/>
    <w:rsid w:val="00B63C24"/>
    <w:rsid w:val="00B64638"/>
    <w:rsid w:val="00B64C52"/>
    <w:rsid w:val="00B65CDD"/>
    <w:rsid w:val="00B7016D"/>
    <w:rsid w:val="00B7305E"/>
    <w:rsid w:val="00B75768"/>
    <w:rsid w:val="00B81942"/>
    <w:rsid w:val="00B81AC6"/>
    <w:rsid w:val="00B8277D"/>
    <w:rsid w:val="00B831CF"/>
    <w:rsid w:val="00B84951"/>
    <w:rsid w:val="00B855C1"/>
    <w:rsid w:val="00B874B5"/>
    <w:rsid w:val="00B900EF"/>
    <w:rsid w:val="00B902AB"/>
    <w:rsid w:val="00B92512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06B9"/>
    <w:rsid w:val="00BB2CD8"/>
    <w:rsid w:val="00BB2DD0"/>
    <w:rsid w:val="00BC0487"/>
    <w:rsid w:val="00BC089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1A7F"/>
    <w:rsid w:val="00BE1F99"/>
    <w:rsid w:val="00BE39B9"/>
    <w:rsid w:val="00BE39E1"/>
    <w:rsid w:val="00BE785D"/>
    <w:rsid w:val="00BE7AFD"/>
    <w:rsid w:val="00BF0CB8"/>
    <w:rsid w:val="00BF0E02"/>
    <w:rsid w:val="00BF2513"/>
    <w:rsid w:val="00BF4261"/>
    <w:rsid w:val="00BF46C5"/>
    <w:rsid w:val="00C03013"/>
    <w:rsid w:val="00C0362A"/>
    <w:rsid w:val="00C05742"/>
    <w:rsid w:val="00C07F9D"/>
    <w:rsid w:val="00C11D08"/>
    <w:rsid w:val="00C12980"/>
    <w:rsid w:val="00C1465D"/>
    <w:rsid w:val="00C15464"/>
    <w:rsid w:val="00C164A1"/>
    <w:rsid w:val="00C17090"/>
    <w:rsid w:val="00C178DF"/>
    <w:rsid w:val="00C20472"/>
    <w:rsid w:val="00C21CA5"/>
    <w:rsid w:val="00C23EB0"/>
    <w:rsid w:val="00C24535"/>
    <w:rsid w:val="00C256DB"/>
    <w:rsid w:val="00C33D58"/>
    <w:rsid w:val="00C36857"/>
    <w:rsid w:val="00C36978"/>
    <w:rsid w:val="00C41CBB"/>
    <w:rsid w:val="00C443A9"/>
    <w:rsid w:val="00C46578"/>
    <w:rsid w:val="00C46679"/>
    <w:rsid w:val="00C46856"/>
    <w:rsid w:val="00C50347"/>
    <w:rsid w:val="00C51098"/>
    <w:rsid w:val="00C51EDB"/>
    <w:rsid w:val="00C51EE7"/>
    <w:rsid w:val="00C52220"/>
    <w:rsid w:val="00C5265D"/>
    <w:rsid w:val="00C5482B"/>
    <w:rsid w:val="00C56B7B"/>
    <w:rsid w:val="00C578E0"/>
    <w:rsid w:val="00C61B73"/>
    <w:rsid w:val="00C642A4"/>
    <w:rsid w:val="00C6499D"/>
    <w:rsid w:val="00C651BD"/>
    <w:rsid w:val="00C653B0"/>
    <w:rsid w:val="00C65A6F"/>
    <w:rsid w:val="00C66B64"/>
    <w:rsid w:val="00C67761"/>
    <w:rsid w:val="00C710FE"/>
    <w:rsid w:val="00C7204C"/>
    <w:rsid w:val="00C72AF2"/>
    <w:rsid w:val="00C74F17"/>
    <w:rsid w:val="00C74F4A"/>
    <w:rsid w:val="00C80AC1"/>
    <w:rsid w:val="00C81FA4"/>
    <w:rsid w:val="00C8323C"/>
    <w:rsid w:val="00C83DD0"/>
    <w:rsid w:val="00C85CB3"/>
    <w:rsid w:val="00C85D0B"/>
    <w:rsid w:val="00C869DC"/>
    <w:rsid w:val="00C87C90"/>
    <w:rsid w:val="00C87CE8"/>
    <w:rsid w:val="00C92770"/>
    <w:rsid w:val="00C9485F"/>
    <w:rsid w:val="00C95AD7"/>
    <w:rsid w:val="00C95F13"/>
    <w:rsid w:val="00CA21A4"/>
    <w:rsid w:val="00CA323C"/>
    <w:rsid w:val="00CA332B"/>
    <w:rsid w:val="00CA3332"/>
    <w:rsid w:val="00CA3846"/>
    <w:rsid w:val="00CA3918"/>
    <w:rsid w:val="00CA3989"/>
    <w:rsid w:val="00CA3E44"/>
    <w:rsid w:val="00CA74CE"/>
    <w:rsid w:val="00CB0325"/>
    <w:rsid w:val="00CB1059"/>
    <w:rsid w:val="00CB31FA"/>
    <w:rsid w:val="00CB377E"/>
    <w:rsid w:val="00CB3F93"/>
    <w:rsid w:val="00CB4298"/>
    <w:rsid w:val="00CB51E9"/>
    <w:rsid w:val="00CB69DF"/>
    <w:rsid w:val="00CB721E"/>
    <w:rsid w:val="00CB7601"/>
    <w:rsid w:val="00CC1D43"/>
    <w:rsid w:val="00CC2528"/>
    <w:rsid w:val="00CC3528"/>
    <w:rsid w:val="00CC3DA4"/>
    <w:rsid w:val="00CC4912"/>
    <w:rsid w:val="00CC53C1"/>
    <w:rsid w:val="00CD132E"/>
    <w:rsid w:val="00CD1BE9"/>
    <w:rsid w:val="00CE0208"/>
    <w:rsid w:val="00CE0DC1"/>
    <w:rsid w:val="00CE1143"/>
    <w:rsid w:val="00CE3CDD"/>
    <w:rsid w:val="00CE5EB9"/>
    <w:rsid w:val="00CE6041"/>
    <w:rsid w:val="00CE738E"/>
    <w:rsid w:val="00CE7BF2"/>
    <w:rsid w:val="00CF0D0B"/>
    <w:rsid w:val="00CF2F0B"/>
    <w:rsid w:val="00CF323B"/>
    <w:rsid w:val="00CF4903"/>
    <w:rsid w:val="00CF74A0"/>
    <w:rsid w:val="00D035A2"/>
    <w:rsid w:val="00D05F11"/>
    <w:rsid w:val="00D06F12"/>
    <w:rsid w:val="00D12348"/>
    <w:rsid w:val="00D1268B"/>
    <w:rsid w:val="00D13112"/>
    <w:rsid w:val="00D13188"/>
    <w:rsid w:val="00D13AE4"/>
    <w:rsid w:val="00D13DDD"/>
    <w:rsid w:val="00D1504B"/>
    <w:rsid w:val="00D16EA1"/>
    <w:rsid w:val="00D21279"/>
    <w:rsid w:val="00D21D0A"/>
    <w:rsid w:val="00D224C5"/>
    <w:rsid w:val="00D22AB7"/>
    <w:rsid w:val="00D24B73"/>
    <w:rsid w:val="00D25DA6"/>
    <w:rsid w:val="00D30263"/>
    <w:rsid w:val="00D30AC7"/>
    <w:rsid w:val="00D32D1F"/>
    <w:rsid w:val="00D34D3F"/>
    <w:rsid w:val="00D40171"/>
    <w:rsid w:val="00D41E3E"/>
    <w:rsid w:val="00D425F7"/>
    <w:rsid w:val="00D43320"/>
    <w:rsid w:val="00D469B3"/>
    <w:rsid w:val="00D47343"/>
    <w:rsid w:val="00D5055C"/>
    <w:rsid w:val="00D52D32"/>
    <w:rsid w:val="00D52E0A"/>
    <w:rsid w:val="00D533D8"/>
    <w:rsid w:val="00D54652"/>
    <w:rsid w:val="00D54927"/>
    <w:rsid w:val="00D54949"/>
    <w:rsid w:val="00D55E68"/>
    <w:rsid w:val="00D56E3B"/>
    <w:rsid w:val="00D57892"/>
    <w:rsid w:val="00D63164"/>
    <w:rsid w:val="00D65979"/>
    <w:rsid w:val="00D707E4"/>
    <w:rsid w:val="00D70F82"/>
    <w:rsid w:val="00D724F5"/>
    <w:rsid w:val="00D72D67"/>
    <w:rsid w:val="00D74084"/>
    <w:rsid w:val="00D76A44"/>
    <w:rsid w:val="00D76D9C"/>
    <w:rsid w:val="00D77527"/>
    <w:rsid w:val="00D779E9"/>
    <w:rsid w:val="00D80CFC"/>
    <w:rsid w:val="00D81D1C"/>
    <w:rsid w:val="00D82245"/>
    <w:rsid w:val="00D83E2F"/>
    <w:rsid w:val="00D8421E"/>
    <w:rsid w:val="00D86AB4"/>
    <w:rsid w:val="00D8757B"/>
    <w:rsid w:val="00D9038B"/>
    <w:rsid w:val="00D923AD"/>
    <w:rsid w:val="00D9286F"/>
    <w:rsid w:val="00D93510"/>
    <w:rsid w:val="00D940CB"/>
    <w:rsid w:val="00D94609"/>
    <w:rsid w:val="00D96360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2CC3"/>
    <w:rsid w:val="00DB350F"/>
    <w:rsid w:val="00DB5004"/>
    <w:rsid w:val="00DB6568"/>
    <w:rsid w:val="00DB6A67"/>
    <w:rsid w:val="00DB786B"/>
    <w:rsid w:val="00DC196A"/>
    <w:rsid w:val="00DC1F91"/>
    <w:rsid w:val="00DC292C"/>
    <w:rsid w:val="00DC2E42"/>
    <w:rsid w:val="00DC5DC2"/>
    <w:rsid w:val="00DC64E4"/>
    <w:rsid w:val="00DC7F13"/>
    <w:rsid w:val="00DD103D"/>
    <w:rsid w:val="00DD1CE7"/>
    <w:rsid w:val="00DD2580"/>
    <w:rsid w:val="00DD2D7D"/>
    <w:rsid w:val="00DD586F"/>
    <w:rsid w:val="00DD5A72"/>
    <w:rsid w:val="00DD6071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E77BE"/>
    <w:rsid w:val="00DF39A7"/>
    <w:rsid w:val="00DF3ABA"/>
    <w:rsid w:val="00DF4813"/>
    <w:rsid w:val="00DF62B2"/>
    <w:rsid w:val="00E007BE"/>
    <w:rsid w:val="00E01FA1"/>
    <w:rsid w:val="00E02162"/>
    <w:rsid w:val="00E021E0"/>
    <w:rsid w:val="00E02DCB"/>
    <w:rsid w:val="00E0317F"/>
    <w:rsid w:val="00E05460"/>
    <w:rsid w:val="00E05B92"/>
    <w:rsid w:val="00E0676A"/>
    <w:rsid w:val="00E06BAE"/>
    <w:rsid w:val="00E077C7"/>
    <w:rsid w:val="00E117D4"/>
    <w:rsid w:val="00E11A81"/>
    <w:rsid w:val="00E12C55"/>
    <w:rsid w:val="00E16B47"/>
    <w:rsid w:val="00E16D3D"/>
    <w:rsid w:val="00E16D50"/>
    <w:rsid w:val="00E17FE9"/>
    <w:rsid w:val="00E30EFE"/>
    <w:rsid w:val="00E337E2"/>
    <w:rsid w:val="00E34380"/>
    <w:rsid w:val="00E34BA6"/>
    <w:rsid w:val="00E34D59"/>
    <w:rsid w:val="00E355BA"/>
    <w:rsid w:val="00E35DA1"/>
    <w:rsid w:val="00E36FA8"/>
    <w:rsid w:val="00E37CCD"/>
    <w:rsid w:val="00E4153C"/>
    <w:rsid w:val="00E444F9"/>
    <w:rsid w:val="00E4591D"/>
    <w:rsid w:val="00E50275"/>
    <w:rsid w:val="00E52A9F"/>
    <w:rsid w:val="00E53D86"/>
    <w:rsid w:val="00E56A96"/>
    <w:rsid w:val="00E6096F"/>
    <w:rsid w:val="00E628D7"/>
    <w:rsid w:val="00E65E94"/>
    <w:rsid w:val="00E741B1"/>
    <w:rsid w:val="00E74CB6"/>
    <w:rsid w:val="00E752B6"/>
    <w:rsid w:val="00E767FA"/>
    <w:rsid w:val="00E80E73"/>
    <w:rsid w:val="00E813BB"/>
    <w:rsid w:val="00E85A96"/>
    <w:rsid w:val="00E909E5"/>
    <w:rsid w:val="00E90B90"/>
    <w:rsid w:val="00E90BEE"/>
    <w:rsid w:val="00E9181C"/>
    <w:rsid w:val="00E91C5C"/>
    <w:rsid w:val="00E91EAF"/>
    <w:rsid w:val="00E92125"/>
    <w:rsid w:val="00E948E2"/>
    <w:rsid w:val="00E94F20"/>
    <w:rsid w:val="00E976CD"/>
    <w:rsid w:val="00E97A98"/>
    <w:rsid w:val="00EA0141"/>
    <w:rsid w:val="00EA2507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28D7"/>
    <w:rsid w:val="00EC3390"/>
    <w:rsid w:val="00EC418E"/>
    <w:rsid w:val="00EC5050"/>
    <w:rsid w:val="00EC580C"/>
    <w:rsid w:val="00EC6E9B"/>
    <w:rsid w:val="00EC7F16"/>
    <w:rsid w:val="00ED028B"/>
    <w:rsid w:val="00ED0711"/>
    <w:rsid w:val="00ED3FCC"/>
    <w:rsid w:val="00ED46C4"/>
    <w:rsid w:val="00ED7C5C"/>
    <w:rsid w:val="00EE02A9"/>
    <w:rsid w:val="00EE0E4C"/>
    <w:rsid w:val="00EE2376"/>
    <w:rsid w:val="00EE3932"/>
    <w:rsid w:val="00EE5E0F"/>
    <w:rsid w:val="00EF0235"/>
    <w:rsid w:val="00EF0669"/>
    <w:rsid w:val="00EF12BA"/>
    <w:rsid w:val="00EF13BF"/>
    <w:rsid w:val="00EF1536"/>
    <w:rsid w:val="00EF7518"/>
    <w:rsid w:val="00F00306"/>
    <w:rsid w:val="00F00BF5"/>
    <w:rsid w:val="00F01344"/>
    <w:rsid w:val="00F03889"/>
    <w:rsid w:val="00F03B37"/>
    <w:rsid w:val="00F04D52"/>
    <w:rsid w:val="00F05F1C"/>
    <w:rsid w:val="00F108D7"/>
    <w:rsid w:val="00F111F6"/>
    <w:rsid w:val="00F12823"/>
    <w:rsid w:val="00F13F43"/>
    <w:rsid w:val="00F149B2"/>
    <w:rsid w:val="00F16F88"/>
    <w:rsid w:val="00F21843"/>
    <w:rsid w:val="00F21DBA"/>
    <w:rsid w:val="00F227B5"/>
    <w:rsid w:val="00F234B0"/>
    <w:rsid w:val="00F2693C"/>
    <w:rsid w:val="00F31885"/>
    <w:rsid w:val="00F32F97"/>
    <w:rsid w:val="00F33016"/>
    <w:rsid w:val="00F33B35"/>
    <w:rsid w:val="00F34B56"/>
    <w:rsid w:val="00F35B8F"/>
    <w:rsid w:val="00F35DFA"/>
    <w:rsid w:val="00F36F52"/>
    <w:rsid w:val="00F42D22"/>
    <w:rsid w:val="00F440C8"/>
    <w:rsid w:val="00F44ABD"/>
    <w:rsid w:val="00F44E5B"/>
    <w:rsid w:val="00F45CF4"/>
    <w:rsid w:val="00F45E41"/>
    <w:rsid w:val="00F46FE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5284"/>
    <w:rsid w:val="00F766AE"/>
    <w:rsid w:val="00F76EE8"/>
    <w:rsid w:val="00F77963"/>
    <w:rsid w:val="00F81583"/>
    <w:rsid w:val="00F82939"/>
    <w:rsid w:val="00F83778"/>
    <w:rsid w:val="00F84672"/>
    <w:rsid w:val="00F84D01"/>
    <w:rsid w:val="00F86A73"/>
    <w:rsid w:val="00F87856"/>
    <w:rsid w:val="00F90043"/>
    <w:rsid w:val="00F91DCF"/>
    <w:rsid w:val="00F92240"/>
    <w:rsid w:val="00F932AC"/>
    <w:rsid w:val="00F9430A"/>
    <w:rsid w:val="00F9532D"/>
    <w:rsid w:val="00F957FD"/>
    <w:rsid w:val="00FA24A7"/>
    <w:rsid w:val="00FA65B7"/>
    <w:rsid w:val="00FA773D"/>
    <w:rsid w:val="00FA7773"/>
    <w:rsid w:val="00FB4849"/>
    <w:rsid w:val="00FB5470"/>
    <w:rsid w:val="00FB5E5C"/>
    <w:rsid w:val="00FB7DEF"/>
    <w:rsid w:val="00FB7FBB"/>
    <w:rsid w:val="00FC2F0B"/>
    <w:rsid w:val="00FC791E"/>
    <w:rsid w:val="00FD4E2D"/>
    <w:rsid w:val="00FD50F5"/>
    <w:rsid w:val="00FD5154"/>
    <w:rsid w:val="00FD574D"/>
    <w:rsid w:val="00FD6A02"/>
    <w:rsid w:val="00FD7ED6"/>
    <w:rsid w:val="00FE1775"/>
    <w:rsid w:val="00FE268E"/>
    <w:rsid w:val="00FE2C16"/>
    <w:rsid w:val="00FE301C"/>
    <w:rsid w:val="00FE437C"/>
    <w:rsid w:val="00FE5702"/>
    <w:rsid w:val="00FE5EE0"/>
    <w:rsid w:val="00FE6056"/>
    <w:rsid w:val="00FE6EDE"/>
    <w:rsid w:val="00FE733F"/>
    <w:rsid w:val="00FF2333"/>
    <w:rsid w:val="00FF27DD"/>
    <w:rsid w:val="00FF39A5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689C24"/>
  <w15:docId w15:val="{41113B86-279F-4F8E-8300-D443A4DB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semiHidden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  <w:style w:type="paragraph" w:styleId="HTMLPreformatted">
    <w:name w:val="HTML Preformatted"/>
    <w:basedOn w:val="Normal"/>
    <w:link w:val="HTMLPreformattedChar"/>
    <w:uiPriority w:val="99"/>
    <w:unhideWhenUsed/>
    <w:rsid w:val="00041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F6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6c69923-81ca-4877-b551-0a42433c9d52" origin="userSelected">
  <element uid="89d3b76a-033d-441b-8672-393549e2b1c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39D1-2640-4C24-A7BB-4B601456170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7FCE7F0-71FB-4CBF-A091-172B5B04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Saed Khalil</dc:creator>
  <cp:keywords>PUBLIC - عام</cp:keywords>
  <cp:lastModifiedBy>Hadeel Badran</cp:lastModifiedBy>
  <cp:revision>5</cp:revision>
  <cp:lastPrinted>2023-06-19T08:12:00Z</cp:lastPrinted>
  <dcterms:created xsi:type="dcterms:W3CDTF">2023-06-19T08:10:00Z</dcterms:created>
  <dcterms:modified xsi:type="dcterms:W3CDTF">2023-06-19T08:17:00Z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  <property fmtid="{D5CDD505-2E9C-101B-9397-08002B2CF9AE}" pid="4" name="docIndexRef">
    <vt:lpwstr>977b04bd-0273-47ce-829a-9bd2329d0cd6</vt:lpwstr>
  </property>
  <property fmtid="{D5CDD505-2E9C-101B-9397-08002B2CF9AE}" pid="5" name="bjSaver">
    <vt:lpwstr>MGlve4BmAq75WNicJRBf1B5O43smf+Ic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policy="56c69923-81ca-4877-b551-0a42433c9d52" origin="userSelected" xmlns="http://www.boldonj</vt:lpwstr>
  </property>
  <property fmtid="{D5CDD505-2E9C-101B-9397-08002B2CF9AE}" pid="7" name="bjDocumentLabelXML-0">
    <vt:lpwstr>ames.com/2008/01/sie/internal/label"&gt;&lt;element uid="89d3b76a-033d-441b-8672-393549e2b1c3" value="" /&gt;&lt;/sisl&gt;</vt:lpwstr>
  </property>
  <property fmtid="{D5CDD505-2E9C-101B-9397-08002B2CF9AE}" pid="8" name="bjDocumentSecurityLabel">
    <vt:lpwstr>PUBLIC - عام</vt:lpwstr>
  </property>
</Properties>
</file>