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B75" w:rsidRDefault="00873B75" w:rsidP="00873B75">
      <w:pPr>
        <w:bidi w:val="0"/>
        <w:jc w:val="both"/>
        <w:outlineLvl w:val="0"/>
        <w:rPr>
          <w:b/>
          <w:bCs/>
        </w:rPr>
      </w:pPr>
    </w:p>
    <w:p w:rsidR="00873B75" w:rsidRDefault="00873B75" w:rsidP="00873B75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Palestinian Central Bureau of Statistics (PCBS)</w:t>
      </w:r>
    </w:p>
    <w:p w:rsidR="00873B75" w:rsidRPr="00873B75" w:rsidRDefault="00873B75" w:rsidP="00873B75">
      <w:pPr>
        <w:jc w:val="center"/>
        <w:outlineLvl w:val="0"/>
        <w:rPr>
          <w:b/>
          <w:bCs/>
          <w:sz w:val="16"/>
          <w:szCs w:val="16"/>
        </w:rPr>
      </w:pPr>
    </w:p>
    <w:p w:rsidR="00873B75" w:rsidRPr="00873B75" w:rsidRDefault="008F0003" w:rsidP="00873B75">
      <w:pPr>
        <w:bidi w:val="0"/>
        <w:jc w:val="center"/>
        <w:outlineLvl w:val="0"/>
        <w:rPr>
          <w:b/>
          <w:bCs/>
          <w:kern w:val="36"/>
          <w:sz w:val="28"/>
          <w:szCs w:val="28"/>
        </w:rPr>
      </w:pPr>
      <w:r w:rsidRPr="00873B75">
        <w:rPr>
          <w:b/>
          <w:bCs/>
          <w:sz w:val="28"/>
          <w:szCs w:val="28"/>
        </w:rPr>
        <w:t>The</w:t>
      </w:r>
      <w:r w:rsidR="00873B75" w:rsidRPr="00873B75">
        <w:rPr>
          <w:b/>
          <w:bCs/>
          <w:sz w:val="28"/>
          <w:szCs w:val="28"/>
        </w:rPr>
        <w:t xml:space="preserve"> Industrial Production Index (IPI) in Palestine</w:t>
      </w:r>
      <w:r w:rsidR="00873B75" w:rsidRPr="00873B75">
        <w:rPr>
          <w:b/>
          <w:bCs/>
          <w:kern w:val="36"/>
          <w:sz w:val="28"/>
          <w:szCs w:val="28"/>
        </w:rPr>
        <w:t xml:space="preserve"> </w:t>
      </w:r>
      <w:r w:rsidR="00873B75" w:rsidRPr="00873B75">
        <w:rPr>
          <w:b/>
          <w:bCs/>
          <w:sz w:val="28"/>
          <w:szCs w:val="28"/>
        </w:rPr>
        <w:t>during 2023&amp; Decemb</w:t>
      </w:r>
      <w:bookmarkStart w:id="0" w:name="_GoBack"/>
      <w:bookmarkEnd w:id="0"/>
      <w:r w:rsidR="00873B75" w:rsidRPr="00873B75">
        <w:rPr>
          <w:b/>
          <w:bCs/>
          <w:sz w:val="28"/>
          <w:szCs w:val="28"/>
        </w:rPr>
        <w:t>er,</w:t>
      </w:r>
      <w:r>
        <w:rPr>
          <w:b/>
          <w:bCs/>
          <w:sz w:val="28"/>
          <w:szCs w:val="28"/>
        </w:rPr>
        <w:t xml:space="preserve"> </w:t>
      </w:r>
      <w:r w:rsidR="00873B75" w:rsidRPr="00873B75">
        <w:rPr>
          <w:b/>
          <w:bCs/>
          <w:sz w:val="28"/>
          <w:szCs w:val="28"/>
        </w:rPr>
        <w:t>12/</w:t>
      </w:r>
      <w:r w:rsidR="00873B75" w:rsidRPr="00873B75">
        <w:rPr>
          <w:b/>
          <w:bCs/>
          <w:kern w:val="36"/>
          <w:sz w:val="28"/>
          <w:szCs w:val="28"/>
        </w:rPr>
        <w:t>2023</w:t>
      </w:r>
    </w:p>
    <w:p w:rsidR="00873B75" w:rsidRDefault="00873B75" w:rsidP="00873B75">
      <w:pPr>
        <w:bidi w:val="0"/>
        <w:jc w:val="center"/>
        <w:outlineLvl w:val="0"/>
        <w:rPr>
          <w:b/>
          <w:bCs/>
          <w:sz w:val="16"/>
          <w:szCs w:val="16"/>
        </w:rPr>
      </w:pPr>
    </w:p>
    <w:p w:rsidR="00873B75" w:rsidRDefault="00873B75" w:rsidP="008F0003">
      <w:pPr>
        <w:bidi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FD0669" w:rsidRPr="008F0003" w:rsidRDefault="00F73AF6" w:rsidP="008F0003">
      <w:pPr>
        <w:bidi w:val="0"/>
        <w:jc w:val="center"/>
        <w:outlineLvl w:val="0"/>
        <w:rPr>
          <w:b/>
          <w:bCs/>
          <w:sz w:val="28"/>
          <w:szCs w:val="28"/>
        </w:rPr>
      </w:pPr>
      <w:r w:rsidRPr="008F0003">
        <w:rPr>
          <w:b/>
          <w:bCs/>
          <w:sz w:val="28"/>
          <w:szCs w:val="28"/>
        </w:rPr>
        <w:t xml:space="preserve">Sharp </w:t>
      </w:r>
      <w:r w:rsidR="009E7E2F" w:rsidRPr="008F0003">
        <w:rPr>
          <w:b/>
          <w:bCs/>
          <w:sz w:val="28"/>
          <w:szCs w:val="28"/>
        </w:rPr>
        <w:t>Decrease</w:t>
      </w:r>
      <w:r w:rsidR="00FD0669" w:rsidRPr="008F0003">
        <w:rPr>
          <w:b/>
          <w:bCs/>
          <w:sz w:val="28"/>
          <w:szCs w:val="28"/>
        </w:rPr>
        <w:t xml:space="preserve"> in the Industrial Production Index (IPI) in Palestine</w:t>
      </w:r>
      <w:r w:rsidR="00FD0669" w:rsidRPr="008F0003">
        <w:rPr>
          <w:b/>
          <w:bCs/>
          <w:kern w:val="36"/>
          <w:sz w:val="28"/>
          <w:szCs w:val="28"/>
        </w:rPr>
        <w:t xml:space="preserve"> </w:t>
      </w:r>
      <w:r w:rsidR="00FD0669" w:rsidRPr="008F0003">
        <w:rPr>
          <w:b/>
          <w:bCs/>
          <w:sz w:val="28"/>
          <w:szCs w:val="28"/>
        </w:rPr>
        <w:t>during</w:t>
      </w:r>
      <w:r w:rsidR="008F0003">
        <w:rPr>
          <w:b/>
          <w:bCs/>
          <w:sz w:val="28"/>
          <w:szCs w:val="28"/>
        </w:rPr>
        <w:t>,</w:t>
      </w:r>
      <w:r w:rsidR="00FD0669" w:rsidRPr="008F0003">
        <w:rPr>
          <w:b/>
          <w:bCs/>
          <w:sz w:val="28"/>
          <w:szCs w:val="28"/>
        </w:rPr>
        <w:t xml:space="preserve"> </w:t>
      </w:r>
      <w:r w:rsidR="00C93B1F" w:rsidRPr="008F0003">
        <w:rPr>
          <w:b/>
          <w:bCs/>
          <w:kern w:val="36"/>
          <w:sz w:val="28"/>
          <w:szCs w:val="28"/>
        </w:rPr>
        <w:t>2023</w:t>
      </w:r>
    </w:p>
    <w:p w:rsidR="008F0003" w:rsidRPr="008F0003" w:rsidRDefault="008F0003" w:rsidP="00873B75">
      <w:pPr>
        <w:bidi w:val="0"/>
        <w:jc w:val="both"/>
        <w:outlineLvl w:val="0"/>
        <w:rPr>
          <w:sz w:val="16"/>
          <w:szCs w:val="16"/>
        </w:rPr>
      </w:pPr>
    </w:p>
    <w:p w:rsidR="00FD0669" w:rsidRPr="00873B75" w:rsidRDefault="00FD0669" w:rsidP="008F0003">
      <w:pPr>
        <w:bidi w:val="0"/>
        <w:jc w:val="both"/>
        <w:outlineLvl w:val="0"/>
        <w:rPr>
          <w:sz w:val="26"/>
          <w:szCs w:val="26"/>
        </w:rPr>
      </w:pPr>
      <w:r w:rsidRPr="00873B75">
        <w:rPr>
          <w:sz w:val="26"/>
          <w:szCs w:val="26"/>
        </w:rPr>
        <w:t>The overall</w:t>
      </w:r>
      <w:r w:rsidRPr="00873B75">
        <w:rPr>
          <w:b/>
          <w:bCs/>
          <w:sz w:val="26"/>
          <w:szCs w:val="26"/>
        </w:rPr>
        <w:t xml:space="preserve"> IPI in Palestine </w:t>
      </w:r>
      <w:r w:rsidRPr="00873B75">
        <w:rPr>
          <w:sz w:val="26"/>
          <w:szCs w:val="26"/>
        </w:rPr>
        <w:t>with its Base Year (2019 = 100) reached</w:t>
      </w:r>
      <w:r w:rsidRPr="00873B75">
        <w:rPr>
          <w:b/>
          <w:bCs/>
          <w:sz w:val="26"/>
          <w:szCs w:val="26"/>
        </w:rPr>
        <w:t xml:space="preserve"> </w:t>
      </w:r>
      <w:r w:rsidR="00F73AF6" w:rsidRPr="00873B75">
        <w:rPr>
          <w:b/>
          <w:bCs/>
          <w:sz w:val="26"/>
          <w:szCs w:val="26"/>
        </w:rPr>
        <w:t>99.81</w:t>
      </w:r>
      <w:r w:rsidRPr="00873B75">
        <w:rPr>
          <w:sz w:val="26"/>
          <w:szCs w:val="26"/>
        </w:rPr>
        <w:t xml:space="preserve"> </w:t>
      </w:r>
      <w:r w:rsidRPr="00873B75">
        <w:rPr>
          <w:b/>
          <w:bCs/>
          <w:sz w:val="26"/>
          <w:szCs w:val="26"/>
        </w:rPr>
        <w:t xml:space="preserve">in </w:t>
      </w:r>
      <w:r w:rsidR="00C93B1F" w:rsidRPr="00873B75">
        <w:rPr>
          <w:b/>
          <w:bCs/>
          <w:sz w:val="26"/>
          <w:szCs w:val="26"/>
        </w:rPr>
        <w:t>2023</w:t>
      </w:r>
      <w:r w:rsidR="00C93B1F" w:rsidRPr="00873B75">
        <w:rPr>
          <w:sz w:val="26"/>
          <w:szCs w:val="26"/>
        </w:rPr>
        <w:t>, which</w:t>
      </w:r>
      <w:r w:rsidRPr="00873B75">
        <w:rPr>
          <w:b/>
          <w:bCs/>
          <w:sz w:val="26"/>
          <w:szCs w:val="26"/>
        </w:rPr>
        <w:t xml:space="preserve"> indicates </w:t>
      </w:r>
      <w:r w:rsidR="00F73AF6" w:rsidRPr="00873B75">
        <w:rPr>
          <w:b/>
          <w:bCs/>
          <w:sz w:val="26"/>
          <w:szCs w:val="26"/>
        </w:rPr>
        <w:t xml:space="preserve">a sharp decrease </w:t>
      </w:r>
      <w:r w:rsidRPr="00873B75">
        <w:rPr>
          <w:b/>
          <w:bCs/>
          <w:sz w:val="26"/>
          <w:szCs w:val="26"/>
        </w:rPr>
        <w:t xml:space="preserve">by </w:t>
      </w:r>
      <w:r w:rsidR="00F73AF6" w:rsidRPr="00873B75">
        <w:rPr>
          <w:b/>
          <w:bCs/>
          <w:sz w:val="26"/>
          <w:szCs w:val="26"/>
        </w:rPr>
        <w:t>8.01</w:t>
      </w:r>
      <w:r w:rsidRPr="00873B75">
        <w:rPr>
          <w:b/>
          <w:bCs/>
          <w:sz w:val="26"/>
          <w:szCs w:val="26"/>
        </w:rPr>
        <w:t>% compared to</w:t>
      </w:r>
      <w:r w:rsidRPr="00873B75">
        <w:rPr>
          <w:sz w:val="26"/>
          <w:szCs w:val="26"/>
        </w:rPr>
        <w:t xml:space="preserve"> </w:t>
      </w:r>
      <w:r w:rsidR="00C93B1F" w:rsidRPr="00873B75">
        <w:rPr>
          <w:b/>
          <w:bCs/>
          <w:sz w:val="26"/>
          <w:szCs w:val="26"/>
        </w:rPr>
        <w:t>2022</w:t>
      </w:r>
      <w:r w:rsidRPr="00873B75">
        <w:rPr>
          <w:sz w:val="26"/>
          <w:szCs w:val="26"/>
        </w:rPr>
        <w:t>.</w:t>
      </w:r>
    </w:p>
    <w:p w:rsidR="00FD0669" w:rsidRPr="00873B75" w:rsidRDefault="00FD0669" w:rsidP="00873B75">
      <w:pPr>
        <w:tabs>
          <w:tab w:val="left" w:pos="9440"/>
          <w:tab w:val="right" w:pos="10205"/>
        </w:tabs>
        <w:bidi w:val="0"/>
        <w:jc w:val="both"/>
        <w:outlineLvl w:val="0"/>
        <w:rPr>
          <w:sz w:val="16"/>
          <w:szCs w:val="16"/>
        </w:rPr>
      </w:pPr>
    </w:p>
    <w:p w:rsidR="00FD0669" w:rsidRPr="00873B75" w:rsidRDefault="00FD0669" w:rsidP="00873B75">
      <w:pPr>
        <w:bidi w:val="0"/>
        <w:jc w:val="both"/>
        <w:outlineLvl w:val="0"/>
        <w:rPr>
          <w:rFonts w:asciiTheme="majorBidi" w:hAnsiTheme="majorBidi" w:cstheme="majorBidi"/>
          <w:sz w:val="26"/>
          <w:szCs w:val="26"/>
          <w:rtl/>
        </w:rPr>
      </w:pPr>
      <w:r w:rsidRPr="00873B75">
        <w:rPr>
          <w:sz w:val="26"/>
          <w:szCs w:val="26"/>
        </w:rPr>
        <w:t xml:space="preserve">IPI for </w:t>
      </w:r>
      <w:r w:rsidR="00C93B1F" w:rsidRPr="00873B75">
        <w:rPr>
          <w:sz w:val="26"/>
          <w:szCs w:val="26"/>
        </w:rPr>
        <w:t>2023</w:t>
      </w:r>
      <w:r w:rsidRPr="00873B75">
        <w:rPr>
          <w:sz w:val="26"/>
          <w:szCs w:val="26"/>
        </w:rPr>
        <w:t xml:space="preserve"> </w:t>
      </w:r>
      <w:r w:rsidR="009E7E2F" w:rsidRPr="00873B75">
        <w:rPr>
          <w:sz w:val="26"/>
          <w:szCs w:val="26"/>
        </w:rPr>
        <w:t xml:space="preserve">sharply </w:t>
      </w:r>
      <w:r w:rsidR="0053497C" w:rsidRPr="00873B75">
        <w:rPr>
          <w:sz w:val="26"/>
          <w:szCs w:val="26"/>
        </w:rPr>
        <w:t>decease</w:t>
      </w:r>
      <w:r w:rsidR="00F440BA" w:rsidRPr="00873B75">
        <w:rPr>
          <w:sz w:val="26"/>
          <w:szCs w:val="26"/>
        </w:rPr>
        <w:t>d</w:t>
      </w:r>
      <w:r w:rsidRPr="00873B75">
        <w:rPr>
          <w:sz w:val="26"/>
          <w:szCs w:val="26"/>
        </w:rPr>
        <w:t xml:space="preserve"> due to the</w:t>
      </w:r>
      <w:r w:rsidR="009E7E2F" w:rsidRPr="00873B75">
        <w:rPr>
          <w:sz w:val="26"/>
          <w:szCs w:val="26"/>
        </w:rPr>
        <w:t xml:space="preserve"> sharp</w:t>
      </w:r>
      <w:r w:rsidRPr="00873B75">
        <w:rPr>
          <w:sz w:val="26"/>
          <w:szCs w:val="26"/>
        </w:rPr>
        <w:t xml:space="preserve"> </w:t>
      </w:r>
      <w:r w:rsidR="0053497C" w:rsidRPr="00873B75">
        <w:rPr>
          <w:sz w:val="26"/>
          <w:szCs w:val="26"/>
        </w:rPr>
        <w:t>decrease</w:t>
      </w:r>
      <w:r w:rsidRPr="00873B75">
        <w:rPr>
          <w:sz w:val="26"/>
          <w:szCs w:val="26"/>
        </w:rPr>
        <w:t xml:space="preserve"> in the </w:t>
      </w:r>
      <w:r w:rsidRPr="00873B75">
        <w:rPr>
          <w:b/>
          <w:bCs/>
          <w:sz w:val="26"/>
          <w:szCs w:val="26"/>
        </w:rPr>
        <w:t>activities of</w:t>
      </w:r>
      <w:r w:rsidRPr="00873B75">
        <w:rPr>
          <w:rFonts w:asciiTheme="majorBidi" w:hAnsiTheme="majorBidi" w:cstheme="majorBidi"/>
          <w:sz w:val="26"/>
          <w:szCs w:val="26"/>
        </w:rPr>
        <w:t xml:space="preserve"> </w:t>
      </w:r>
      <w:r w:rsidRPr="00873B75">
        <w:rPr>
          <w:b/>
          <w:bCs/>
          <w:sz w:val="26"/>
          <w:szCs w:val="26"/>
        </w:rPr>
        <w:t>Water Supply, Sewerage, Waste Management and</w:t>
      </w:r>
      <w:r w:rsidRPr="00873B75">
        <w:rPr>
          <w:rFonts w:asciiTheme="majorBidi" w:hAnsiTheme="majorBidi" w:cstheme="majorBidi"/>
          <w:b/>
          <w:bCs/>
          <w:sz w:val="26"/>
          <w:szCs w:val="26"/>
        </w:rPr>
        <w:t xml:space="preserve"> Remediation</w:t>
      </w:r>
      <w:r w:rsidRPr="00873B75">
        <w:rPr>
          <w:rFonts w:asciiTheme="majorBidi" w:hAnsiTheme="majorBidi" w:cstheme="majorBidi"/>
          <w:sz w:val="26"/>
          <w:szCs w:val="26"/>
        </w:rPr>
        <w:t xml:space="preserve"> </w:t>
      </w:r>
      <w:r w:rsidRPr="00873B75">
        <w:rPr>
          <w:sz w:val="26"/>
          <w:szCs w:val="26"/>
        </w:rPr>
        <w:t xml:space="preserve">by </w:t>
      </w:r>
      <w:r w:rsidR="0053497C" w:rsidRPr="00873B75">
        <w:rPr>
          <w:sz w:val="26"/>
          <w:szCs w:val="26"/>
        </w:rPr>
        <w:t>16.29</w:t>
      </w:r>
      <w:r w:rsidRPr="00873B75">
        <w:rPr>
          <w:sz w:val="26"/>
          <w:szCs w:val="26"/>
        </w:rPr>
        <w:t>%</w:t>
      </w:r>
      <w:r w:rsidR="0053497C" w:rsidRPr="00873B75">
        <w:rPr>
          <w:sz w:val="26"/>
          <w:szCs w:val="26"/>
        </w:rPr>
        <w:t>,</w:t>
      </w:r>
      <w:r w:rsidR="009E7E2F" w:rsidRPr="00873B75">
        <w:rPr>
          <w:sz w:val="26"/>
          <w:szCs w:val="26"/>
        </w:rPr>
        <w:t xml:space="preserve"> and</w:t>
      </w:r>
      <w:r w:rsidR="0053497C" w:rsidRPr="00873B75">
        <w:rPr>
          <w:sz w:val="26"/>
          <w:szCs w:val="26"/>
        </w:rPr>
        <w:t xml:space="preserve"> the </w:t>
      </w:r>
      <w:r w:rsidR="0053497C" w:rsidRPr="00873B75">
        <w:rPr>
          <w:b/>
          <w:bCs/>
          <w:sz w:val="26"/>
          <w:szCs w:val="26"/>
        </w:rPr>
        <w:t>activities of</w:t>
      </w:r>
      <w:r w:rsidR="0053497C" w:rsidRPr="00873B75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53497C" w:rsidRPr="00873B75">
        <w:rPr>
          <w:b/>
          <w:bCs/>
          <w:sz w:val="26"/>
          <w:szCs w:val="26"/>
        </w:rPr>
        <w:t>Manufacturing Industry</w:t>
      </w:r>
      <w:r w:rsidR="0053497C" w:rsidRPr="00873B75">
        <w:rPr>
          <w:rFonts w:asciiTheme="majorBidi" w:hAnsiTheme="majorBidi" w:cstheme="majorBidi"/>
          <w:sz w:val="26"/>
          <w:szCs w:val="26"/>
        </w:rPr>
        <w:t xml:space="preserve"> </w:t>
      </w:r>
      <w:r w:rsidR="0053497C" w:rsidRPr="00873B75">
        <w:rPr>
          <w:sz w:val="26"/>
          <w:szCs w:val="26"/>
        </w:rPr>
        <w:t>by 8.91%. While</w:t>
      </w:r>
      <w:r w:rsidR="009E7E2F" w:rsidRPr="00873B75">
        <w:rPr>
          <w:sz w:val="26"/>
          <w:szCs w:val="26"/>
        </w:rPr>
        <w:t>,</w:t>
      </w:r>
      <w:r w:rsidR="0053497C" w:rsidRPr="00873B75">
        <w:rPr>
          <w:sz w:val="26"/>
          <w:szCs w:val="26"/>
        </w:rPr>
        <w:t xml:space="preserve"> </w:t>
      </w:r>
      <w:r w:rsidR="009E7E2F" w:rsidRPr="00873B75">
        <w:rPr>
          <w:sz w:val="26"/>
          <w:szCs w:val="26"/>
        </w:rPr>
        <w:t xml:space="preserve">the </w:t>
      </w:r>
      <w:r w:rsidR="009E7E2F" w:rsidRPr="00873B75">
        <w:rPr>
          <w:b/>
          <w:bCs/>
          <w:sz w:val="26"/>
          <w:szCs w:val="26"/>
        </w:rPr>
        <w:t>activities of</w:t>
      </w:r>
      <w:r w:rsidR="009E7E2F" w:rsidRPr="00873B75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9E7E2F" w:rsidRPr="00873B75">
        <w:rPr>
          <w:b/>
          <w:bCs/>
          <w:sz w:val="26"/>
          <w:szCs w:val="26"/>
        </w:rPr>
        <w:t>Mining and Quarrying</w:t>
      </w:r>
      <w:r w:rsidR="009E7E2F" w:rsidRPr="00873B75">
        <w:rPr>
          <w:rFonts w:asciiTheme="majorBidi" w:hAnsiTheme="majorBidi" w:cstheme="majorBidi"/>
          <w:sz w:val="26"/>
          <w:szCs w:val="26"/>
        </w:rPr>
        <w:t xml:space="preserve"> increased </w:t>
      </w:r>
      <w:r w:rsidR="009E7E2F" w:rsidRPr="00873B75">
        <w:rPr>
          <w:sz w:val="26"/>
          <w:szCs w:val="26"/>
        </w:rPr>
        <w:t>by 3.74%, and the</w:t>
      </w:r>
      <w:r w:rsidR="0053497C" w:rsidRPr="00873B75">
        <w:rPr>
          <w:sz w:val="26"/>
          <w:szCs w:val="26"/>
        </w:rPr>
        <w:t xml:space="preserve"> </w:t>
      </w:r>
      <w:r w:rsidR="0053497C" w:rsidRPr="00873B75">
        <w:rPr>
          <w:b/>
          <w:bCs/>
          <w:sz w:val="26"/>
          <w:szCs w:val="26"/>
        </w:rPr>
        <w:t>activities of</w:t>
      </w:r>
      <w:r w:rsidR="0053497C" w:rsidRPr="00873B75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53497C" w:rsidRPr="00873B75">
        <w:rPr>
          <w:b/>
          <w:bCs/>
          <w:sz w:val="26"/>
          <w:szCs w:val="26"/>
        </w:rPr>
        <w:t xml:space="preserve">Electricity, Gas, Steam and Air Conditioning Supply </w:t>
      </w:r>
      <w:r w:rsidR="0053497C" w:rsidRPr="00873B75">
        <w:rPr>
          <w:sz w:val="26"/>
          <w:szCs w:val="26"/>
        </w:rPr>
        <w:t>by 0.48%</w:t>
      </w:r>
      <w:r w:rsidR="009E7E2F" w:rsidRPr="00873B75">
        <w:rPr>
          <w:sz w:val="26"/>
          <w:szCs w:val="26"/>
        </w:rPr>
        <w:t>.</w:t>
      </w:r>
    </w:p>
    <w:p w:rsidR="00FD0669" w:rsidRPr="00873B75" w:rsidRDefault="00FD0669" w:rsidP="00873B75">
      <w:pPr>
        <w:autoSpaceDE w:val="0"/>
        <w:autoSpaceDN w:val="0"/>
        <w:adjustRightInd w:val="0"/>
        <w:jc w:val="right"/>
        <w:rPr>
          <w:snapToGrid w:val="0"/>
          <w:sz w:val="16"/>
          <w:szCs w:val="16"/>
        </w:rPr>
      </w:pPr>
    </w:p>
    <w:p w:rsidR="00FD0669" w:rsidRPr="00873B75" w:rsidRDefault="00FD0669" w:rsidP="00873B75">
      <w:pPr>
        <w:autoSpaceDE w:val="0"/>
        <w:autoSpaceDN w:val="0"/>
        <w:bidi w:val="0"/>
        <w:adjustRightInd w:val="0"/>
        <w:jc w:val="center"/>
        <w:rPr>
          <w:b/>
          <w:bCs/>
        </w:rPr>
      </w:pPr>
      <w:r w:rsidRPr="00873B75">
        <w:rPr>
          <w:b/>
          <w:bCs/>
          <w:sz w:val="26"/>
          <w:szCs w:val="26"/>
        </w:rPr>
        <w:t>The table below shows yearly percent changes in IPI in Palestine for the period 201</w:t>
      </w:r>
      <w:r w:rsidRPr="00873B75">
        <w:rPr>
          <w:b/>
          <w:bCs/>
          <w:sz w:val="26"/>
          <w:szCs w:val="26"/>
          <w:rtl/>
        </w:rPr>
        <w:t>2</w:t>
      </w:r>
      <w:r w:rsidRPr="00873B75">
        <w:rPr>
          <w:b/>
          <w:bCs/>
          <w:sz w:val="26"/>
          <w:szCs w:val="26"/>
        </w:rPr>
        <w:t xml:space="preserve"> – </w:t>
      </w:r>
      <w:r w:rsidR="00C93B1F" w:rsidRPr="00873B75">
        <w:rPr>
          <w:b/>
          <w:bCs/>
          <w:sz w:val="26"/>
          <w:szCs w:val="26"/>
        </w:rPr>
        <w:t>2023</w:t>
      </w:r>
      <w:r w:rsidRPr="00873B75">
        <w:rPr>
          <w:b/>
          <w:bCs/>
        </w:rPr>
        <w:t>:</w:t>
      </w:r>
    </w:p>
    <w:p w:rsidR="00FD0669" w:rsidRPr="007F2940" w:rsidRDefault="00FD0669" w:rsidP="00873B75">
      <w:pPr>
        <w:autoSpaceDE w:val="0"/>
        <w:autoSpaceDN w:val="0"/>
        <w:adjustRightInd w:val="0"/>
        <w:jc w:val="both"/>
        <w:rPr>
          <w:snapToGrid w:val="0"/>
          <w:sz w:val="16"/>
          <w:szCs w:val="16"/>
        </w:rPr>
      </w:pPr>
    </w:p>
    <w:tbl>
      <w:tblPr>
        <w:tblW w:w="4681" w:type="dxa"/>
        <w:jc w:val="center"/>
        <w:tblBorders>
          <w:top w:val="single" w:sz="12" w:space="0" w:color="000000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8"/>
        <w:gridCol w:w="2793"/>
      </w:tblGrid>
      <w:tr w:rsidR="00F73AF6" w:rsidRPr="007F2940" w:rsidTr="00873B75">
        <w:trPr>
          <w:trHeight w:val="292"/>
          <w:jc w:val="center"/>
        </w:trPr>
        <w:tc>
          <w:tcPr>
            <w:tcW w:w="1888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FD0669" w:rsidRPr="007F2940" w:rsidRDefault="00FD0669" w:rsidP="00873B75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napToGrid w:val="0"/>
              </w:rPr>
            </w:pPr>
            <w:r w:rsidRPr="007F2940">
              <w:rPr>
                <w:b/>
                <w:bCs/>
                <w:snapToGrid w:val="0"/>
              </w:rPr>
              <w:t>Year</w:t>
            </w:r>
          </w:p>
        </w:tc>
        <w:tc>
          <w:tcPr>
            <w:tcW w:w="2793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FD0669" w:rsidRPr="007F2940" w:rsidRDefault="00FD0669" w:rsidP="00873B75">
            <w:pPr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napToGrid w:val="0"/>
              </w:rPr>
            </w:pPr>
            <w:r w:rsidRPr="007F2940">
              <w:rPr>
                <w:b/>
                <w:bCs/>
                <w:snapToGrid w:val="0"/>
              </w:rPr>
              <w:t>Percent Changes %</w:t>
            </w:r>
          </w:p>
        </w:tc>
      </w:tr>
      <w:tr w:rsidR="00F73AF6" w:rsidRPr="007F2940" w:rsidTr="00873B75">
        <w:trPr>
          <w:trHeight w:val="292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69" w:rsidRPr="007F2940" w:rsidRDefault="00FD0669" w:rsidP="00873B75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7F2940">
              <w:rPr>
                <w:snapToGrid w:val="0"/>
              </w:rPr>
              <w:t>2012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69" w:rsidRPr="007F2940" w:rsidRDefault="00FD0669" w:rsidP="00873B75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7F2940">
              <w:rPr>
                <w:snapToGrid w:val="0"/>
              </w:rPr>
              <w:t>+ 6.39</w:t>
            </w:r>
          </w:p>
        </w:tc>
      </w:tr>
      <w:tr w:rsidR="00F73AF6" w:rsidRPr="007F2940" w:rsidTr="00873B75">
        <w:trPr>
          <w:trHeight w:val="292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69" w:rsidRPr="007F2940" w:rsidRDefault="00FD0669" w:rsidP="00873B75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7F2940">
              <w:rPr>
                <w:snapToGrid w:val="0"/>
              </w:rPr>
              <w:t>2013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69" w:rsidRPr="007F2940" w:rsidRDefault="00FD0669" w:rsidP="00873B75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7F2940">
              <w:rPr>
                <w:snapToGrid w:val="0"/>
              </w:rPr>
              <w:t>+ 7.82</w:t>
            </w:r>
          </w:p>
        </w:tc>
      </w:tr>
      <w:tr w:rsidR="00F73AF6" w:rsidRPr="007F2940" w:rsidTr="00873B75">
        <w:trPr>
          <w:trHeight w:val="292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69" w:rsidRPr="007F2940" w:rsidRDefault="00FD0669" w:rsidP="00873B75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7F2940">
              <w:rPr>
                <w:snapToGrid w:val="0"/>
              </w:rPr>
              <w:t>2014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69" w:rsidRPr="007F2940" w:rsidRDefault="00FD0669" w:rsidP="00873B75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7F2940">
              <w:rPr>
                <w:snapToGrid w:val="0"/>
              </w:rPr>
              <w:t>- 3.92</w:t>
            </w:r>
          </w:p>
        </w:tc>
      </w:tr>
      <w:tr w:rsidR="00F73AF6" w:rsidRPr="007F2940" w:rsidTr="00873B75">
        <w:trPr>
          <w:trHeight w:val="292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69" w:rsidRPr="007F2940" w:rsidRDefault="00FD0669" w:rsidP="00873B75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7F2940">
              <w:rPr>
                <w:snapToGrid w:val="0"/>
              </w:rPr>
              <w:t>2015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69" w:rsidRPr="007F2940" w:rsidRDefault="00FD0669" w:rsidP="00873B75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7F2940">
              <w:rPr>
                <w:snapToGrid w:val="0"/>
              </w:rPr>
              <w:t>- 3.80</w:t>
            </w:r>
          </w:p>
        </w:tc>
      </w:tr>
      <w:tr w:rsidR="00F73AF6" w:rsidRPr="007F2940" w:rsidTr="00873B75">
        <w:trPr>
          <w:trHeight w:val="292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69" w:rsidRPr="007F2940" w:rsidRDefault="00FD0669" w:rsidP="00873B75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7F2940">
              <w:rPr>
                <w:snapToGrid w:val="0"/>
              </w:rPr>
              <w:t>2016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69" w:rsidRPr="007F2940" w:rsidRDefault="00FD0669" w:rsidP="00873B75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7F2940">
              <w:rPr>
                <w:snapToGrid w:val="0"/>
              </w:rPr>
              <w:t>+ 0.96</w:t>
            </w:r>
          </w:p>
        </w:tc>
      </w:tr>
      <w:tr w:rsidR="00F73AF6" w:rsidRPr="007F2940" w:rsidTr="00873B75">
        <w:trPr>
          <w:trHeight w:val="292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69" w:rsidRPr="007F2940" w:rsidRDefault="00FD0669" w:rsidP="00873B75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7F2940">
              <w:rPr>
                <w:snapToGrid w:val="0"/>
              </w:rPr>
              <w:t>2017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69" w:rsidRPr="007F2940" w:rsidRDefault="00FD0669" w:rsidP="00873B75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7F2940">
              <w:rPr>
                <w:snapToGrid w:val="0"/>
              </w:rPr>
              <w:t>+ 4.11</w:t>
            </w:r>
          </w:p>
        </w:tc>
      </w:tr>
      <w:tr w:rsidR="00F73AF6" w:rsidRPr="007F2940" w:rsidTr="00873B75">
        <w:trPr>
          <w:trHeight w:val="292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69" w:rsidRPr="007F2940" w:rsidRDefault="00FD0669" w:rsidP="00873B75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7F2940">
              <w:rPr>
                <w:snapToGrid w:val="0"/>
              </w:rPr>
              <w:t>2018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69" w:rsidRPr="007F2940" w:rsidRDefault="00FD0669" w:rsidP="00873B75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7F2940">
              <w:rPr>
                <w:snapToGrid w:val="0"/>
              </w:rPr>
              <w:t>- 3.94</w:t>
            </w:r>
          </w:p>
        </w:tc>
      </w:tr>
      <w:tr w:rsidR="00F73AF6" w:rsidRPr="007F2940" w:rsidTr="00873B75">
        <w:trPr>
          <w:trHeight w:val="292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69" w:rsidRPr="007F2940" w:rsidRDefault="00FD0669" w:rsidP="00873B75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7F2940">
              <w:rPr>
                <w:snapToGrid w:val="0"/>
              </w:rPr>
              <w:t>2019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69" w:rsidRPr="007F2940" w:rsidRDefault="00FD0669" w:rsidP="00873B75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7F2940">
              <w:rPr>
                <w:snapToGrid w:val="0"/>
              </w:rPr>
              <w:t>+ 3.86</w:t>
            </w:r>
          </w:p>
        </w:tc>
      </w:tr>
      <w:tr w:rsidR="00F73AF6" w:rsidRPr="007F2940" w:rsidTr="00873B75">
        <w:trPr>
          <w:trHeight w:val="292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69" w:rsidRPr="007F2940" w:rsidRDefault="00FD0669" w:rsidP="00873B75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7F2940">
              <w:rPr>
                <w:snapToGrid w:val="0"/>
              </w:rPr>
              <w:t>2020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69" w:rsidRPr="007F2940" w:rsidRDefault="00FD0669" w:rsidP="00873B75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7F2940">
              <w:rPr>
                <w:snapToGrid w:val="0"/>
              </w:rPr>
              <w:t>- 7.95</w:t>
            </w:r>
          </w:p>
        </w:tc>
      </w:tr>
      <w:tr w:rsidR="00F73AF6" w:rsidRPr="007F2940" w:rsidTr="00873B75">
        <w:trPr>
          <w:trHeight w:val="292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69" w:rsidRPr="007F2940" w:rsidRDefault="00FD0669" w:rsidP="00873B75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7F2940">
              <w:rPr>
                <w:snapToGrid w:val="0"/>
              </w:rPr>
              <w:t>2021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69" w:rsidRPr="007F2940" w:rsidRDefault="00FD0669" w:rsidP="00873B75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7F2940">
              <w:rPr>
                <w:snapToGrid w:val="0"/>
              </w:rPr>
              <w:t>+ 14.13</w:t>
            </w:r>
          </w:p>
        </w:tc>
      </w:tr>
      <w:tr w:rsidR="00F73AF6" w:rsidRPr="007F2940" w:rsidTr="00873B75">
        <w:trPr>
          <w:trHeight w:val="292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69" w:rsidRPr="007F2940" w:rsidRDefault="00FD0669" w:rsidP="00873B75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7F2940">
              <w:rPr>
                <w:snapToGrid w:val="0"/>
              </w:rPr>
              <w:t>2022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669" w:rsidRPr="007F2940" w:rsidRDefault="00FD0669" w:rsidP="00873B75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7F2940">
              <w:rPr>
                <w:snapToGrid w:val="0"/>
              </w:rPr>
              <w:t>+ 3.27</w:t>
            </w:r>
          </w:p>
        </w:tc>
      </w:tr>
      <w:tr w:rsidR="00F73AF6" w:rsidRPr="007F2940" w:rsidTr="00873B75">
        <w:trPr>
          <w:trHeight w:val="292"/>
          <w:jc w:val="center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B1F" w:rsidRPr="007F2940" w:rsidRDefault="00C93B1F" w:rsidP="00873B75">
            <w:pPr>
              <w:autoSpaceDE w:val="0"/>
              <w:autoSpaceDN w:val="0"/>
              <w:bidi w:val="0"/>
              <w:adjustRightInd w:val="0"/>
              <w:jc w:val="center"/>
              <w:rPr>
                <w:snapToGrid w:val="0"/>
              </w:rPr>
            </w:pPr>
            <w:r w:rsidRPr="007F2940">
              <w:rPr>
                <w:snapToGrid w:val="0"/>
              </w:rPr>
              <w:t>2023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B1F" w:rsidRPr="009E7E2F" w:rsidRDefault="00F73AF6" w:rsidP="00873B7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 w:val="0"/>
              <w:adjustRightInd w:val="0"/>
              <w:ind w:left="840" w:hanging="180"/>
              <w:jc w:val="center"/>
              <w:rPr>
                <w:snapToGrid w:val="0"/>
              </w:rPr>
            </w:pPr>
            <w:r w:rsidRPr="009E7E2F">
              <w:rPr>
                <w:snapToGrid w:val="0"/>
              </w:rPr>
              <w:t>8.01</w:t>
            </w:r>
          </w:p>
        </w:tc>
      </w:tr>
    </w:tbl>
    <w:p w:rsidR="008F0003" w:rsidRPr="008F0003" w:rsidRDefault="008F0003" w:rsidP="00873B75">
      <w:pPr>
        <w:bidi w:val="0"/>
        <w:jc w:val="center"/>
        <w:outlineLvl w:val="0"/>
        <w:rPr>
          <w:b/>
          <w:bCs/>
        </w:rPr>
      </w:pPr>
    </w:p>
    <w:p w:rsidR="00873B75" w:rsidRDefault="00FD0669" w:rsidP="008F0003">
      <w:pPr>
        <w:bidi w:val="0"/>
        <w:jc w:val="center"/>
        <w:outlineLvl w:val="0"/>
        <w:rPr>
          <w:b/>
          <w:bCs/>
          <w:kern w:val="36"/>
          <w:sz w:val="28"/>
          <w:szCs w:val="28"/>
        </w:rPr>
      </w:pPr>
      <w:r w:rsidRPr="00873B75">
        <w:rPr>
          <w:b/>
          <w:bCs/>
          <w:sz w:val="28"/>
          <w:szCs w:val="28"/>
        </w:rPr>
        <w:t>Increase in the Industrial Production Index (IPI) in Palestine</w:t>
      </w:r>
      <w:r w:rsidRPr="00873B75">
        <w:rPr>
          <w:b/>
          <w:bCs/>
          <w:kern w:val="36"/>
          <w:sz w:val="28"/>
          <w:szCs w:val="28"/>
        </w:rPr>
        <w:t xml:space="preserve"> </w:t>
      </w:r>
    </w:p>
    <w:p w:rsidR="00FD0669" w:rsidRPr="00873B75" w:rsidRDefault="00FD0669" w:rsidP="00873B75">
      <w:pPr>
        <w:bidi w:val="0"/>
        <w:jc w:val="center"/>
        <w:outlineLvl w:val="0"/>
        <w:rPr>
          <w:b/>
          <w:bCs/>
          <w:sz w:val="28"/>
          <w:szCs w:val="28"/>
        </w:rPr>
      </w:pPr>
      <w:r w:rsidRPr="00873B75">
        <w:rPr>
          <w:b/>
          <w:bCs/>
          <w:sz w:val="28"/>
          <w:szCs w:val="28"/>
        </w:rPr>
        <w:t>during December</w:t>
      </w:r>
      <w:r w:rsidR="00873B75">
        <w:rPr>
          <w:b/>
          <w:bCs/>
          <w:sz w:val="28"/>
          <w:szCs w:val="28"/>
        </w:rPr>
        <w:t>, 12/2023</w:t>
      </w:r>
    </w:p>
    <w:p w:rsidR="00873B75" w:rsidRDefault="00873B75" w:rsidP="00873B75">
      <w:pPr>
        <w:bidi w:val="0"/>
        <w:jc w:val="both"/>
      </w:pPr>
    </w:p>
    <w:p w:rsidR="00FD0669" w:rsidRPr="002F60A8" w:rsidRDefault="00FD0669" w:rsidP="00873B75">
      <w:pPr>
        <w:bidi w:val="0"/>
        <w:jc w:val="both"/>
        <w:rPr>
          <w:sz w:val="26"/>
          <w:szCs w:val="26"/>
          <w:rtl/>
        </w:rPr>
      </w:pPr>
      <w:r w:rsidRPr="002F60A8">
        <w:rPr>
          <w:sz w:val="26"/>
          <w:szCs w:val="26"/>
        </w:rPr>
        <w:t xml:space="preserve">The overall IPI in Palestine reached </w:t>
      </w:r>
      <w:r w:rsidR="0053497C" w:rsidRPr="002F60A8">
        <w:rPr>
          <w:sz w:val="26"/>
          <w:szCs w:val="26"/>
        </w:rPr>
        <w:t>76.27</w:t>
      </w:r>
      <w:r w:rsidRPr="002F60A8">
        <w:rPr>
          <w:sz w:val="26"/>
          <w:szCs w:val="26"/>
        </w:rPr>
        <w:t xml:space="preserve"> during December 202</w:t>
      </w:r>
      <w:r w:rsidR="00C93B1F" w:rsidRPr="002F60A8">
        <w:rPr>
          <w:sz w:val="26"/>
          <w:szCs w:val="26"/>
        </w:rPr>
        <w:t>3</w:t>
      </w:r>
      <w:r w:rsidRPr="002F60A8">
        <w:rPr>
          <w:sz w:val="26"/>
          <w:szCs w:val="26"/>
        </w:rPr>
        <w:t xml:space="preserve"> with an increase of </w:t>
      </w:r>
      <w:r w:rsidR="0053497C" w:rsidRPr="002F60A8">
        <w:rPr>
          <w:sz w:val="26"/>
          <w:szCs w:val="26"/>
        </w:rPr>
        <w:t>2.42</w:t>
      </w:r>
      <w:r w:rsidRPr="002F60A8">
        <w:rPr>
          <w:sz w:val="26"/>
          <w:szCs w:val="26"/>
        </w:rPr>
        <w:t>% compared to November 202</w:t>
      </w:r>
      <w:r w:rsidR="00C93B1F" w:rsidRPr="002F60A8">
        <w:rPr>
          <w:sz w:val="26"/>
          <w:szCs w:val="26"/>
        </w:rPr>
        <w:t>3</w:t>
      </w:r>
      <w:r w:rsidRPr="002F60A8">
        <w:rPr>
          <w:sz w:val="26"/>
          <w:szCs w:val="26"/>
        </w:rPr>
        <w:t xml:space="preserve"> (Base Year 2019 = 100).</w:t>
      </w:r>
    </w:p>
    <w:p w:rsidR="00FD0669" w:rsidRPr="002F60A8" w:rsidRDefault="00FD0669" w:rsidP="00873B75">
      <w:pPr>
        <w:bidi w:val="0"/>
        <w:jc w:val="both"/>
        <w:rPr>
          <w:sz w:val="16"/>
          <w:szCs w:val="16"/>
          <w:rtl/>
        </w:rPr>
      </w:pPr>
    </w:p>
    <w:p w:rsidR="00FD0669" w:rsidRPr="002F60A8" w:rsidRDefault="00FD0669" w:rsidP="00873B75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26"/>
          <w:szCs w:val="26"/>
        </w:rPr>
      </w:pPr>
      <w:r w:rsidRPr="002F60A8">
        <w:rPr>
          <w:sz w:val="26"/>
          <w:szCs w:val="26"/>
        </w:rPr>
        <w:t>IPI for December 202</w:t>
      </w:r>
      <w:r w:rsidR="00C93B1F" w:rsidRPr="002F60A8">
        <w:rPr>
          <w:sz w:val="26"/>
          <w:szCs w:val="26"/>
        </w:rPr>
        <w:t>3</w:t>
      </w:r>
      <w:r w:rsidRPr="002F60A8">
        <w:rPr>
          <w:sz w:val="26"/>
          <w:szCs w:val="26"/>
        </w:rPr>
        <w:t xml:space="preserve"> </w:t>
      </w:r>
      <w:r w:rsidR="009E7E2F" w:rsidRPr="002F60A8">
        <w:rPr>
          <w:sz w:val="26"/>
          <w:szCs w:val="26"/>
        </w:rPr>
        <w:t xml:space="preserve">sharply </w:t>
      </w:r>
      <w:r w:rsidRPr="002F60A8">
        <w:rPr>
          <w:sz w:val="26"/>
          <w:szCs w:val="26"/>
        </w:rPr>
        <w:t xml:space="preserve">increased due to the </w:t>
      </w:r>
      <w:r w:rsidR="009E7E2F" w:rsidRPr="002F60A8">
        <w:rPr>
          <w:sz w:val="26"/>
          <w:szCs w:val="26"/>
        </w:rPr>
        <w:t xml:space="preserve">sharp </w:t>
      </w:r>
      <w:r w:rsidRPr="002F60A8">
        <w:rPr>
          <w:sz w:val="26"/>
          <w:szCs w:val="26"/>
        </w:rPr>
        <w:t xml:space="preserve">increase </w:t>
      </w:r>
      <w:r w:rsidR="0053497C" w:rsidRPr="002F60A8">
        <w:rPr>
          <w:rFonts w:cs="Simplified Arabic"/>
          <w:snapToGrid w:val="0"/>
          <w:sz w:val="26"/>
          <w:szCs w:val="26"/>
        </w:rPr>
        <w:t xml:space="preserve">in the </w:t>
      </w:r>
      <w:r w:rsidR="0053497C" w:rsidRPr="002F60A8">
        <w:rPr>
          <w:b/>
          <w:bCs/>
          <w:sz w:val="26"/>
          <w:szCs w:val="26"/>
        </w:rPr>
        <w:t>activities of Mining and Quarrying</w:t>
      </w:r>
      <w:r w:rsidR="0053497C" w:rsidRPr="002F60A8">
        <w:rPr>
          <w:sz w:val="26"/>
          <w:szCs w:val="26"/>
        </w:rPr>
        <w:t xml:space="preserve"> by 12.16%, which had a share of 2.89% of the total industry</w:t>
      </w:r>
      <w:r w:rsidR="009E7E2F" w:rsidRPr="002F60A8">
        <w:rPr>
          <w:sz w:val="26"/>
          <w:szCs w:val="26"/>
        </w:rPr>
        <w:t xml:space="preserve">, </w:t>
      </w:r>
      <w:r w:rsidRPr="002F60A8">
        <w:rPr>
          <w:sz w:val="26"/>
          <w:szCs w:val="26"/>
        </w:rPr>
        <w:t>the</w:t>
      </w:r>
      <w:r w:rsidRPr="002F60A8">
        <w:rPr>
          <w:b/>
          <w:bCs/>
          <w:sz w:val="26"/>
          <w:szCs w:val="26"/>
        </w:rPr>
        <w:t xml:space="preserve"> activities of Electricity, Gas, Steam and Air Conditioning S</w:t>
      </w:r>
      <w:r w:rsidR="002F60A8">
        <w:rPr>
          <w:b/>
          <w:bCs/>
          <w:sz w:val="26"/>
          <w:szCs w:val="26"/>
        </w:rPr>
        <w:t xml:space="preserve"> </w:t>
      </w:r>
      <w:r w:rsidRPr="002F60A8">
        <w:rPr>
          <w:b/>
          <w:bCs/>
          <w:sz w:val="26"/>
          <w:szCs w:val="26"/>
        </w:rPr>
        <w:t xml:space="preserve">upply </w:t>
      </w:r>
      <w:r w:rsidRPr="002F60A8">
        <w:rPr>
          <w:sz w:val="26"/>
          <w:szCs w:val="26"/>
        </w:rPr>
        <w:t xml:space="preserve">by </w:t>
      </w:r>
      <w:r w:rsidR="0053497C" w:rsidRPr="002F60A8">
        <w:rPr>
          <w:sz w:val="26"/>
          <w:szCs w:val="26"/>
        </w:rPr>
        <w:t>10.88</w:t>
      </w:r>
      <w:r w:rsidRPr="002F60A8">
        <w:rPr>
          <w:sz w:val="26"/>
          <w:szCs w:val="26"/>
        </w:rPr>
        <w:t>% which had a share of 7.38% of the total industry</w:t>
      </w:r>
      <w:r w:rsidRPr="002F60A8">
        <w:rPr>
          <w:rFonts w:cs="Simplified Arabic"/>
          <w:snapToGrid w:val="0"/>
          <w:sz w:val="26"/>
          <w:szCs w:val="26"/>
        </w:rPr>
        <w:t xml:space="preserve">, </w:t>
      </w:r>
      <w:r w:rsidRPr="002F60A8">
        <w:rPr>
          <w:sz w:val="26"/>
          <w:szCs w:val="26"/>
        </w:rPr>
        <w:t>and the</w:t>
      </w:r>
      <w:r w:rsidRPr="002F60A8">
        <w:rPr>
          <w:b/>
          <w:bCs/>
          <w:sz w:val="26"/>
          <w:szCs w:val="26"/>
        </w:rPr>
        <w:t xml:space="preserve"> activities of</w:t>
      </w:r>
      <w:r w:rsidRPr="002F60A8">
        <w:rPr>
          <w:sz w:val="26"/>
          <w:szCs w:val="26"/>
        </w:rPr>
        <w:t xml:space="preserve"> </w:t>
      </w:r>
      <w:r w:rsidRPr="002F60A8">
        <w:rPr>
          <w:b/>
          <w:bCs/>
          <w:sz w:val="26"/>
          <w:szCs w:val="26"/>
        </w:rPr>
        <w:t>Manufacturing Industry</w:t>
      </w:r>
      <w:r w:rsidRPr="002F60A8">
        <w:rPr>
          <w:sz w:val="26"/>
          <w:szCs w:val="26"/>
        </w:rPr>
        <w:t xml:space="preserve"> by </w:t>
      </w:r>
      <w:r w:rsidR="0053497C" w:rsidRPr="002F60A8">
        <w:rPr>
          <w:sz w:val="26"/>
          <w:szCs w:val="26"/>
        </w:rPr>
        <w:t>1.29</w:t>
      </w:r>
      <w:r w:rsidRPr="002F60A8">
        <w:rPr>
          <w:sz w:val="26"/>
          <w:szCs w:val="26"/>
        </w:rPr>
        <w:t>% which had a share of 87.89% of the total industry</w:t>
      </w:r>
      <w:r w:rsidRPr="002F60A8">
        <w:rPr>
          <w:rFonts w:cs="Simplified Arabic"/>
          <w:snapToGrid w:val="0"/>
          <w:sz w:val="26"/>
          <w:szCs w:val="26"/>
        </w:rPr>
        <w:t>. While</w:t>
      </w:r>
      <w:r w:rsidRPr="002F60A8">
        <w:rPr>
          <w:sz w:val="26"/>
          <w:szCs w:val="26"/>
        </w:rPr>
        <w:t xml:space="preserve">, the </w:t>
      </w:r>
      <w:r w:rsidRPr="002F60A8">
        <w:rPr>
          <w:b/>
          <w:bCs/>
          <w:sz w:val="26"/>
          <w:szCs w:val="26"/>
        </w:rPr>
        <w:t xml:space="preserve">activities of Water Supply, Sewerage, Waste Management and Remediation </w:t>
      </w:r>
      <w:r w:rsidRPr="002F60A8">
        <w:rPr>
          <w:sz w:val="26"/>
          <w:szCs w:val="26"/>
        </w:rPr>
        <w:t xml:space="preserve">decreased by </w:t>
      </w:r>
      <w:r w:rsidR="0053497C" w:rsidRPr="002F60A8">
        <w:rPr>
          <w:sz w:val="26"/>
          <w:szCs w:val="26"/>
        </w:rPr>
        <w:t>5.85</w:t>
      </w:r>
      <w:r w:rsidR="009E7E2F" w:rsidRPr="002F60A8">
        <w:rPr>
          <w:sz w:val="26"/>
          <w:szCs w:val="26"/>
        </w:rPr>
        <w:t>% which</w:t>
      </w:r>
      <w:r w:rsidRPr="002F60A8">
        <w:rPr>
          <w:sz w:val="26"/>
          <w:szCs w:val="26"/>
        </w:rPr>
        <w:t xml:space="preserve"> had a share of 1.84% of the total industry</w:t>
      </w:r>
      <w:r w:rsidR="009E7E2F" w:rsidRPr="002F60A8">
        <w:rPr>
          <w:rFonts w:cs="Simplified Arabic"/>
          <w:snapToGrid w:val="0"/>
          <w:sz w:val="26"/>
          <w:szCs w:val="26"/>
        </w:rPr>
        <w:t>.</w:t>
      </w:r>
      <w:r w:rsidRPr="002F60A8">
        <w:rPr>
          <w:rFonts w:cs="Simplified Arabic"/>
          <w:snapToGrid w:val="0"/>
          <w:sz w:val="26"/>
          <w:szCs w:val="26"/>
        </w:rPr>
        <w:t xml:space="preserve"> </w:t>
      </w:r>
    </w:p>
    <w:p w:rsidR="002F60A8" w:rsidRDefault="002F60A8" w:rsidP="00873B75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16"/>
          <w:szCs w:val="16"/>
        </w:rPr>
      </w:pPr>
    </w:p>
    <w:p w:rsidR="002F60A8" w:rsidRDefault="002F60A8" w:rsidP="002F60A8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16"/>
          <w:szCs w:val="16"/>
        </w:rPr>
      </w:pPr>
    </w:p>
    <w:p w:rsidR="002F60A8" w:rsidRDefault="002F60A8" w:rsidP="002F60A8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16"/>
          <w:szCs w:val="16"/>
        </w:rPr>
      </w:pPr>
    </w:p>
    <w:p w:rsidR="002F60A8" w:rsidRDefault="002F60A8" w:rsidP="002F60A8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16"/>
          <w:szCs w:val="16"/>
        </w:rPr>
      </w:pPr>
    </w:p>
    <w:p w:rsidR="002F60A8" w:rsidRDefault="002F60A8" w:rsidP="002F60A8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16"/>
          <w:szCs w:val="16"/>
        </w:rPr>
      </w:pPr>
    </w:p>
    <w:p w:rsidR="002F60A8" w:rsidRDefault="002F60A8" w:rsidP="002F60A8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16"/>
          <w:szCs w:val="16"/>
        </w:rPr>
      </w:pPr>
    </w:p>
    <w:p w:rsidR="002F60A8" w:rsidRDefault="002F60A8" w:rsidP="002F60A8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16"/>
          <w:szCs w:val="16"/>
        </w:rPr>
      </w:pPr>
    </w:p>
    <w:p w:rsidR="002F60A8" w:rsidRDefault="002F60A8" w:rsidP="002F60A8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16"/>
          <w:szCs w:val="16"/>
        </w:rPr>
      </w:pPr>
    </w:p>
    <w:p w:rsidR="008F0003" w:rsidRDefault="008F0003" w:rsidP="008F0003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16"/>
          <w:szCs w:val="16"/>
        </w:rPr>
      </w:pPr>
    </w:p>
    <w:p w:rsidR="008F0003" w:rsidRDefault="008F0003" w:rsidP="008F0003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16"/>
          <w:szCs w:val="16"/>
        </w:rPr>
      </w:pPr>
    </w:p>
    <w:p w:rsidR="008F0003" w:rsidRDefault="008F0003" w:rsidP="008F0003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16"/>
          <w:szCs w:val="16"/>
        </w:rPr>
      </w:pPr>
    </w:p>
    <w:p w:rsidR="008F0003" w:rsidRDefault="00FD0669" w:rsidP="008F0003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sz w:val="26"/>
          <w:szCs w:val="26"/>
        </w:rPr>
      </w:pPr>
      <w:r w:rsidRPr="008F0003">
        <w:rPr>
          <w:rFonts w:cs="Simplified Arabic"/>
          <w:b/>
          <w:bCs/>
          <w:snapToGrid w:val="0"/>
          <w:sz w:val="26"/>
          <w:szCs w:val="26"/>
        </w:rPr>
        <w:t xml:space="preserve">The table below shows monthly percent changes in IPI </w:t>
      </w:r>
      <w:r w:rsidR="008F0003">
        <w:rPr>
          <w:rFonts w:cs="Simplified Arabic"/>
          <w:b/>
          <w:bCs/>
          <w:snapToGrid w:val="0"/>
          <w:sz w:val="26"/>
          <w:szCs w:val="26"/>
        </w:rPr>
        <w:t xml:space="preserve"> </w:t>
      </w:r>
    </w:p>
    <w:p w:rsidR="00FD0669" w:rsidRPr="008F0003" w:rsidRDefault="00FD0669" w:rsidP="008F0003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sz w:val="26"/>
          <w:szCs w:val="26"/>
        </w:rPr>
      </w:pPr>
      <w:r w:rsidRPr="008F0003">
        <w:rPr>
          <w:rFonts w:cs="Simplified Arabic"/>
          <w:b/>
          <w:bCs/>
          <w:snapToGrid w:val="0"/>
          <w:sz w:val="26"/>
          <w:szCs w:val="26"/>
        </w:rPr>
        <w:t xml:space="preserve">for the </w:t>
      </w:r>
      <w:r w:rsidRPr="008F0003">
        <w:rPr>
          <w:b/>
          <w:bCs/>
          <w:sz w:val="26"/>
          <w:szCs w:val="26"/>
        </w:rPr>
        <w:t>period</w:t>
      </w:r>
      <w:r w:rsidRPr="008F0003">
        <w:rPr>
          <w:rFonts w:cs="Simplified Arabic"/>
          <w:b/>
          <w:bCs/>
          <w:snapToGrid w:val="0"/>
          <w:sz w:val="26"/>
          <w:szCs w:val="26"/>
        </w:rPr>
        <w:t>: January – December 202</w:t>
      </w:r>
      <w:r w:rsidR="00C93B1F" w:rsidRPr="008F0003">
        <w:rPr>
          <w:rFonts w:cs="Simplified Arabic"/>
          <w:b/>
          <w:bCs/>
          <w:snapToGrid w:val="0"/>
          <w:sz w:val="26"/>
          <w:szCs w:val="26"/>
        </w:rPr>
        <w:t>3</w:t>
      </w:r>
      <w:r w:rsidRPr="008F0003">
        <w:rPr>
          <w:rFonts w:cs="Simplified Arabic"/>
          <w:b/>
          <w:bCs/>
          <w:snapToGrid w:val="0"/>
          <w:sz w:val="26"/>
          <w:szCs w:val="26"/>
        </w:rPr>
        <w:t>:</w:t>
      </w:r>
    </w:p>
    <w:p w:rsidR="00FD0669" w:rsidRPr="007F2940" w:rsidRDefault="00FD0669" w:rsidP="00873B75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12"/>
          <w:szCs w:val="12"/>
        </w:rPr>
      </w:pPr>
    </w:p>
    <w:tbl>
      <w:tblPr>
        <w:tblW w:w="5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2753"/>
      </w:tblGrid>
      <w:tr w:rsidR="0053497C" w:rsidRPr="002F60A8" w:rsidTr="008F0003">
        <w:trPr>
          <w:trHeight w:val="228"/>
          <w:tblHeader/>
          <w:jc w:val="center"/>
        </w:trPr>
        <w:tc>
          <w:tcPr>
            <w:tcW w:w="2336" w:type="dxa"/>
            <w:vAlign w:val="center"/>
          </w:tcPr>
          <w:p w:rsidR="00FD0669" w:rsidRPr="002F60A8" w:rsidRDefault="00FD0669" w:rsidP="00873B75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2F60A8">
              <w:rPr>
                <w:rFonts w:asciiTheme="majorBidi" w:hAnsiTheme="majorBidi" w:cstheme="majorBidi"/>
                <w:b/>
                <w:bCs/>
                <w:snapToGrid w:val="0"/>
              </w:rPr>
              <w:t>Month</w:t>
            </w:r>
          </w:p>
        </w:tc>
        <w:tc>
          <w:tcPr>
            <w:tcW w:w="2753" w:type="dxa"/>
          </w:tcPr>
          <w:p w:rsidR="00FD0669" w:rsidRPr="002F60A8" w:rsidRDefault="00FD0669" w:rsidP="00873B75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napToGrid w:val="0"/>
              </w:rPr>
            </w:pPr>
            <w:r w:rsidRPr="002F60A8">
              <w:rPr>
                <w:rFonts w:asciiTheme="majorBidi" w:hAnsiTheme="majorBidi" w:cstheme="majorBidi"/>
                <w:b/>
                <w:bCs/>
                <w:snapToGrid w:val="0"/>
              </w:rPr>
              <w:t>Percent Changes (%)</w:t>
            </w:r>
          </w:p>
        </w:tc>
      </w:tr>
      <w:tr w:rsidR="0053497C" w:rsidRPr="002F60A8" w:rsidTr="008F0003">
        <w:trPr>
          <w:trHeight w:val="334"/>
          <w:jc w:val="center"/>
        </w:trPr>
        <w:tc>
          <w:tcPr>
            <w:tcW w:w="2336" w:type="dxa"/>
            <w:vAlign w:val="center"/>
          </w:tcPr>
          <w:p w:rsidR="00C93B1F" w:rsidRPr="002F60A8" w:rsidRDefault="00C93B1F" w:rsidP="002F60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2F60A8">
              <w:rPr>
                <w:rFonts w:asciiTheme="majorBidi" w:hAnsiTheme="majorBidi" w:cstheme="majorBidi"/>
                <w:snapToGrid w:val="0"/>
              </w:rPr>
              <w:t>January</w:t>
            </w:r>
          </w:p>
        </w:tc>
        <w:tc>
          <w:tcPr>
            <w:tcW w:w="2753" w:type="dxa"/>
            <w:vAlign w:val="center"/>
          </w:tcPr>
          <w:p w:rsidR="00C93B1F" w:rsidRPr="002F60A8" w:rsidRDefault="00C93B1F" w:rsidP="002F60A8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2F60A8">
              <w:rPr>
                <w:rFonts w:asciiTheme="majorBidi" w:hAnsiTheme="majorBidi" w:cstheme="majorBidi"/>
                <w:rtl/>
              </w:rPr>
              <w:t>3.09</w:t>
            </w:r>
            <w:r w:rsidR="00DB17FC" w:rsidRPr="002F60A8">
              <w:rPr>
                <w:rFonts w:asciiTheme="majorBidi" w:hAnsiTheme="majorBidi" w:cstheme="majorBidi"/>
                <w:rtl/>
                <w:lang w:eastAsia="en-US"/>
              </w:rPr>
              <w:t xml:space="preserve"> </w:t>
            </w:r>
            <w:r w:rsidRPr="002F60A8">
              <w:rPr>
                <w:rFonts w:asciiTheme="majorBidi" w:hAnsiTheme="majorBidi" w:cstheme="majorBidi"/>
                <w:rtl/>
                <w:lang w:eastAsia="en-US"/>
              </w:rPr>
              <w:t>-</w:t>
            </w:r>
          </w:p>
        </w:tc>
      </w:tr>
      <w:tr w:rsidR="0053497C" w:rsidRPr="002F60A8" w:rsidTr="008F0003">
        <w:trPr>
          <w:trHeight w:val="334"/>
          <w:jc w:val="center"/>
        </w:trPr>
        <w:tc>
          <w:tcPr>
            <w:tcW w:w="2336" w:type="dxa"/>
            <w:vAlign w:val="center"/>
          </w:tcPr>
          <w:p w:rsidR="00C93B1F" w:rsidRPr="002F60A8" w:rsidRDefault="00C93B1F" w:rsidP="002F60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2F60A8">
              <w:rPr>
                <w:rFonts w:asciiTheme="majorBidi" w:hAnsiTheme="majorBidi" w:cstheme="majorBidi"/>
                <w:snapToGrid w:val="0"/>
              </w:rPr>
              <w:t>February</w:t>
            </w:r>
          </w:p>
        </w:tc>
        <w:tc>
          <w:tcPr>
            <w:tcW w:w="2753" w:type="dxa"/>
            <w:vAlign w:val="center"/>
          </w:tcPr>
          <w:p w:rsidR="00C93B1F" w:rsidRPr="002F60A8" w:rsidRDefault="00C93B1F" w:rsidP="002F60A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F60A8">
              <w:rPr>
                <w:rFonts w:asciiTheme="majorBidi" w:hAnsiTheme="majorBidi" w:cstheme="majorBidi"/>
                <w:rtl/>
              </w:rPr>
              <w:t>5.51</w:t>
            </w:r>
            <w:r w:rsidR="00DB17FC" w:rsidRPr="002F60A8">
              <w:rPr>
                <w:rFonts w:asciiTheme="majorBidi" w:hAnsiTheme="majorBidi" w:cstheme="majorBidi"/>
              </w:rPr>
              <w:t xml:space="preserve"> </w:t>
            </w:r>
            <w:r w:rsidRPr="002F60A8">
              <w:rPr>
                <w:rFonts w:asciiTheme="majorBidi" w:hAnsiTheme="majorBidi" w:cstheme="majorBidi"/>
                <w:rtl/>
              </w:rPr>
              <w:t>-</w:t>
            </w:r>
          </w:p>
        </w:tc>
      </w:tr>
      <w:tr w:rsidR="0053497C" w:rsidRPr="002F60A8" w:rsidTr="008F0003">
        <w:trPr>
          <w:trHeight w:val="183"/>
          <w:jc w:val="center"/>
        </w:trPr>
        <w:tc>
          <w:tcPr>
            <w:tcW w:w="2336" w:type="dxa"/>
            <w:vAlign w:val="center"/>
          </w:tcPr>
          <w:p w:rsidR="00C93B1F" w:rsidRPr="002F60A8" w:rsidRDefault="00C93B1F" w:rsidP="002F60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2F60A8">
              <w:rPr>
                <w:rFonts w:asciiTheme="majorBidi" w:hAnsiTheme="majorBidi" w:cstheme="majorBidi"/>
                <w:snapToGrid w:val="0"/>
              </w:rPr>
              <w:t>March</w:t>
            </w:r>
          </w:p>
        </w:tc>
        <w:tc>
          <w:tcPr>
            <w:tcW w:w="2753" w:type="dxa"/>
            <w:vAlign w:val="center"/>
          </w:tcPr>
          <w:p w:rsidR="00C93B1F" w:rsidRPr="002F60A8" w:rsidRDefault="00C93B1F" w:rsidP="002F60A8">
            <w:pPr>
              <w:jc w:val="center"/>
              <w:rPr>
                <w:rFonts w:asciiTheme="majorBidi" w:hAnsiTheme="majorBidi" w:cstheme="majorBidi"/>
              </w:rPr>
            </w:pPr>
            <w:r w:rsidRPr="002F60A8">
              <w:rPr>
                <w:rFonts w:asciiTheme="majorBidi" w:hAnsiTheme="majorBidi" w:cstheme="majorBidi"/>
                <w:rtl/>
              </w:rPr>
              <w:t>7.87</w:t>
            </w:r>
            <w:r w:rsidRPr="002F60A8">
              <w:rPr>
                <w:rFonts w:asciiTheme="majorBidi" w:hAnsiTheme="majorBidi" w:cstheme="majorBidi"/>
              </w:rPr>
              <w:t>+</w:t>
            </w:r>
          </w:p>
        </w:tc>
      </w:tr>
      <w:tr w:rsidR="0053497C" w:rsidRPr="002F60A8" w:rsidTr="008F0003">
        <w:trPr>
          <w:trHeight w:val="307"/>
          <w:jc w:val="center"/>
        </w:trPr>
        <w:tc>
          <w:tcPr>
            <w:tcW w:w="2336" w:type="dxa"/>
            <w:vAlign w:val="center"/>
          </w:tcPr>
          <w:p w:rsidR="00C93B1F" w:rsidRPr="002F60A8" w:rsidRDefault="00C93B1F" w:rsidP="002F60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2F60A8">
              <w:rPr>
                <w:rFonts w:asciiTheme="majorBidi" w:hAnsiTheme="majorBidi" w:cstheme="majorBidi"/>
                <w:snapToGrid w:val="0"/>
              </w:rPr>
              <w:t>April</w:t>
            </w:r>
          </w:p>
        </w:tc>
        <w:tc>
          <w:tcPr>
            <w:tcW w:w="2753" w:type="dxa"/>
            <w:vAlign w:val="center"/>
          </w:tcPr>
          <w:p w:rsidR="00C93B1F" w:rsidRPr="002F60A8" w:rsidRDefault="00C93B1F" w:rsidP="002F60A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F60A8">
              <w:rPr>
                <w:rFonts w:asciiTheme="majorBidi" w:hAnsiTheme="majorBidi" w:cstheme="majorBidi"/>
                <w:rtl/>
              </w:rPr>
              <w:t>11.31</w:t>
            </w:r>
            <w:r w:rsidR="00DB17FC" w:rsidRPr="002F60A8">
              <w:rPr>
                <w:rFonts w:asciiTheme="majorBidi" w:hAnsiTheme="majorBidi" w:cstheme="majorBidi"/>
              </w:rPr>
              <w:t xml:space="preserve"> </w:t>
            </w:r>
            <w:r w:rsidRPr="002F60A8">
              <w:rPr>
                <w:rFonts w:asciiTheme="majorBidi" w:hAnsiTheme="majorBidi" w:cstheme="majorBidi"/>
                <w:rtl/>
              </w:rPr>
              <w:t>-</w:t>
            </w:r>
          </w:p>
        </w:tc>
      </w:tr>
      <w:tr w:rsidR="0053497C" w:rsidRPr="002F60A8" w:rsidTr="008F0003">
        <w:trPr>
          <w:trHeight w:val="334"/>
          <w:jc w:val="center"/>
        </w:trPr>
        <w:tc>
          <w:tcPr>
            <w:tcW w:w="2336" w:type="dxa"/>
            <w:vAlign w:val="center"/>
          </w:tcPr>
          <w:p w:rsidR="00C93B1F" w:rsidRPr="002F60A8" w:rsidRDefault="00C93B1F" w:rsidP="002F60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2F60A8">
              <w:rPr>
                <w:rFonts w:asciiTheme="majorBidi" w:hAnsiTheme="majorBidi" w:cstheme="majorBidi"/>
                <w:snapToGrid w:val="0"/>
              </w:rPr>
              <w:t>May</w:t>
            </w:r>
          </w:p>
        </w:tc>
        <w:tc>
          <w:tcPr>
            <w:tcW w:w="2753" w:type="dxa"/>
            <w:vAlign w:val="center"/>
          </w:tcPr>
          <w:p w:rsidR="00C93B1F" w:rsidRPr="002F60A8" w:rsidRDefault="00C93B1F" w:rsidP="002F60A8">
            <w:pPr>
              <w:jc w:val="center"/>
              <w:rPr>
                <w:rFonts w:asciiTheme="majorBidi" w:hAnsiTheme="majorBidi" w:cstheme="majorBidi"/>
              </w:rPr>
            </w:pPr>
            <w:r w:rsidRPr="002F60A8">
              <w:rPr>
                <w:rFonts w:asciiTheme="majorBidi" w:hAnsiTheme="majorBidi" w:cstheme="majorBidi"/>
                <w:rtl/>
              </w:rPr>
              <w:t>13.95</w:t>
            </w:r>
            <w:r w:rsidRPr="002F60A8">
              <w:rPr>
                <w:rFonts w:asciiTheme="majorBidi" w:hAnsiTheme="majorBidi" w:cstheme="majorBidi"/>
              </w:rPr>
              <w:t>+</w:t>
            </w:r>
          </w:p>
        </w:tc>
      </w:tr>
      <w:tr w:rsidR="0053497C" w:rsidRPr="002F60A8" w:rsidTr="008F0003">
        <w:trPr>
          <w:trHeight w:val="334"/>
          <w:jc w:val="center"/>
        </w:trPr>
        <w:tc>
          <w:tcPr>
            <w:tcW w:w="2336" w:type="dxa"/>
            <w:vAlign w:val="center"/>
          </w:tcPr>
          <w:p w:rsidR="00C93B1F" w:rsidRPr="002F60A8" w:rsidRDefault="00C93B1F" w:rsidP="002F60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2F60A8">
              <w:rPr>
                <w:rFonts w:asciiTheme="majorBidi" w:hAnsiTheme="majorBidi" w:cstheme="majorBidi"/>
                <w:snapToGrid w:val="0"/>
              </w:rPr>
              <w:t>June</w:t>
            </w:r>
          </w:p>
        </w:tc>
        <w:tc>
          <w:tcPr>
            <w:tcW w:w="2753" w:type="dxa"/>
            <w:vAlign w:val="center"/>
          </w:tcPr>
          <w:p w:rsidR="00C93B1F" w:rsidRPr="002F60A8" w:rsidRDefault="00C93B1F" w:rsidP="002F60A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F60A8">
              <w:rPr>
                <w:rFonts w:asciiTheme="majorBidi" w:hAnsiTheme="majorBidi" w:cstheme="majorBidi"/>
                <w:rtl/>
              </w:rPr>
              <w:t>3.62</w:t>
            </w:r>
            <w:r w:rsidR="00DB17FC" w:rsidRPr="002F60A8">
              <w:rPr>
                <w:rFonts w:asciiTheme="majorBidi" w:hAnsiTheme="majorBidi" w:cstheme="majorBidi"/>
              </w:rPr>
              <w:t xml:space="preserve"> </w:t>
            </w:r>
            <w:r w:rsidRPr="002F60A8">
              <w:rPr>
                <w:rFonts w:asciiTheme="majorBidi" w:hAnsiTheme="majorBidi" w:cstheme="majorBidi"/>
                <w:rtl/>
              </w:rPr>
              <w:t>-</w:t>
            </w:r>
          </w:p>
        </w:tc>
      </w:tr>
      <w:tr w:rsidR="0053497C" w:rsidRPr="002F60A8" w:rsidTr="008F0003">
        <w:trPr>
          <w:trHeight w:val="334"/>
          <w:jc w:val="center"/>
        </w:trPr>
        <w:tc>
          <w:tcPr>
            <w:tcW w:w="2336" w:type="dxa"/>
            <w:vAlign w:val="center"/>
          </w:tcPr>
          <w:p w:rsidR="00C93B1F" w:rsidRPr="002F60A8" w:rsidRDefault="00C93B1F" w:rsidP="002F60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2F60A8">
              <w:rPr>
                <w:rFonts w:asciiTheme="majorBidi" w:hAnsiTheme="majorBidi" w:cstheme="majorBidi"/>
                <w:snapToGrid w:val="0"/>
              </w:rPr>
              <w:t>July</w:t>
            </w:r>
          </w:p>
        </w:tc>
        <w:tc>
          <w:tcPr>
            <w:tcW w:w="2753" w:type="dxa"/>
            <w:vAlign w:val="center"/>
          </w:tcPr>
          <w:p w:rsidR="00C93B1F" w:rsidRPr="002F60A8" w:rsidRDefault="00C93B1F" w:rsidP="002F60A8">
            <w:pPr>
              <w:jc w:val="center"/>
              <w:rPr>
                <w:rFonts w:asciiTheme="majorBidi" w:hAnsiTheme="majorBidi" w:cstheme="majorBidi"/>
              </w:rPr>
            </w:pPr>
            <w:r w:rsidRPr="002F60A8">
              <w:rPr>
                <w:rFonts w:asciiTheme="majorBidi" w:hAnsiTheme="majorBidi" w:cstheme="majorBidi"/>
                <w:rtl/>
              </w:rPr>
              <w:t>2.68</w:t>
            </w:r>
            <w:r w:rsidRPr="002F60A8">
              <w:rPr>
                <w:rFonts w:asciiTheme="majorBidi" w:hAnsiTheme="majorBidi" w:cstheme="majorBidi"/>
              </w:rPr>
              <w:t>+</w:t>
            </w:r>
          </w:p>
        </w:tc>
      </w:tr>
      <w:tr w:rsidR="0053497C" w:rsidRPr="002F60A8" w:rsidTr="008F0003">
        <w:trPr>
          <w:trHeight w:val="334"/>
          <w:jc w:val="center"/>
        </w:trPr>
        <w:tc>
          <w:tcPr>
            <w:tcW w:w="2336" w:type="dxa"/>
            <w:vAlign w:val="center"/>
          </w:tcPr>
          <w:p w:rsidR="00C93B1F" w:rsidRPr="002F60A8" w:rsidRDefault="00C93B1F" w:rsidP="002F60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2F60A8">
              <w:rPr>
                <w:rFonts w:asciiTheme="majorBidi" w:hAnsiTheme="majorBidi" w:cstheme="majorBidi"/>
                <w:snapToGrid w:val="0"/>
              </w:rPr>
              <w:t>August</w:t>
            </w:r>
          </w:p>
        </w:tc>
        <w:tc>
          <w:tcPr>
            <w:tcW w:w="2753" w:type="dxa"/>
            <w:vAlign w:val="center"/>
          </w:tcPr>
          <w:p w:rsidR="00C93B1F" w:rsidRPr="002F60A8" w:rsidRDefault="00C93B1F" w:rsidP="002F60A8">
            <w:pPr>
              <w:jc w:val="center"/>
              <w:rPr>
                <w:rFonts w:asciiTheme="majorBidi" w:hAnsiTheme="majorBidi" w:cstheme="majorBidi"/>
              </w:rPr>
            </w:pPr>
            <w:r w:rsidRPr="002F60A8">
              <w:rPr>
                <w:rFonts w:asciiTheme="majorBidi" w:hAnsiTheme="majorBidi" w:cstheme="majorBidi"/>
                <w:rtl/>
              </w:rPr>
              <w:t>4.98</w:t>
            </w:r>
            <w:r w:rsidRPr="002F60A8">
              <w:rPr>
                <w:rFonts w:asciiTheme="majorBidi" w:hAnsiTheme="majorBidi" w:cstheme="majorBidi"/>
              </w:rPr>
              <w:t>+</w:t>
            </w:r>
          </w:p>
        </w:tc>
      </w:tr>
      <w:tr w:rsidR="0053497C" w:rsidRPr="002F60A8" w:rsidTr="008F0003">
        <w:trPr>
          <w:trHeight w:val="334"/>
          <w:jc w:val="center"/>
        </w:trPr>
        <w:tc>
          <w:tcPr>
            <w:tcW w:w="2336" w:type="dxa"/>
            <w:vAlign w:val="center"/>
          </w:tcPr>
          <w:p w:rsidR="00C93B1F" w:rsidRPr="002F60A8" w:rsidRDefault="00C93B1F" w:rsidP="002F60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2F60A8">
              <w:rPr>
                <w:rFonts w:asciiTheme="majorBidi" w:hAnsiTheme="majorBidi" w:cstheme="majorBidi"/>
                <w:snapToGrid w:val="0"/>
              </w:rPr>
              <w:t>September</w:t>
            </w:r>
          </w:p>
        </w:tc>
        <w:tc>
          <w:tcPr>
            <w:tcW w:w="2753" w:type="dxa"/>
            <w:vAlign w:val="center"/>
          </w:tcPr>
          <w:p w:rsidR="00C93B1F" w:rsidRPr="002F60A8" w:rsidRDefault="00C93B1F" w:rsidP="002F60A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F60A8">
              <w:rPr>
                <w:rFonts w:asciiTheme="majorBidi" w:hAnsiTheme="majorBidi" w:cstheme="majorBidi"/>
                <w:rtl/>
              </w:rPr>
              <w:t>4.37</w:t>
            </w:r>
            <w:r w:rsidR="00DB17FC" w:rsidRPr="002F60A8">
              <w:rPr>
                <w:rFonts w:asciiTheme="majorBidi" w:hAnsiTheme="majorBidi" w:cstheme="majorBidi"/>
              </w:rPr>
              <w:t xml:space="preserve"> </w:t>
            </w:r>
            <w:r w:rsidRPr="002F60A8">
              <w:rPr>
                <w:rFonts w:asciiTheme="majorBidi" w:hAnsiTheme="majorBidi" w:cstheme="majorBidi"/>
                <w:rtl/>
              </w:rPr>
              <w:t>-</w:t>
            </w:r>
          </w:p>
        </w:tc>
      </w:tr>
      <w:tr w:rsidR="0053497C" w:rsidRPr="002F60A8" w:rsidTr="008F0003">
        <w:trPr>
          <w:trHeight w:val="334"/>
          <w:jc w:val="center"/>
        </w:trPr>
        <w:tc>
          <w:tcPr>
            <w:tcW w:w="2336" w:type="dxa"/>
            <w:vAlign w:val="center"/>
          </w:tcPr>
          <w:p w:rsidR="00C93B1F" w:rsidRPr="002F60A8" w:rsidRDefault="00C93B1F" w:rsidP="002F60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2F60A8">
              <w:rPr>
                <w:rFonts w:asciiTheme="majorBidi" w:hAnsiTheme="majorBidi" w:cstheme="majorBidi"/>
                <w:snapToGrid w:val="0"/>
              </w:rPr>
              <w:t>October</w:t>
            </w:r>
          </w:p>
        </w:tc>
        <w:tc>
          <w:tcPr>
            <w:tcW w:w="2753" w:type="dxa"/>
            <w:vAlign w:val="center"/>
          </w:tcPr>
          <w:p w:rsidR="00C93B1F" w:rsidRPr="002F60A8" w:rsidRDefault="00C93B1F" w:rsidP="002F60A8">
            <w:pPr>
              <w:jc w:val="center"/>
              <w:rPr>
                <w:rFonts w:asciiTheme="majorBidi" w:hAnsiTheme="majorBidi" w:cstheme="majorBidi"/>
              </w:rPr>
            </w:pPr>
            <w:r w:rsidRPr="002F60A8">
              <w:rPr>
                <w:rFonts w:asciiTheme="majorBidi" w:hAnsiTheme="majorBidi" w:cstheme="majorBidi"/>
                <w:rtl/>
              </w:rPr>
              <w:t>25.11</w:t>
            </w:r>
            <w:r w:rsidR="009F296E" w:rsidRPr="002F60A8">
              <w:rPr>
                <w:rFonts w:asciiTheme="majorBidi" w:hAnsiTheme="majorBidi" w:cstheme="majorBidi"/>
                <w:rtl/>
              </w:rPr>
              <w:t xml:space="preserve"> -</w:t>
            </w:r>
          </w:p>
        </w:tc>
      </w:tr>
      <w:tr w:rsidR="0053497C" w:rsidRPr="002F60A8" w:rsidTr="008F0003">
        <w:trPr>
          <w:trHeight w:val="334"/>
          <w:jc w:val="center"/>
        </w:trPr>
        <w:tc>
          <w:tcPr>
            <w:tcW w:w="2336" w:type="dxa"/>
            <w:vAlign w:val="center"/>
          </w:tcPr>
          <w:p w:rsidR="00FD0669" w:rsidRPr="002F60A8" w:rsidRDefault="00FD0669" w:rsidP="002F60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2F60A8">
              <w:rPr>
                <w:rFonts w:asciiTheme="majorBidi" w:hAnsiTheme="majorBidi" w:cstheme="majorBidi"/>
                <w:snapToGrid w:val="0"/>
              </w:rPr>
              <w:t>November</w:t>
            </w:r>
          </w:p>
        </w:tc>
        <w:tc>
          <w:tcPr>
            <w:tcW w:w="2753" w:type="dxa"/>
            <w:vAlign w:val="center"/>
          </w:tcPr>
          <w:p w:rsidR="00FD0669" w:rsidRPr="002F60A8" w:rsidRDefault="00F73AF6" w:rsidP="002F60A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F60A8">
              <w:rPr>
                <w:rFonts w:asciiTheme="majorBidi" w:hAnsiTheme="majorBidi" w:cstheme="majorBidi"/>
              </w:rPr>
              <w:t>-</w:t>
            </w:r>
            <w:r w:rsidR="00DB17FC" w:rsidRPr="002F60A8">
              <w:rPr>
                <w:rFonts w:asciiTheme="majorBidi" w:hAnsiTheme="majorBidi" w:cstheme="majorBidi"/>
              </w:rPr>
              <w:t xml:space="preserve"> </w:t>
            </w:r>
            <w:r w:rsidRPr="002F60A8">
              <w:rPr>
                <w:rFonts w:asciiTheme="majorBidi" w:hAnsiTheme="majorBidi" w:cstheme="majorBidi"/>
              </w:rPr>
              <w:t>9.33</w:t>
            </w:r>
          </w:p>
        </w:tc>
      </w:tr>
      <w:tr w:rsidR="0053497C" w:rsidRPr="002F60A8" w:rsidTr="008F0003">
        <w:trPr>
          <w:trHeight w:val="334"/>
          <w:jc w:val="center"/>
        </w:trPr>
        <w:tc>
          <w:tcPr>
            <w:tcW w:w="2336" w:type="dxa"/>
            <w:vAlign w:val="center"/>
          </w:tcPr>
          <w:p w:rsidR="00FD0669" w:rsidRPr="002F60A8" w:rsidRDefault="00FD0669" w:rsidP="002F60A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</w:rPr>
            </w:pPr>
            <w:r w:rsidRPr="002F60A8">
              <w:rPr>
                <w:rFonts w:asciiTheme="majorBidi" w:hAnsiTheme="majorBidi" w:cstheme="majorBidi"/>
                <w:snapToGrid w:val="0"/>
              </w:rPr>
              <w:t>December</w:t>
            </w:r>
          </w:p>
        </w:tc>
        <w:tc>
          <w:tcPr>
            <w:tcW w:w="2753" w:type="dxa"/>
            <w:vAlign w:val="center"/>
          </w:tcPr>
          <w:p w:rsidR="00FD0669" w:rsidRPr="002F60A8" w:rsidRDefault="00F73AF6" w:rsidP="002F60A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F60A8">
              <w:rPr>
                <w:rFonts w:asciiTheme="majorBidi" w:hAnsiTheme="majorBidi" w:cstheme="majorBidi"/>
              </w:rPr>
              <w:t>+</w:t>
            </w:r>
            <w:r w:rsidR="00DB17FC" w:rsidRPr="002F60A8">
              <w:rPr>
                <w:rFonts w:asciiTheme="majorBidi" w:hAnsiTheme="majorBidi" w:cstheme="majorBidi"/>
              </w:rPr>
              <w:t xml:space="preserve"> </w:t>
            </w:r>
            <w:r w:rsidRPr="002F60A8">
              <w:rPr>
                <w:rFonts w:asciiTheme="majorBidi" w:hAnsiTheme="majorBidi" w:cstheme="majorBidi"/>
              </w:rPr>
              <w:t>2.42</w:t>
            </w:r>
          </w:p>
        </w:tc>
      </w:tr>
    </w:tbl>
    <w:p w:rsidR="00FD0669" w:rsidRPr="007F2940" w:rsidRDefault="00FD0669" w:rsidP="008F0003">
      <w:pPr>
        <w:bidi w:val="0"/>
        <w:jc w:val="center"/>
        <w:rPr>
          <w:b/>
          <w:bCs/>
        </w:rPr>
      </w:pPr>
    </w:p>
    <w:p w:rsidR="009F296E" w:rsidRPr="008F0003" w:rsidRDefault="00FD0669" w:rsidP="00873B75">
      <w:pPr>
        <w:bidi w:val="0"/>
        <w:jc w:val="center"/>
        <w:rPr>
          <w:b/>
          <w:bCs/>
          <w:sz w:val="28"/>
          <w:szCs w:val="28"/>
        </w:rPr>
      </w:pPr>
      <w:r w:rsidRPr="008F0003">
        <w:rPr>
          <w:b/>
          <w:bCs/>
          <w:sz w:val="28"/>
          <w:szCs w:val="28"/>
        </w:rPr>
        <w:t xml:space="preserve">The trend line of the Industrial Production Index in Palestine, for the period: </w:t>
      </w:r>
    </w:p>
    <w:p w:rsidR="00FD0669" w:rsidRPr="008F0003" w:rsidRDefault="00FD0669" w:rsidP="002F60A8">
      <w:pPr>
        <w:bidi w:val="0"/>
        <w:jc w:val="center"/>
        <w:rPr>
          <w:b/>
          <w:bCs/>
          <w:sz w:val="28"/>
          <w:szCs w:val="28"/>
        </w:rPr>
      </w:pPr>
      <w:r w:rsidRPr="008F0003">
        <w:rPr>
          <w:b/>
          <w:bCs/>
          <w:sz w:val="28"/>
          <w:szCs w:val="28"/>
        </w:rPr>
        <w:t xml:space="preserve">January - December </w:t>
      </w:r>
      <w:r w:rsidR="00D40172" w:rsidRPr="008F0003">
        <w:rPr>
          <w:b/>
          <w:bCs/>
          <w:sz w:val="28"/>
          <w:szCs w:val="28"/>
        </w:rPr>
        <w:t>2023</w:t>
      </w:r>
      <w:r w:rsidR="008F0003">
        <w:rPr>
          <w:b/>
          <w:bCs/>
          <w:sz w:val="28"/>
          <w:szCs w:val="28"/>
        </w:rPr>
        <w:t xml:space="preserve"> </w:t>
      </w:r>
      <w:r w:rsidRPr="008F0003">
        <w:rPr>
          <w:b/>
          <w:bCs/>
          <w:sz w:val="28"/>
          <w:szCs w:val="28"/>
        </w:rPr>
        <w:t>(Base Year 2019 = 100)</w:t>
      </w:r>
    </w:p>
    <w:p w:rsidR="00FD0669" w:rsidRPr="007F2940" w:rsidRDefault="00FD0669" w:rsidP="00873B75">
      <w:pPr>
        <w:jc w:val="center"/>
        <w:rPr>
          <w:b/>
          <w:bCs/>
          <w:sz w:val="12"/>
          <w:szCs w:val="12"/>
        </w:rPr>
      </w:pPr>
    </w:p>
    <w:p w:rsidR="00FD0669" w:rsidRPr="007F2940" w:rsidRDefault="00FD0669" w:rsidP="00873B75">
      <w:pPr>
        <w:jc w:val="both"/>
        <w:rPr>
          <w:b/>
          <w:bCs/>
          <w:sz w:val="8"/>
          <w:szCs w:val="8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90"/>
      </w:tblGrid>
      <w:tr w:rsidR="00FD0669" w:rsidRPr="007F2940" w:rsidTr="00113FC5">
        <w:trPr>
          <w:jc w:val="center"/>
        </w:trPr>
        <w:tc>
          <w:tcPr>
            <w:tcW w:w="4260" w:type="dxa"/>
          </w:tcPr>
          <w:p w:rsidR="00FD0669" w:rsidRPr="007F2940" w:rsidRDefault="00FD0669" w:rsidP="00873B75">
            <w:pPr>
              <w:jc w:val="center"/>
              <w:rPr>
                <w:b/>
                <w:bCs/>
              </w:rPr>
            </w:pPr>
            <w:r w:rsidRPr="007F2940">
              <w:rPr>
                <w:b/>
                <w:bCs/>
                <w:noProof/>
                <w:lang w:eastAsia="en-US"/>
              </w:rPr>
              <w:drawing>
                <wp:inline distT="0" distB="0" distL="0" distR="0" wp14:anchorId="1016E65E" wp14:editId="59906B8E">
                  <wp:extent cx="2968388" cy="2545307"/>
                  <wp:effectExtent l="0" t="0" r="0" b="0"/>
                  <wp:docPr id="2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1413D6" w:rsidRPr="007F2940" w:rsidRDefault="001413D6" w:rsidP="002F60A8">
      <w:pPr>
        <w:pStyle w:val="NormalWeb"/>
        <w:spacing w:after="0"/>
        <w:jc w:val="both"/>
        <w:rPr>
          <w:b/>
          <w:bCs/>
        </w:rPr>
      </w:pPr>
      <w:r w:rsidRPr="007F2940">
        <w:rPr>
          <w:b/>
          <w:bCs/>
        </w:rPr>
        <w:t>Notice for Users:</w:t>
      </w:r>
    </w:p>
    <w:p w:rsidR="001413D6" w:rsidRPr="007F2940" w:rsidRDefault="001413D6" w:rsidP="002F60A8">
      <w:pPr>
        <w:pStyle w:val="ListParagraph"/>
        <w:tabs>
          <w:tab w:val="left" w:pos="282"/>
        </w:tabs>
        <w:bidi w:val="0"/>
        <w:ind w:left="-1"/>
        <w:jc w:val="both"/>
        <w:rPr>
          <w:rtl/>
        </w:rPr>
      </w:pPr>
      <w:r w:rsidRPr="007F2940">
        <w:t>Due to the Israeli attack on Gaza strip in October</w:t>
      </w:r>
      <w:r w:rsidR="003643FA" w:rsidRPr="007F2940">
        <w:t>,7</w:t>
      </w:r>
      <w:r w:rsidRPr="007F2940">
        <w:t xml:space="preserve"> 2023, </w:t>
      </w:r>
      <w:r w:rsidR="003643FA" w:rsidRPr="007F2940">
        <w:t>the production</w:t>
      </w:r>
      <w:r w:rsidR="00E577AB" w:rsidRPr="007F2940">
        <w:t xml:space="preserve"> </w:t>
      </w:r>
      <w:r w:rsidRPr="007F2940">
        <w:t>of industrial establishment working in Gaza strip</w:t>
      </w:r>
      <w:r w:rsidR="003643FA" w:rsidRPr="007F2940">
        <w:t xml:space="preserve"> was</w:t>
      </w:r>
      <w:r w:rsidRPr="007F2940">
        <w:t xml:space="preserve"> estimated according</w:t>
      </w:r>
      <w:r w:rsidR="003643FA" w:rsidRPr="007F2940">
        <w:t xml:space="preserve"> to</w:t>
      </w:r>
      <w:r w:rsidRPr="007F2940">
        <w:t xml:space="preserve"> international recommendation</w:t>
      </w:r>
      <w:r w:rsidR="003643FA" w:rsidRPr="007F2940">
        <w:t xml:space="preserve"> in this field for </w:t>
      </w:r>
      <w:r w:rsidR="006457B0" w:rsidRPr="007F2940">
        <w:t>December</w:t>
      </w:r>
      <w:r w:rsidR="003643FA" w:rsidRPr="007F2940">
        <w:t xml:space="preserve"> 2023</w:t>
      </w:r>
      <w:r w:rsidRPr="007F2940">
        <w:t xml:space="preserve">. </w:t>
      </w:r>
    </w:p>
    <w:p w:rsidR="000D497F" w:rsidRDefault="000D497F" w:rsidP="00873B75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2F60A8" w:rsidRPr="007F2940" w:rsidRDefault="002F60A8" w:rsidP="002F60A8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1413D6" w:rsidRPr="002F60A8" w:rsidRDefault="002B7AD5" w:rsidP="00873B75">
      <w:pPr>
        <w:pStyle w:val="ListParagraph"/>
        <w:bidi w:val="0"/>
        <w:ind w:left="0"/>
        <w:jc w:val="both"/>
      </w:pPr>
      <w:r w:rsidRPr="002F60A8">
        <w:t>Please note that the press release in English is brief compared to the Arabic version.</w:t>
      </w:r>
    </w:p>
    <w:p w:rsidR="00824F7E" w:rsidRPr="007F2940" w:rsidRDefault="00824F7E" w:rsidP="00873B75">
      <w:pPr>
        <w:bidi w:val="0"/>
        <w:jc w:val="both"/>
        <w:rPr>
          <w:b/>
          <w:bCs/>
          <w:sz w:val="20"/>
          <w:szCs w:val="20"/>
        </w:rPr>
      </w:pPr>
    </w:p>
    <w:p w:rsidR="00824F7E" w:rsidRPr="007F2940" w:rsidRDefault="00824F7E" w:rsidP="00873B75">
      <w:pPr>
        <w:bidi w:val="0"/>
        <w:jc w:val="both"/>
        <w:rPr>
          <w:b/>
          <w:bCs/>
          <w:sz w:val="20"/>
          <w:szCs w:val="20"/>
        </w:rPr>
      </w:pPr>
    </w:p>
    <w:p w:rsidR="00841179" w:rsidRPr="007F2940" w:rsidRDefault="00841179" w:rsidP="00873B75">
      <w:pPr>
        <w:bidi w:val="0"/>
        <w:jc w:val="both"/>
        <w:rPr>
          <w:sz w:val="20"/>
          <w:szCs w:val="20"/>
        </w:rPr>
      </w:pPr>
    </w:p>
    <w:sectPr w:rsidR="00841179" w:rsidRPr="007F2940" w:rsidSect="001A1CF2">
      <w:footerReference w:type="even" r:id="rId9"/>
      <w:footerReference w:type="default" r:id="rId10"/>
      <w:pgSz w:w="11907" w:h="16840" w:code="9"/>
      <w:pgMar w:top="851" w:right="851" w:bottom="851" w:left="851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86E" w:rsidRDefault="00F5786E">
      <w:r>
        <w:separator/>
      </w:r>
    </w:p>
  </w:endnote>
  <w:endnote w:type="continuationSeparator" w:id="0">
    <w:p w:rsidR="00F5786E" w:rsidRDefault="00F5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1208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350177439"/>
      <w:docPartObj>
        <w:docPartGallery w:val="Page Numbers (Bottom of Page)"/>
        <w:docPartUnique/>
      </w:docPartObj>
    </w:sdtPr>
    <w:sdtEndPr/>
    <w:sdtContent>
      <w:p w:rsidR="001A1CF2" w:rsidRDefault="001A1C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84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1A1CF2" w:rsidRDefault="001A1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86E" w:rsidRDefault="00F5786E">
      <w:r>
        <w:separator/>
      </w:r>
    </w:p>
  </w:footnote>
  <w:footnote w:type="continuationSeparator" w:id="0">
    <w:p w:rsidR="00F5786E" w:rsidRDefault="00F57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A752C4C"/>
    <w:multiLevelType w:val="hybridMultilevel"/>
    <w:tmpl w:val="31005CDE"/>
    <w:lvl w:ilvl="0" w:tplc="89724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9"/>
  </w:num>
  <w:num w:numId="7">
    <w:abstractNumId w:val="4"/>
  </w:num>
  <w:num w:numId="8">
    <w:abstractNumId w:val="11"/>
  </w:num>
  <w:num w:numId="9">
    <w:abstractNumId w:val="5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678B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C5929"/>
    <w:rsid w:val="000D0051"/>
    <w:rsid w:val="000D0334"/>
    <w:rsid w:val="000D1C28"/>
    <w:rsid w:val="000D295A"/>
    <w:rsid w:val="000D2D47"/>
    <w:rsid w:val="000D497F"/>
    <w:rsid w:val="000D4EF5"/>
    <w:rsid w:val="000E3C82"/>
    <w:rsid w:val="000E5C13"/>
    <w:rsid w:val="000E5E51"/>
    <w:rsid w:val="000E665C"/>
    <w:rsid w:val="000E7153"/>
    <w:rsid w:val="000E74ED"/>
    <w:rsid w:val="000F0783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08CA"/>
    <w:rsid w:val="001227BE"/>
    <w:rsid w:val="00125271"/>
    <w:rsid w:val="00126FEB"/>
    <w:rsid w:val="001316AE"/>
    <w:rsid w:val="00135006"/>
    <w:rsid w:val="001413D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77C8"/>
    <w:rsid w:val="00190373"/>
    <w:rsid w:val="0019101F"/>
    <w:rsid w:val="001922DC"/>
    <w:rsid w:val="001927DA"/>
    <w:rsid w:val="00194A6D"/>
    <w:rsid w:val="00197FC2"/>
    <w:rsid w:val="001A1CF2"/>
    <w:rsid w:val="001A3914"/>
    <w:rsid w:val="001A3C03"/>
    <w:rsid w:val="001A47F5"/>
    <w:rsid w:val="001A4EE0"/>
    <w:rsid w:val="001B1787"/>
    <w:rsid w:val="001B1BB1"/>
    <w:rsid w:val="001B2044"/>
    <w:rsid w:val="001B2A17"/>
    <w:rsid w:val="001B2D0C"/>
    <w:rsid w:val="001B3F89"/>
    <w:rsid w:val="001B52B0"/>
    <w:rsid w:val="001B540A"/>
    <w:rsid w:val="001B601A"/>
    <w:rsid w:val="001B79AF"/>
    <w:rsid w:val="001C0549"/>
    <w:rsid w:val="001C3783"/>
    <w:rsid w:val="001D2F7D"/>
    <w:rsid w:val="001D3D99"/>
    <w:rsid w:val="001D6231"/>
    <w:rsid w:val="001D7B33"/>
    <w:rsid w:val="001D7DD0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4330"/>
    <w:rsid w:val="0023578C"/>
    <w:rsid w:val="00235AEF"/>
    <w:rsid w:val="002360DE"/>
    <w:rsid w:val="00240310"/>
    <w:rsid w:val="00243169"/>
    <w:rsid w:val="00244F22"/>
    <w:rsid w:val="0025310D"/>
    <w:rsid w:val="00253BD9"/>
    <w:rsid w:val="00254B24"/>
    <w:rsid w:val="002551B0"/>
    <w:rsid w:val="0025694A"/>
    <w:rsid w:val="00264413"/>
    <w:rsid w:val="00265F0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3F4C"/>
    <w:rsid w:val="00296690"/>
    <w:rsid w:val="00296FA5"/>
    <w:rsid w:val="002A08D2"/>
    <w:rsid w:val="002A13A9"/>
    <w:rsid w:val="002A1EDB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60A8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D69"/>
    <w:rsid w:val="003635B2"/>
    <w:rsid w:val="003643FA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B7032"/>
    <w:rsid w:val="003C2B0F"/>
    <w:rsid w:val="003C2FCA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24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26A11"/>
    <w:rsid w:val="0053256D"/>
    <w:rsid w:val="00533039"/>
    <w:rsid w:val="0053497C"/>
    <w:rsid w:val="00536487"/>
    <w:rsid w:val="005376F9"/>
    <w:rsid w:val="0054641B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57B0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C3A"/>
    <w:rsid w:val="00666D87"/>
    <w:rsid w:val="00667423"/>
    <w:rsid w:val="00673336"/>
    <w:rsid w:val="00673B80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527E"/>
    <w:rsid w:val="00685CA0"/>
    <w:rsid w:val="00686636"/>
    <w:rsid w:val="00686ACC"/>
    <w:rsid w:val="006872A6"/>
    <w:rsid w:val="00687555"/>
    <w:rsid w:val="00690031"/>
    <w:rsid w:val="006905AC"/>
    <w:rsid w:val="006910A8"/>
    <w:rsid w:val="00692938"/>
    <w:rsid w:val="00696D0D"/>
    <w:rsid w:val="006A0BFF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0E25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54556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71D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940"/>
    <w:rsid w:val="007F2DF7"/>
    <w:rsid w:val="007F3181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24A77"/>
    <w:rsid w:val="00824F7E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4552"/>
    <w:rsid w:val="00867FD0"/>
    <w:rsid w:val="00872AE4"/>
    <w:rsid w:val="0087380E"/>
    <w:rsid w:val="00873B75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0458"/>
    <w:rsid w:val="008A413F"/>
    <w:rsid w:val="008A7504"/>
    <w:rsid w:val="008B0CFF"/>
    <w:rsid w:val="008B5A0F"/>
    <w:rsid w:val="008B5A23"/>
    <w:rsid w:val="008B63B8"/>
    <w:rsid w:val="008B7815"/>
    <w:rsid w:val="008C3122"/>
    <w:rsid w:val="008D0698"/>
    <w:rsid w:val="008D77B1"/>
    <w:rsid w:val="008E4AC1"/>
    <w:rsid w:val="008E4BBA"/>
    <w:rsid w:val="008E4E84"/>
    <w:rsid w:val="008E6D13"/>
    <w:rsid w:val="008F0003"/>
    <w:rsid w:val="008F3482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7D1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1844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3C9D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E7E2F"/>
    <w:rsid w:val="009F053F"/>
    <w:rsid w:val="009F0DA5"/>
    <w:rsid w:val="009F0E85"/>
    <w:rsid w:val="009F296E"/>
    <w:rsid w:val="009F2AC3"/>
    <w:rsid w:val="009F3E89"/>
    <w:rsid w:val="009F498A"/>
    <w:rsid w:val="009F6E8D"/>
    <w:rsid w:val="00A02C03"/>
    <w:rsid w:val="00A02C6A"/>
    <w:rsid w:val="00A032F1"/>
    <w:rsid w:val="00A0357B"/>
    <w:rsid w:val="00A054E4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27BD2"/>
    <w:rsid w:val="00A33A83"/>
    <w:rsid w:val="00A35DCF"/>
    <w:rsid w:val="00A378EF"/>
    <w:rsid w:val="00A42FE6"/>
    <w:rsid w:val="00A454F1"/>
    <w:rsid w:val="00A46DDE"/>
    <w:rsid w:val="00A50643"/>
    <w:rsid w:val="00A53723"/>
    <w:rsid w:val="00A53C31"/>
    <w:rsid w:val="00A55291"/>
    <w:rsid w:val="00A5591D"/>
    <w:rsid w:val="00A56034"/>
    <w:rsid w:val="00A57297"/>
    <w:rsid w:val="00A61129"/>
    <w:rsid w:val="00A620D5"/>
    <w:rsid w:val="00A65368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2F56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3FFC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3C9B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85079"/>
    <w:rsid w:val="00C91D87"/>
    <w:rsid w:val="00C93B1F"/>
    <w:rsid w:val="00C97B18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1893"/>
    <w:rsid w:val="00CF6876"/>
    <w:rsid w:val="00D00486"/>
    <w:rsid w:val="00D010DD"/>
    <w:rsid w:val="00D056EF"/>
    <w:rsid w:val="00D1224F"/>
    <w:rsid w:val="00D145FB"/>
    <w:rsid w:val="00D16931"/>
    <w:rsid w:val="00D17CCC"/>
    <w:rsid w:val="00D20111"/>
    <w:rsid w:val="00D21F8E"/>
    <w:rsid w:val="00D25E04"/>
    <w:rsid w:val="00D2793D"/>
    <w:rsid w:val="00D31167"/>
    <w:rsid w:val="00D315CA"/>
    <w:rsid w:val="00D321A9"/>
    <w:rsid w:val="00D3520C"/>
    <w:rsid w:val="00D35337"/>
    <w:rsid w:val="00D40172"/>
    <w:rsid w:val="00D40AA5"/>
    <w:rsid w:val="00D41842"/>
    <w:rsid w:val="00D4492E"/>
    <w:rsid w:val="00D456EE"/>
    <w:rsid w:val="00D461B4"/>
    <w:rsid w:val="00D46390"/>
    <w:rsid w:val="00D468C7"/>
    <w:rsid w:val="00D4707A"/>
    <w:rsid w:val="00D4781B"/>
    <w:rsid w:val="00D522E6"/>
    <w:rsid w:val="00D571D0"/>
    <w:rsid w:val="00D6067D"/>
    <w:rsid w:val="00D63093"/>
    <w:rsid w:val="00D644F8"/>
    <w:rsid w:val="00D65204"/>
    <w:rsid w:val="00D66186"/>
    <w:rsid w:val="00D66B4C"/>
    <w:rsid w:val="00D725CA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A89"/>
    <w:rsid w:val="00D96C00"/>
    <w:rsid w:val="00D976FE"/>
    <w:rsid w:val="00DA0F7E"/>
    <w:rsid w:val="00DA569D"/>
    <w:rsid w:val="00DB17FC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0380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6B90"/>
    <w:rsid w:val="00E4144E"/>
    <w:rsid w:val="00E42705"/>
    <w:rsid w:val="00E47503"/>
    <w:rsid w:val="00E50B6C"/>
    <w:rsid w:val="00E51D6E"/>
    <w:rsid w:val="00E51EE1"/>
    <w:rsid w:val="00E52237"/>
    <w:rsid w:val="00E577AB"/>
    <w:rsid w:val="00E61911"/>
    <w:rsid w:val="00E7340D"/>
    <w:rsid w:val="00E759B9"/>
    <w:rsid w:val="00E8121A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4393"/>
    <w:rsid w:val="00F1442C"/>
    <w:rsid w:val="00F1530B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3E93"/>
    <w:rsid w:val="00F440BA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5786E"/>
    <w:rsid w:val="00F60E5D"/>
    <w:rsid w:val="00F65E36"/>
    <w:rsid w:val="00F6707D"/>
    <w:rsid w:val="00F67F03"/>
    <w:rsid w:val="00F70ADA"/>
    <w:rsid w:val="00F72F11"/>
    <w:rsid w:val="00F7319B"/>
    <w:rsid w:val="00F73AF6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3A9F"/>
    <w:rsid w:val="00FC481D"/>
    <w:rsid w:val="00FC4A08"/>
    <w:rsid w:val="00FC72C8"/>
    <w:rsid w:val="00FD0669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107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C601FF7E-EDDB-42EF-A8BE-6F94FE68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789712126581835"/>
          <c:y val="5.6031947533168112E-2"/>
          <c:w val="0.75733731574174257"/>
          <c:h val="0.65717025856199984"/>
        </c:manualLayout>
      </c:layout>
      <c:lineChart>
        <c:grouping val="standard"/>
        <c:varyColors val="0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6.3079727357571974E-2"/>
                  <c:y val="-6.41649771323494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9CA-4CEF-A4E1-D2D51860F636}"/>
                </c:ext>
              </c:extLst>
            </c:dLbl>
            <c:dLbl>
              <c:idx val="11"/>
              <c:layout>
                <c:manualLayout>
                  <c:x val="-1.2835249300293622E-2"/>
                  <c:y val="-4.9895749314326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9CA-4CEF-A4E1-D2D51860F636}"/>
                </c:ext>
              </c:extLst>
            </c:dLbl>
            <c:dLbl>
              <c:idx val="12"/>
              <c:layout>
                <c:manualLayout>
                  <c:x val="-1.3172132484028375E-4"/>
                  <c:y val="4.34214811808555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9CA-4CEF-A4E1-D2D51860F6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Sheet1!$A$2:$L$2</c:f>
              <c:strCache>
                <c:ptCount val="12"/>
                <c:pt idx="0">
                  <c:v>Jan. 2023</c:v>
                </c:pt>
                <c:pt idx="1">
                  <c:v>Feb. 2023</c:v>
                </c:pt>
                <c:pt idx="2">
                  <c:v>Mar. 2023</c:v>
                </c:pt>
                <c:pt idx="3">
                  <c:v>Apr. 2023</c:v>
                </c:pt>
                <c:pt idx="4">
                  <c:v>May. 2023</c:v>
                </c:pt>
                <c:pt idx="5">
                  <c:v>Jun. 2023</c:v>
                </c:pt>
                <c:pt idx="6">
                  <c:v>Jul. 2023</c:v>
                </c:pt>
                <c:pt idx="7">
                  <c:v>Aug. 2023</c:v>
                </c:pt>
                <c:pt idx="8">
                  <c:v>Sep. 2023</c:v>
                </c:pt>
                <c:pt idx="9">
                  <c:v>Oct. 2023</c:v>
                </c:pt>
                <c:pt idx="10">
                  <c:v>Nov. 2023</c:v>
                </c:pt>
                <c:pt idx="11">
                  <c:v>Dec. 2023</c:v>
                </c:pt>
              </c:strCache>
            </c:strRef>
          </c:cat>
          <c:val>
            <c:numRef>
              <c:f>Sheet1!$A$3:$L$3</c:f>
              <c:numCache>
                <c:formatCode>0.00</c:formatCode>
                <c:ptCount val="12"/>
                <c:pt idx="0">
                  <c:v>107.14666116010976</c:v>
                </c:pt>
                <c:pt idx="1">
                  <c:v>101.24435628290563</c:v>
                </c:pt>
                <c:pt idx="2">
                  <c:v>109.21196548589177</c:v>
                </c:pt>
                <c:pt idx="3">
                  <c:v>96.863392451432304</c:v>
                </c:pt>
                <c:pt idx="4">
                  <c:v>110.3777108026421</c:v>
                </c:pt>
                <c:pt idx="5">
                  <c:v>106.38704058581594</c:v>
                </c:pt>
                <c:pt idx="6">
                  <c:v>109.24086170010712</c:v>
                </c:pt>
                <c:pt idx="7">
                  <c:v>114.67748571625501</c:v>
                </c:pt>
                <c:pt idx="8">
                  <c:v>109.6709030865491</c:v>
                </c:pt>
                <c:pt idx="9">
                  <c:v>82.128571769235904</c:v>
                </c:pt>
                <c:pt idx="10">
                  <c:v>74.468268639546267</c:v>
                </c:pt>
                <c:pt idx="11">
                  <c:v>76.27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9CA-4CEF-A4E1-D2D51860F6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8654464"/>
        <c:axId val="118656000"/>
      </c:lineChart>
      <c:catAx>
        <c:axId val="118654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3900000"/>
          <a:lstStyle/>
          <a:p>
            <a:pPr>
              <a:defRPr/>
            </a:pPr>
            <a:endParaRPr lang="ar-SA"/>
          </a:p>
        </c:txPr>
        <c:crossAx val="118656000"/>
        <c:crossesAt val="60"/>
        <c:auto val="1"/>
        <c:lblAlgn val="ctr"/>
        <c:lblOffset val="100"/>
        <c:noMultiLvlLbl val="0"/>
      </c:catAx>
      <c:valAx>
        <c:axId val="118656000"/>
        <c:scaling>
          <c:orientation val="minMax"/>
          <c:max val="12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crossAx val="118654464"/>
        <c:crosses val="autoZero"/>
        <c:crossBetween val="between"/>
        <c:majorUnit val="5"/>
        <c:minorUnit val="1"/>
      </c:valAx>
    </c:plotArea>
    <c:plotVisOnly val="1"/>
    <c:dispBlanksAs val="gap"/>
    <c:showDLblsOverMax val="0"/>
  </c:chart>
  <c:spPr>
    <a:noFill/>
    <a:ln cmpd="sng"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05468-918D-4C7F-861E-120DECD5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Production Index (IPI) in Palestine</vt:lpstr>
    </vt:vector>
  </TitlesOfParts>
  <Company>Hewlett-Packard Company</Company>
  <LinksUpToDate>false</LinksUpToDate>
  <CharactersWithSpaces>2546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Production Index (IPI) in Palestine</dc:title>
  <dc:creator>kakhalid</dc:creator>
  <cp:lastModifiedBy>Hadeel Badran</cp:lastModifiedBy>
  <cp:revision>41</cp:revision>
  <cp:lastPrinted>2024-01-02T06:53:00Z</cp:lastPrinted>
  <dcterms:created xsi:type="dcterms:W3CDTF">2023-11-30T21:00:00Z</dcterms:created>
  <dcterms:modified xsi:type="dcterms:W3CDTF">2024-02-01T11:22:00Z</dcterms:modified>
</cp:coreProperties>
</file>