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89" w:rsidRDefault="00D24189" w:rsidP="00D24189">
      <w:pPr>
        <w:pStyle w:val="Heading1"/>
        <w:jc w:val="center"/>
        <w:rPr>
          <w:sz w:val="28"/>
          <w:szCs w:val="28"/>
        </w:rPr>
      </w:pPr>
    </w:p>
    <w:p w:rsidR="00D24189" w:rsidRPr="00D24189" w:rsidRDefault="00D24189" w:rsidP="00D24189">
      <w:pPr>
        <w:pStyle w:val="Heading1"/>
        <w:jc w:val="center"/>
        <w:rPr>
          <w:sz w:val="28"/>
          <w:szCs w:val="28"/>
          <w:rtl/>
        </w:rPr>
      </w:pPr>
      <w:r w:rsidRPr="00BB313B">
        <w:rPr>
          <w:sz w:val="28"/>
          <w:szCs w:val="28"/>
        </w:rPr>
        <w:t>Palestinian Central Bureau of Statistics (PCBS)</w:t>
      </w:r>
    </w:p>
    <w:p w:rsidR="00D24189" w:rsidRDefault="00D24189" w:rsidP="00D24189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E3CB4" w:rsidRDefault="006E3CB4" w:rsidP="00D24189">
      <w:pPr>
        <w:pStyle w:val="Header"/>
        <w:bidi w:val="0"/>
        <w:spacing w:line="360" w:lineRule="auto"/>
        <w:jc w:val="center"/>
        <w:outlineLvl w:val="0"/>
        <w:rPr>
          <w:rFonts w:cs="Times New Roman"/>
        </w:rPr>
      </w:pPr>
      <w:r>
        <w:rPr>
          <w:b/>
          <w:bCs/>
          <w:color w:val="000000"/>
          <w:sz w:val="28"/>
          <w:szCs w:val="28"/>
        </w:rPr>
        <w:t xml:space="preserve">Index of </w:t>
      </w:r>
      <w:r w:rsidRPr="000C42CA">
        <w:rPr>
          <w:b/>
          <w:bCs/>
          <w:color w:val="000000"/>
          <w:sz w:val="28"/>
          <w:szCs w:val="28"/>
        </w:rPr>
        <w:t>Quantity</w:t>
      </w:r>
      <w:r>
        <w:rPr>
          <w:b/>
          <w:bCs/>
          <w:color w:val="000000"/>
          <w:sz w:val="28"/>
          <w:szCs w:val="28"/>
        </w:rPr>
        <w:t xml:space="preserve"> of </w:t>
      </w:r>
      <w:r>
        <w:rPr>
          <w:b/>
          <w:bCs/>
          <w:sz w:val="28"/>
          <w:szCs w:val="28"/>
        </w:rPr>
        <w:t xml:space="preserve"> Industrial Production </w:t>
      </w:r>
      <w:r>
        <w:rPr>
          <w:b/>
          <w:bCs/>
          <w:color w:val="000000"/>
          <w:sz w:val="28"/>
          <w:szCs w:val="28"/>
        </w:rPr>
        <w:t>in Palestine</w:t>
      </w:r>
      <w:r>
        <w:rPr>
          <w:b/>
          <w:bCs/>
          <w:kern w:val="36"/>
          <w:sz w:val="28"/>
          <w:szCs w:val="28"/>
        </w:rPr>
        <w:t xml:space="preserve"> </w:t>
      </w:r>
      <w:r w:rsidRPr="000C42CA">
        <w:rPr>
          <w:b/>
          <w:bCs/>
          <w:color w:val="000000"/>
          <w:sz w:val="28"/>
          <w:szCs w:val="28"/>
        </w:rPr>
        <w:t xml:space="preserve">during </w:t>
      </w:r>
      <w:r w:rsidR="008A7504">
        <w:rPr>
          <w:b/>
          <w:bCs/>
          <w:color w:val="000000"/>
          <w:sz w:val="28"/>
          <w:szCs w:val="28"/>
        </w:rPr>
        <w:t>January</w:t>
      </w:r>
      <w:r w:rsidR="00D24189">
        <w:rPr>
          <w:b/>
          <w:bCs/>
          <w:color w:val="000000"/>
          <w:sz w:val="28"/>
          <w:szCs w:val="28"/>
        </w:rPr>
        <w:t>,</w:t>
      </w:r>
      <w:r w:rsidR="00EC357B">
        <w:rPr>
          <w:b/>
          <w:bCs/>
          <w:color w:val="000000"/>
          <w:sz w:val="28"/>
          <w:szCs w:val="28"/>
        </w:rPr>
        <w:t xml:space="preserve"> </w:t>
      </w:r>
      <w:r w:rsidR="008A7504">
        <w:rPr>
          <w:b/>
          <w:bCs/>
          <w:kern w:val="36"/>
          <w:sz w:val="28"/>
          <w:szCs w:val="28"/>
        </w:rPr>
        <w:t>2014</w:t>
      </w:r>
    </w:p>
    <w:p w:rsidR="006E3CB4" w:rsidRPr="00593EDB" w:rsidRDefault="006E3CB4" w:rsidP="001B79AF">
      <w:pPr>
        <w:bidi w:val="0"/>
        <w:spacing w:line="360" w:lineRule="auto"/>
        <w:jc w:val="center"/>
        <w:outlineLvl w:val="0"/>
        <w:rPr>
          <w:sz w:val="20"/>
          <w:szCs w:val="20"/>
        </w:rPr>
      </w:pPr>
    </w:p>
    <w:p w:rsidR="006E3CB4" w:rsidRDefault="006E3CB4" w:rsidP="00240310">
      <w:pPr>
        <w:bidi w:val="0"/>
        <w:spacing w:line="360" w:lineRule="auto"/>
        <w:jc w:val="both"/>
        <w:outlineLvl w:val="0"/>
      </w:pPr>
      <w:r>
        <w:t xml:space="preserve">The overall Quantity of Industrial Production Index (IPI) in Palestine reached </w:t>
      </w:r>
      <w:r w:rsidR="00240310">
        <w:t>108.53</w:t>
      </w:r>
      <w:r>
        <w:t xml:space="preserve"> during </w:t>
      </w:r>
      <w:r w:rsidR="00240310">
        <w:t>January</w:t>
      </w:r>
      <w:r>
        <w:t xml:space="preserve"> </w:t>
      </w:r>
      <w:r w:rsidR="00240310">
        <w:t>2014</w:t>
      </w:r>
      <w:r w:rsidR="00FF056D">
        <w:t xml:space="preserve"> </w:t>
      </w:r>
      <w:r>
        <w:t xml:space="preserve">with </w:t>
      </w:r>
      <w:r w:rsidR="004929AE">
        <w:t>a</w:t>
      </w:r>
      <w:r w:rsidR="00240310">
        <w:t>n</w:t>
      </w:r>
      <w:r w:rsidR="004929AE">
        <w:t xml:space="preserve"> </w:t>
      </w:r>
      <w:r w:rsidR="00240310">
        <w:t>increase</w:t>
      </w:r>
      <w:r w:rsidR="00B077F1">
        <w:t xml:space="preserve"> </w:t>
      </w:r>
      <w:r>
        <w:t xml:space="preserve">of </w:t>
      </w:r>
      <w:r w:rsidR="00240310">
        <w:t>10.42</w:t>
      </w:r>
      <w:r>
        <w:t>% c</w:t>
      </w:r>
      <w:r w:rsidR="00A9669C">
        <w:t>ompared to the previous month</w:t>
      </w:r>
      <w:r w:rsidR="00FF056D">
        <w:t xml:space="preserve"> </w:t>
      </w:r>
      <w:r w:rsidR="00A9669C">
        <w:t>(</w:t>
      </w:r>
      <w:r w:rsidR="00240310">
        <w:t>December</w:t>
      </w:r>
      <w:r>
        <w:t xml:space="preserve"> 2013).</w:t>
      </w:r>
    </w:p>
    <w:p w:rsidR="006E3CB4" w:rsidRPr="00D87BA4" w:rsidRDefault="006E3CB4" w:rsidP="006E3CB4">
      <w:pPr>
        <w:bidi w:val="0"/>
        <w:spacing w:line="360" w:lineRule="auto"/>
        <w:jc w:val="both"/>
        <w:rPr>
          <w:color w:val="000000"/>
          <w:sz w:val="20"/>
          <w:szCs w:val="20"/>
        </w:rPr>
      </w:pPr>
    </w:p>
    <w:p w:rsidR="00D24189" w:rsidRPr="00D24189" w:rsidRDefault="006E3CB4" w:rsidP="00D24189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8D77B1">
        <w:t>January</w:t>
      </w:r>
      <w:r>
        <w:t xml:space="preserve"> </w:t>
      </w:r>
      <w:r w:rsidR="008D77B1">
        <w:t>2014</w:t>
      </w:r>
      <w:r>
        <w:rPr>
          <w:color w:val="000000"/>
        </w:rPr>
        <w:t xml:space="preserve"> </w:t>
      </w:r>
      <w:r w:rsidR="008D77B1">
        <w:rPr>
          <w:color w:val="000000"/>
        </w:rPr>
        <w:t>increased</w:t>
      </w:r>
      <w:r w:rsidR="00D87BA4">
        <w:rPr>
          <w:color w:val="000000"/>
        </w:rPr>
        <w:t xml:space="preserve"> due to the </w:t>
      </w:r>
      <w:r w:rsidR="008D77B1">
        <w:rPr>
          <w:color w:val="000000"/>
        </w:rPr>
        <w:t>increase</w:t>
      </w:r>
      <w:r w:rsidR="00D87BA4">
        <w:rPr>
          <w:color w:val="000000"/>
        </w:rPr>
        <w:t xml:space="preserve"> in</w:t>
      </w:r>
      <w:r w:rsidR="008D77B1">
        <w:rPr>
          <w:color w:val="000000"/>
        </w:rPr>
        <w:t xml:space="preserve"> </w:t>
      </w:r>
      <w:r w:rsidR="008D77B1">
        <w:rPr>
          <w:b/>
          <w:bCs/>
          <w:color w:val="000000"/>
        </w:rPr>
        <w:t>Water and Electricity S</w:t>
      </w:r>
      <w:r w:rsidR="008D77B1" w:rsidRPr="00D644F8">
        <w:rPr>
          <w:b/>
          <w:bCs/>
          <w:color w:val="000000"/>
        </w:rPr>
        <w:t xml:space="preserve">upply </w:t>
      </w:r>
      <w:r w:rsidR="008D77B1">
        <w:rPr>
          <w:color w:val="000000"/>
        </w:rPr>
        <w:t xml:space="preserve">by 50.51% which had a share of 14.85% </w:t>
      </w:r>
      <w:r w:rsidR="00AA5DCA">
        <w:rPr>
          <w:color w:val="000000"/>
        </w:rPr>
        <w:t>of</w:t>
      </w:r>
      <w:r w:rsidR="008D77B1">
        <w:rPr>
          <w:color w:val="000000"/>
        </w:rPr>
        <w:t xml:space="preserve"> the total industry. Also, </w:t>
      </w:r>
      <w:r w:rsidR="00D87BA4">
        <w:rPr>
          <w:color w:val="000000"/>
        </w:rPr>
        <w:t xml:space="preserve">the activity of </w:t>
      </w:r>
      <w:r w:rsidR="00D87BA4">
        <w:rPr>
          <w:b/>
          <w:bCs/>
          <w:color w:val="000000"/>
        </w:rPr>
        <w:t>M</w:t>
      </w:r>
      <w:r w:rsidR="00D87BA4" w:rsidRPr="00BD1B6A">
        <w:rPr>
          <w:b/>
          <w:bCs/>
          <w:color w:val="000000"/>
        </w:rPr>
        <w:t>ining a</w:t>
      </w:r>
      <w:r w:rsidR="00D87BA4">
        <w:rPr>
          <w:b/>
          <w:bCs/>
          <w:color w:val="000000"/>
        </w:rPr>
        <w:t>nd Q</w:t>
      </w:r>
      <w:r w:rsidR="00D87BA4" w:rsidRPr="00BD1B6A">
        <w:rPr>
          <w:b/>
          <w:bCs/>
          <w:color w:val="000000"/>
        </w:rPr>
        <w:t>uarrying</w:t>
      </w:r>
      <w:r w:rsidR="00D87BA4">
        <w:rPr>
          <w:b/>
          <w:bCs/>
          <w:color w:val="000000"/>
        </w:rPr>
        <w:t xml:space="preserve"> </w:t>
      </w:r>
      <w:r w:rsidR="008D77B1" w:rsidRPr="00B431B9">
        <w:rPr>
          <w:color w:val="000000"/>
        </w:rPr>
        <w:t>increased</w:t>
      </w:r>
      <w:r w:rsidR="008D77B1">
        <w:rPr>
          <w:b/>
          <w:bCs/>
          <w:color w:val="000000"/>
        </w:rPr>
        <w:t xml:space="preserve"> </w:t>
      </w:r>
      <w:r w:rsidR="00D87BA4" w:rsidRPr="00FA0997">
        <w:rPr>
          <w:color w:val="000000"/>
        </w:rPr>
        <w:t xml:space="preserve">by </w:t>
      </w:r>
      <w:r w:rsidR="008D77B1">
        <w:rPr>
          <w:color w:val="000000"/>
        </w:rPr>
        <w:t>32.65</w:t>
      </w:r>
      <w:r w:rsidR="00D87BA4" w:rsidRPr="00FA0997">
        <w:rPr>
          <w:color w:val="000000"/>
        </w:rPr>
        <w:t xml:space="preserve">% </w:t>
      </w:r>
      <w:r w:rsidR="00D87BA4">
        <w:rPr>
          <w:color w:val="000000"/>
        </w:rPr>
        <w:t xml:space="preserve">which had a share of 4.59% of the total industry. </w:t>
      </w:r>
      <w:r w:rsidR="0028405E">
        <w:rPr>
          <w:color w:val="000000"/>
        </w:rPr>
        <w:t>While</w:t>
      </w:r>
      <w:r w:rsidR="00D87BA4">
        <w:rPr>
          <w:color w:val="000000"/>
        </w:rPr>
        <w:t xml:space="preserve">, the activity of </w:t>
      </w:r>
      <w:r w:rsidR="00D87BA4" w:rsidRPr="004929AE">
        <w:rPr>
          <w:color w:val="000000"/>
        </w:rPr>
        <w:t xml:space="preserve"> </w:t>
      </w:r>
      <w:r w:rsidR="00D87BA4" w:rsidRPr="00FA0997">
        <w:rPr>
          <w:b/>
          <w:bCs/>
          <w:color w:val="000000"/>
        </w:rPr>
        <w:t>Manufacturing</w:t>
      </w:r>
      <w:r w:rsidR="00D87BA4">
        <w:rPr>
          <w:b/>
          <w:bCs/>
          <w:color w:val="000000"/>
        </w:rPr>
        <w:t xml:space="preserve"> </w:t>
      </w:r>
      <w:r w:rsidR="00D87BA4" w:rsidRPr="008E4E84">
        <w:rPr>
          <w:b/>
          <w:bCs/>
          <w:color w:val="000000"/>
        </w:rPr>
        <w:t>Industry</w:t>
      </w:r>
      <w:r w:rsidR="00D87BA4">
        <w:rPr>
          <w:color w:val="000000"/>
        </w:rPr>
        <w:t xml:space="preserve"> decreased by </w:t>
      </w:r>
      <w:r w:rsidR="0028405E">
        <w:rPr>
          <w:color w:val="000000"/>
        </w:rPr>
        <w:t>0.38</w:t>
      </w:r>
      <w:r w:rsidR="00D87BA4">
        <w:rPr>
          <w:color w:val="000000"/>
        </w:rPr>
        <w:t>% which had a share of 80.56% of the total industry.</w:t>
      </w:r>
      <w:r w:rsidR="000244CE">
        <w:rPr>
          <w:color w:val="000000"/>
        </w:rPr>
        <w:t xml:space="preserve"> </w:t>
      </w:r>
    </w:p>
    <w:p w:rsidR="00D24189" w:rsidRDefault="00D24189" w:rsidP="00D24189">
      <w:pPr>
        <w:bidi w:val="0"/>
        <w:spacing w:line="360" w:lineRule="auto"/>
        <w:jc w:val="center"/>
        <w:rPr>
          <w:b/>
          <w:bCs/>
          <w:color w:val="000000"/>
        </w:rPr>
      </w:pPr>
    </w:p>
    <w:p w:rsidR="00D24189" w:rsidRDefault="00A33A83" w:rsidP="00D24189">
      <w:pPr>
        <w:bidi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Industrial </w:t>
      </w:r>
      <w:r w:rsidR="0025694A">
        <w:rPr>
          <w:b/>
          <w:bCs/>
          <w:color w:val="000000"/>
        </w:rPr>
        <w:t>P</w:t>
      </w:r>
      <w:r>
        <w:rPr>
          <w:b/>
          <w:bCs/>
          <w:color w:val="000000"/>
        </w:rPr>
        <w:t xml:space="preserve">roduction Index </w:t>
      </w:r>
      <w:r w:rsidR="00AA1F6C">
        <w:rPr>
          <w:b/>
          <w:bCs/>
          <w:color w:val="000000"/>
        </w:rPr>
        <w:t>January</w:t>
      </w:r>
      <w:r w:rsidR="00061D6C" w:rsidRPr="00A33A83">
        <w:rPr>
          <w:b/>
          <w:bCs/>
          <w:color w:val="000000"/>
        </w:rPr>
        <w:t xml:space="preserve"> </w:t>
      </w:r>
      <w:r w:rsidR="00AA1F6C">
        <w:rPr>
          <w:b/>
          <w:bCs/>
          <w:color w:val="000000"/>
        </w:rPr>
        <w:t>2013</w:t>
      </w:r>
      <w:r w:rsidR="00A809A1" w:rsidRPr="00A33A83">
        <w:rPr>
          <w:b/>
          <w:bCs/>
          <w:color w:val="000000"/>
        </w:rPr>
        <w:t xml:space="preserve"> </w:t>
      </w:r>
      <w:r w:rsidR="00061D6C">
        <w:rPr>
          <w:b/>
          <w:bCs/>
          <w:color w:val="000000"/>
        </w:rPr>
        <w:t>–</w:t>
      </w:r>
      <w:r w:rsidR="00A809A1" w:rsidRPr="00A33A83">
        <w:rPr>
          <w:b/>
          <w:bCs/>
          <w:color w:val="000000"/>
        </w:rPr>
        <w:t xml:space="preserve"> </w:t>
      </w:r>
      <w:r w:rsidR="00AA1F6C">
        <w:rPr>
          <w:b/>
          <w:bCs/>
          <w:color w:val="000000"/>
        </w:rPr>
        <w:t>January</w:t>
      </w:r>
      <w:r w:rsidR="000C42CA" w:rsidRPr="00A33A83">
        <w:rPr>
          <w:b/>
          <w:bCs/>
          <w:color w:val="000000"/>
        </w:rPr>
        <w:t xml:space="preserve"> </w:t>
      </w:r>
      <w:r w:rsidR="00AA1F6C">
        <w:rPr>
          <w:b/>
          <w:bCs/>
          <w:color w:val="000000"/>
        </w:rPr>
        <w:t>2014</w:t>
      </w:r>
    </w:p>
    <w:p w:rsidR="00C23A13" w:rsidRPr="00D24189" w:rsidRDefault="00520313" w:rsidP="00D24189">
      <w:pPr>
        <w:bidi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(B</w:t>
      </w:r>
      <w:r w:rsidR="004D2449" w:rsidRPr="00A33A83">
        <w:rPr>
          <w:b/>
          <w:bCs/>
          <w:color w:val="000000"/>
        </w:rPr>
        <w:t xml:space="preserve">ase </w:t>
      </w:r>
      <w:r w:rsidR="00FD657B">
        <w:rPr>
          <w:b/>
          <w:bCs/>
          <w:color w:val="000000"/>
        </w:rPr>
        <w:t xml:space="preserve">Year </w:t>
      </w:r>
      <w:r w:rsidR="004D2449" w:rsidRPr="00A33A83">
        <w:rPr>
          <w:b/>
          <w:bCs/>
          <w:color w:val="000000"/>
        </w:rPr>
        <w:t>2011 = 100</w:t>
      </w:r>
      <w:r w:rsidR="004D2449" w:rsidRPr="00A33A83">
        <w:rPr>
          <w:color w:val="000000"/>
        </w:rPr>
        <w:t>)</w:t>
      </w:r>
    </w:p>
    <w:p w:rsidR="001006A9" w:rsidRDefault="001006A9" w:rsidP="001006A9">
      <w:pPr>
        <w:bidi w:val="0"/>
        <w:spacing w:line="360" w:lineRule="auto"/>
        <w:jc w:val="center"/>
        <w:rPr>
          <w:color w:val="000000"/>
        </w:rPr>
      </w:pPr>
      <w:r w:rsidRPr="001006A9">
        <w:rPr>
          <w:noProof/>
          <w:color w:val="000000"/>
          <w:lang w:eastAsia="en-US"/>
        </w:rPr>
        <w:drawing>
          <wp:inline distT="0" distB="0" distL="0" distR="0">
            <wp:extent cx="3613475" cy="2753833"/>
            <wp:effectExtent l="19050" t="0" r="25075" b="8417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4189" w:rsidRDefault="00D24189" w:rsidP="00C23A13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24189" w:rsidRDefault="00D24189" w:rsidP="00D24189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24189" w:rsidRDefault="00D24189" w:rsidP="00D24189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24189" w:rsidRDefault="00D24189" w:rsidP="00D24189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817B2" w:rsidRPr="00E23512" w:rsidRDefault="009817B2" w:rsidP="00D24189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 Relative share for the main industrial activities represents the percentage distribution of value added (VA) for the industrial institutions in 2009.</w:t>
      </w:r>
    </w:p>
    <w:p w:rsidR="009F0DA5" w:rsidRPr="00D57D2E" w:rsidRDefault="00D24189" w:rsidP="00D24189">
      <w:pPr>
        <w:bidi w:val="0"/>
        <w:jc w:val="both"/>
        <w:rPr>
          <w:b/>
          <w:bCs/>
        </w:rPr>
      </w:pPr>
      <w:r>
        <w:rPr>
          <w:b/>
          <w:bCs/>
          <w:sz w:val="20"/>
          <w:szCs w:val="20"/>
        </w:rPr>
        <w:t>*</w:t>
      </w:r>
      <w:r w:rsidR="009F0DA5" w:rsidRPr="00F17F7F">
        <w:rPr>
          <w:b/>
          <w:bCs/>
        </w:rPr>
        <w:t xml:space="preserve">Data collection of </w:t>
      </w:r>
      <w:r w:rsidR="009F0DA5">
        <w:rPr>
          <w:b/>
          <w:bCs/>
        </w:rPr>
        <w:t>Industrial Production Index (IPI) survey</w:t>
      </w:r>
      <w:r w:rsidR="009F0DA5" w:rsidRPr="00F17F7F">
        <w:rPr>
          <w:b/>
          <w:bCs/>
        </w:rPr>
        <w:t xml:space="preserve"> was funded by the European Union.</w:t>
      </w:r>
      <w:r w:rsidR="009F0DA5">
        <w:rPr>
          <w:b/>
          <w:bCs/>
        </w:rPr>
        <w:t xml:space="preserve"> </w:t>
      </w:r>
    </w:p>
    <w:p w:rsidR="009817B2" w:rsidRPr="00E23512" w:rsidRDefault="009817B2" w:rsidP="009F0DA5">
      <w:pPr>
        <w:bidi w:val="0"/>
        <w:jc w:val="both"/>
        <w:rPr>
          <w:sz w:val="20"/>
          <w:szCs w:val="20"/>
        </w:rPr>
      </w:pPr>
    </w:p>
    <w:sectPr w:rsidR="009817B2" w:rsidRPr="00E23512" w:rsidSect="00D24189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4D" w:rsidRDefault="00CC784D">
      <w:r>
        <w:separator/>
      </w:r>
    </w:p>
  </w:endnote>
  <w:endnote w:type="continuationSeparator" w:id="0">
    <w:p w:rsidR="00CC784D" w:rsidRDefault="00CC7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A4" w:rsidRDefault="000D25C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87BA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7BA4" w:rsidRDefault="00D87BA4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4D" w:rsidRDefault="00CC784D">
      <w:r>
        <w:separator/>
      </w:r>
    </w:p>
  </w:footnote>
  <w:footnote w:type="continuationSeparator" w:id="0">
    <w:p w:rsidR="00CC784D" w:rsidRDefault="00CC7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BB6"/>
    <w:rsid w:val="000244CE"/>
    <w:rsid w:val="000311C6"/>
    <w:rsid w:val="000329F6"/>
    <w:rsid w:val="00041D81"/>
    <w:rsid w:val="00044246"/>
    <w:rsid w:val="00044FA9"/>
    <w:rsid w:val="0005099F"/>
    <w:rsid w:val="00061D6C"/>
    <w:rsid w:val="000639B5"/>
    <w:rsid w:val="0007263E"/>
    <w:rsid w:val="000820C0"/>
    <w:rsid w:val="0009489E"/>
    <w:rsid w:val="000A0ED5"/>
    <w:rsid w:val="000A5A17"/>
    <w:rsid w:val="000B0107"/>
    <w:rsid w:val="000C03F2"/>
    <w:rsid w:val="000C42CA"/>
    <w:rsid w:val="000C53C8"/>
    <w:rsid w:val="000D25C8"/>
    <w:rsid w:val="000E665C"/>
    <w:rsid w:val="000F2822"/>
    <w:rsid w:val="000F34C9"/>
    <w:rsid w:val="00100347"/>
    <w:rsid w:val="001006A9"/>
    <w:rsid w:val="00107EE7"/>
    <w:rsid w:val="001316AE"/>
    <w:rsid w:val="00145540"/>
    <w:rsid w:val="00160329"/>
    <w:rsid w:val="0016244D"/>
    <w:rsid w:val="00171712"/>
    <w:rsid w:val="001727F4"/>
    <w:rsid w:val="00173F6C"/>
    <w:rsid w:val="001771C6"/>
    <w:rsid w:val="001850ED"/>
    <w:rsid w:val="001867AB"/>
    <w:rsid w:val="00190373"/>
    <w:rsid w:val="001927DA"/>
    <w:rsid w:val="00194A6D"/>
    <w:rsid w:val="00197FC2"/>
    <w:rsid w:val="001A47F5"/>
    <w:rsid w:val="001B2D0C"/>
    <w:rsid w:val="001B601A"/>
    <w:rsid w:val="001B79AF"/>
    <w:rsid w:val="001D2F7D"/>
    <w:rsid w:val="001D7B33"/>
    <w:rsid w:val="001F0F28"/>
    <w:rsid w:val="001F29AA"/>
    <w:rsid w:val="001F423A"/>
    <w:rsid w:val="001F5617"/>
    <w:rsid w:val="00203E71"/>
    <w:rsid w:val="00205810"/>
    <w:rsid w:val="00207A9A"/>
    <w:rsid w:val="0021212F"/>
    <w:rsid w:val="00212580"/>
    <w:rsid w:val="00216B60"/>
    <w:rsid w:val="0023363F"/>
    <w:rsid w:val="00233C87"/>
    <w:rsid w:val="0023578C"/>
    <w:rsid w:val="00240310"/>
    <w:rsid w:val="00243169"/>
    <w:rsid w:val="00254B24"/>
    <w:rsid w:val="0025694A"/>
    <w:rsid w:val="002669FE"/>
    <w:rsid w:val="0028405E"/>
    <w:rsid w:val="002911B6"/>
    <w:rsid w:val="0029286F"/>
    <w:rsid w:val="002B2375"/>
    <w:rsid w:val="002C5B4E"/>
    <w:rsid w:val="002E0227"/>
    <w:rsid w:val="002E2919"/>
    <w:rsid w:val="002F0360"/>
    <w:rsid w:val="002F059A"/>
    <w:rsid w:val="002F70A9"/>
    <w:rsid w:val="00300F40"/>
    <w:rsid w:val="00301695"/>
    <w:rsid w:val="0031441A"/>
    <w:rsid w:val="00321019"/>
    <w:rsid w:val="00322C88"/>
    <w:rsid w:val="00323561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E53"/>
    <w:rsid w:val="003E44A5"/>
    <w:rsid w:val="003E4B99"/>
    <w:rsid w:val="003F1AEC"/>
    <w:rsid w:val="00401965"/>
    <w:rsid w:val="00401BE6"/>
    <w:rsid w:val="00424DD0"/>
    <w:rsid w:val="00430DCA"/>
    <w:rsid w:val="0044059E"/>
    <w:rsid w:val="00443544"/>
    <w:rsid w:val="004449E9"/>
    <w:rsid w:val="0046746D"/>
    <w:rsid w:val="00486E25"/>
    <w:rsid w:val="004929AE"/>
    <w:rsid w:val="00497C93"/>
    <w:rsid w:val="00497DCE"/>
    <w:rsid w:val="004B0507"/>
    <w:rsid w:val="004B1C40"/>
    <w:rsid w:val="004B22B6"/>
    <w:rsid w:val="004B2595"/>
    <w:rsid w:val="004B5CD6"/>
    <w:rsid w:val="004D0429"/>
    <w:rsid w:val="004D2055"/>
    <w:rsid w:val="004D2449"/>
    <w:rsid w:val="004E4E67"/>
    <w:rsid w:val="004E5C54"/>
    <w:rsid w:val="004F0CE5"/>
    <w:rsid w:val="004F4D05"/>
    <w:rsid w:val="00502A0D"/>
    <w:rsid w:val="005061AB"/>
    <w:rsid w:val="00511F46"/>
    <w:rsid w:val="00520313"/>
    <w:rsid w:val="00523E35"/>
    <w:rsid w:val="00550112"/>
    <w:rsid w:val="00555EAA"/>
    <w:rsid w:val="0056086D"/>
    <w:rsid w:val="0056773D"/>
    <w:rsid w:val="00577491"/>
    <w:rsid w:val="00583589"/>
    <w:rsid w:val="005906ED"/>
    <w:rsid w:val="00593EDB"/>
    <w:rsid w:val="00596974"/>
    <w:rsid w:val="005A15E9"/>
    <w:rsid w:val="005B041E"/>
    <w:rsid w:val="005B2C7A"/>
    <w:rsid w:val="005B4D6E"/>
    <w:rsid w:val="005D2C9D"/>
    <w:rsid w:val="005E1E36"/>
    <w:rsid w:val="005E59F9"/>
    <w:rsid w:val="005F0C59"/>
    <w:rsid w:val="005F1B37"/>
    <w:rsid w:val="005F4497"/>
    <w:rsid w:val="005F449A"/>
    <w:rsid w:val="00620DD3"/>
    <w:rsid w:val="00626991"/>
    <w:rsid w:val="00642E0B"/>
    <w:rsid w:val="00647794"/>
    <w:rsid w:val="00661610"/>
    <w:rsid w:val="00661AF3"/>
    <w:rsid w:val="00667423"/>
    <w:rsid w:val="00673B80"/>
    <w:rsid w:val="00677A85"/>
    <w:rsid w:val="006821B1"/>
    <w:rsid w:val="006830B7"/>
    <w:rsid w:val="00685CA0"/>
    <w:rsid w:val="006872A6"/>
    <w:rsid w:val="00690031"/>
    <w:rsid w:val="006B603F"/>
    <w:rsid w:val="006C7E2E"/>
    <w:rsid w:val="006D6E7D"/>
    <w:rsid w:val="006E33A2"/>
    <w:rsid w:val="006E3CB4"/>
    <w:rsid w:val="006E5260"/>
    <w:rsid w:val="006E71D7"/>
    <w:rsid w:val="006F413D"/>
    <w:rsid w:val="00704A32"/>
    <w:rsid w:val="007054B0"/>
    <w:rsid w:val="007303DE"/>
    <w:rsid w:val="007370CD"/>
    <w:rsid w:val="00740A94"/>
    <w:rsid w:val="00747FD0"/>
    <w:rsid w:val="00772F89"/>
    <w:rsid w:val="00773D3D"/>
    <w:rsid w:val="007A1F93"/>
    <w:rsid w:val="007C0410"/>
    <w:rsid w:val="007C3F82"/>
    <w:rsid w:val="007C7548"/>
    <w:rsid w:val="007D4DCB"/>
    <w:rsid w:val="007D7D94"/>
    <w:rsid w:val="007E07BF"/>
    <w:rsid w:val="007F5A75"/>
    <w:rsid w:val="007F6A27"/>
    <w:rsid w:val="00805824"/>
    <w:rsid w:val="008073AC"/>
    <w:rsid w:val="0082662B"/>
    <w:rsid w:val="008312EE"/>
    <w:rsid w:val="00853DA3"/>
    <w:rsid w:val="00872AE4"/>
    <w:rsid w:val="008763CE"/>
    <w:rsid w:val="008803C9"/>
    <w:rsid w:val="0088211A"/>
    <w:rsid w:val="00883C5C"/>
    <w:rsid w:val="00885824"/>
    <w:rsid w:val="008A7504"/>
    <w:rsid w:val="008B5A0F"/>
    <w:rsid w:val="008B63B8"/>
    <w:rsid w:val="008C3122"/>
    <w:rsid w:val="008D77B1"/>
    <w:rsid w:val="008E4BBA"/>
    <w:rsid w:val="008E4E84"/>
    <w:rsid w:val="008F47F7"/>
    <w:rsid w:val="008F57F4"/>
    <w:rsid w:val="00902B3A"/>
    <w:rsid w:val="00904483"/>
    <w:rsid w:val="00920146"/>
    <w:rsid w:val="00926D47"/>
    <w:rsid w:val="00944C65"/>
    <w:rsid w:val="009534D0"/>
    <w:rsid w:val="0096074B"/>
    <w:rsid w:val="00960ACB"/>
    <w:rsid w:val="00975001"/>
    <w:rsid w:val="009817B2"/>
    <w:rsid w:val="009A6470"/>
    <w:rsid w:val="009B3BE2"/>
    <w:rsid w:val="009C594A"/>
    <w:rsid w:val="009C7284"/>
    <w:rsid w:val="009D5AAA"/>
    <w:rsid w:val="009E38D8"/>
    <w:rsid w:val="009E7231"/>
    <w:rsid w:val="009F0DA5"/>
    <w:rsid w:val="009F498A"/>
    <w:rsid w:val="00A02C03"/>
    <w:rsid w:val="00A114AB"/>
    <w:rsid w:val="00A12EDF"/>
    <w:rsid w:val="00A149AD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1517"/>
    <w:rsid w:val="00AC0441"/>
    <w:rsid w:val="00AD50C2"/>
    <w:rsid w:val="00AE5E44"/>
    <w:rsid w:val="00AF1C3D"/>
    <w:rsid w:val="00B05C3F"/>
    <w:rsid w:val="00B077F1"/>
    <w:rsid w:val="00B11C7B"/>
    <w:rsid w:val="00B141E5"/>
    <w:rsid w:val="00B22B2C"/>
    <w:rsid w:val="00B26693"/>
    <w:rsid w:val="00B40285"/>
    <w:rsid w:val="00B41F8E"/>
    <w:rsid w:val="00B42C5D"/>
    <w:rsid w:val="00B431B9"/>
    <w:rsid w:val="00B4579A"/>
    <w:rsid w:val="00B508FB"/>
    <w:rsid w:val="00B72769"/>
    <w:rsid w:val="00B80452"/>
    <w:rsid w:val="00B84625"/>
    <w:rsid w:val="00B85541"/>
    <w:rsid w:val="00B90DB4"/>
    <w:rsid w:val="00BC653B"/>
    <w:rsid w:val="00BD1B6A"/>
    <w:rsid w:val="00BD4C29"/>
    <w:rsid w:val="00BD69A9"/>
    <w:rsid w:val="00BF0695"/>
    <w:rsid w:val="00C003E4"/>
    <w:rsid w:val="00C020DE"/>
    <w:rsid w:val="00C12DA5"/>
    <w:rsid w:val="00C23A13"/>
    <w:rsid w:val="00C26040"/>
    <w:rsid w:val="00C32797"/>
    <w:rsid w:val="00C35EB6"/>
    <w:rsid w:val="00C372F7"/>
    <w:rsid w:val="00C51D23"/>
    <w:rsid w:val="00C60395"/>
    <w:rsid w:val="00C60970"/>
    <w:rsid w:val="00C821D8"/>
    <w:rsid w:val="00CA3BE9"/>
    <w:rsid w:val="00CB2062"/>
    <w:rsid w:val="00CB46E7"/>
    <w:rsid w:val="00CC5BF1"/>
    <w:rsid w:val="00CC784D"/>
    <w:rsid w:val="00CD1059"/>
    <w:rsid w:val="00CD42C0"/>
    <w:rsid w:val="00CD4AF7"/>
    <w:rsid w:val="00CD7774"/>
    <w:rsid w:val="00CE026C"/>
    <w:rsid w:val="00CE1E64"/>
    <w:rsid w:val="00CE2914"/>
    <w:rsid w:val="00CE2B7A"/>
    <w:rsid w:val="00CE5065"/>
    <w:rsid w:val="00CF6876"/>
    <w:rsid w:val="00D00486"/>
    <w:rsid w:val="00D24189"/>
    <w:rsid w:val="00D31167"/>
    <w:rsid w:val="00D3520C"/>
    <w:rsid w:val="00D456EE"/>
    <w:rsid w:val="00D571D0"/>
    <w:rsid w:val="00D6067D"/>
    <w:rsid w:val="00D644F8"/>
    <w:rsid w:val="00D873B5"/>
    <w:rsid w:val="00D87BA4"/>
    <w:rsid w:val="00D9614C"/>
    <w:rsid w:val="00D976FE"/>
    <w:rsid w:val="00DA569D"/>
    <w:rsid w:val="00DD09BF"/>
    <w:rsid w:val="00DD2DC9"/>
    <w:rsid w:val="00DD342C"/>
    <w:rsid w:val="00DE6A9F"/>
    <w:rsid w:val="00DF2D14"/>
    <w:rsid w:val="00DF776A"/>
    <w:rsid w:val="00E17BB4"/>
    <w:rsid w:val="00E23512"/>
    <w:rsid w:val="00E345AE"/>
    <w:rsid w:val="00E36B90"/>
    <w:rsid w:val="00E4144E"/>
    <w:rsid w:val="00E759B9"/>
    <w:rsid w:val="00E91BB0"/>
    <w:rsid w:val="00EA10F1"/>
    <w:rsid w:val="00EA41F2"/>
    <w:rsid w:val="00EB2587"/>
    <w:rsid w:val="00EC357B"/>
    <w:rsid w:val="00ED15ED"/>
    <w:rsid w:val="00EE4E26"/>
    <w:rsid w:val="00EE5702"/>
    <w:rsid w:val="00EF14F2"/>
    <w:rsid w:val="00EF74AB"/>
    <w:rsid w:val="00F0420F"/>
    <w:rsid w:val="00F1345B"/>
    <w:rsid w:val="00F14393"/>
    <w:rsid w:val="00F15344"/>
    <w:rsid w:val="00F42495"/>
    <w:rsid w:val="00F47AA3"/>
    <w:rsid w:val="00F50811"/>
    <w:rsid w:val="00F515C5"/>
    <w:rsid w:val="00F54CD5"/>
    <w:rsid w:val="00F55BF9"/>
    <w:rsid w:val="00F55CE7"/>
    <w:rsid w:val="00F60E5D"/>
    <w:rsid w:val="00F76BBB"/>
    <w:rsid w:val="00F8132A"/>
    <w:rsid w:val="00F82CF6"/>
    <w:rsid w:val="00F90156"/>
    <w:rsid w:val="00F90C7C"/>
    <w:rsid w:val="00FA0997"/>
    <w:rsid w:val="00FA3DE5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24189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Sheet1!$A$2:$M$2</c:f>
              <c:strCache>
                <c:ptCount val="13"/>
                <c:pt idx="0">
                  <c:v>Jan. 2013</c:v>
                </c:pt>
                <c:pt idx="1">
                  <c:v>Feb. 2013</c:v>
                </c:pt>
                <c:pt idx="2">
                  <c:v>Mar. 2013</c:v>
                </c:pt>
                <c:pt idx="3">
                  <c:v>Apr. 2013</c:v>
                </c:pt>
                <c:pt idx="4">
                  <c:v>May. 2013</c:v>
                </c:pt>
                <c:pt idx="5">
                  <c:v>Jun. 2013</c:v>
                </c:pt>
                <c:pt idx="6">
                  <c:v>Jul. 2013</c:v>
                </c:pt>
                <c:pt idx="7">
                  <c:v>Aug. 2013</c:v>
                </c:pt>
                <c:pt idx="8">
                  <c:v>Sep. 2013</c:v>
                </c:pt>
                <c:pt idx="9">
                  <c:v>Oct. 2013</c:v>
                </c:pt>
                <c:pt idx="10">
                  <c:v>Nov. 2013</c:v>
                </c:pt>
                <c:pt idx="11">
                  <c:v>Dec. 2013</c:v>
                </c:pt>
                <c:pt idx="12">
                  <c:v>Jan. 2014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109.32304902677996</c:v>
                </c:pt>
                <c:pt idx="1">
                  <c:v>101.52803853585614</c:v>
                </c:pt>
                <c:pt idx="2">
                  <c:v>105.35883603000811</c:v>
                </c:pt>
                <c:pt idx="3">
                  <c:v>122.04765294282372</c:v>
                </c:pt>
                <c:pt idx="4">
                  <c:v>125.22</c:v>
                </c:pt>
                <c:pt idx="5">
                  <c:v>118.56</c:v>
                </c:pt>
                <c:pt idx="6">
                  <c:v>128.35000000000011</c:v>
                </c:pt>
                <c:pt idx="7">
                  <c:v>129.06</c:v>
                </c:pt>
                <c:pt idx="8">
                  <c:v>118.42</c:v>
                </c:pt>
                <c:pt idx="9">
                  <c:v>119.98</c:v>
                </c:pt>
                <c:pt idx="10">
                  <c:v>100.41000000000005</c:v>
                </c:pt>
                <c:pt idx="11">
                  <c:v>98.29</c:v>
                </c:pt>
                <c:pt idx="12">
                  <c:v>108.53215755729295</c:v>
                </c:pt>
              </c:numCache>
            </c:numRef>
          </c:val>
        </c:ser>
        <c:marker val="1"/>
        <c:axId val="104654336"/>
        <c:axId val="106812544"/>
      </c:lineChart>
      <c:catAx>
        <c:axId val="104654336"/>
        <c:scaling>
          <c:orientation val="minMax"/>
        </c:scaling>
        <c:axPos val="b"/>
        <c:numFmt formatCode="General" sourceLinked="1"/>
        <c:tickLblPos val="nextTo"/>
        <c:crossAx val="106812544"/>
        <c:crosses val="autoZero"/>
        <c:auto val="1"/>
        <c:lblAlgn val="ctr"/>
        <c:lblOffset val="100"/>
      </c:catAx>
      <c:valAx>
        <c:axId val="106812544"/>
        <c:scaling>
          <c:orientation val="minMax"/>
          <c:max val="130"/>
          <c:min val="95"/>
        </c:scaling>
        <c:axPos val="l"/>
        <c:numFmt formatCode="0.00" sourceLinked="1"/>
        <c:tickLblPos val="nextTo"/>
        <c:crossAx val="1046543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F397-AA58-4082-B150-F06CDDE5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1059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hbadran</cp:lastModifiedBy>
  <cp:revision>2</cp:revision>
  <cp:lastPrinted>2014-03-04T06:48:00Z</cp:lastPrinted>
  <dcterms:created xsi:type="dcterms:W3CDTF">2014-03-04T10:40:00Z</dcterms:created>
  <dcterms:modified xsi:type="dcterms:W3CDTF">2014-03-04T10:40:00Z</dcterms:modified>
</cp:coreProperties>
</file>