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EA812" w14:textId="66EAD676" w:rsidR="00CA4B98" w:rsidRDefault="00CA4B98" w:rsidP="00752133">
      <w:pPr>
        <w:pStyle w:val="Heading5"/>
        <w:jc w:val="center"/>
        <w:rPr>
          <w:rFonts w:cs="Times New Roman"/>
          <w:sz w:val="32"/>
          <w:szCs w:val="32"/>
        </w:rPr>
      </w:pPr>
      <w:r w:rsidRPr="00514649">
        <w:rPr>
          <w:noProof/>
          <w:sz w:val="27"/>
          <w:szCs w:val="27"/>
        </w:rPr>
        <w:drawing>
          <wp:inline distT="0" distB="0" distL="0" distR="0" wp14:anchorId="47A36907" wp14:editId="0D313512">
            <wp:extent cx="704850" cy="923925"/>
            <wp:effectExtent l="0" t="0" r="0" b="9525"/>
            <wp:docPr id="1" name="Picture 1" descr="PL cmy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 cmyk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923925"/>
                    </a:xfrm>
                    <a:prstGeom prst="rect">
                      <a:avLst/>
                    </a:prstGeom>
                    <a:noFill/>
                    <a:ln>
                      <a:noFill/>
                    </a:ln>
                  </pic:spPr>
                </pic:pic>
              </a:graphicData>
            </a:graphic>
          </wp:inline>
        </w:drawing>
      </w:r>
    </w:p>
    <w:p w14:paraId="5A3255B1" w14:textId="77777777" w:rsidR="00CA4B98" w:rsidRPr="00CA4B98" w:rsidRDefault="00CA4B98" w:rsidP="00CA4B98"/>
    <w:p w14:paraId="12C40755" w14:textId="0BFE64EB" w:rsidR="00470CC3" w:rsidRDefault="00470CC3" w:rsidP="00752133">
      <w:pPr>
        <w:pStyle w:val="Heading5"/>
        <w:jc w:val="center"/>
        <w:rPr>
          <w:rFonts w:cs="Times New Roman"/>
          <w:sz w:val="32"/>
          <w:szCs w:val="32"/>
        </w:rPr>
      </w:pPr>
      <w:r w:rsidRPr="007D60C5">
        <w:rPr>
          <w:rFonts w:cs="Times New Roman"/>
          <w:sz w:val="32"/>
          <w:szCs w:val="32"/>
        </w:rPr>
        <w:t>Palestinian Central Bureau of Statistics (PCBS)</w:t>
      </w:r>
    </w:p>
    <w:p w14:paraId="397231CF" w14:textId="77777777" w:rsidR="00CA4B98" w:rsidRPr="00CA4B98" w:rsidRDefault="00CA4B98" w:rsidP="00CA4B98"/>
    <w:p w14:paraId="681770FC" w14:textId="77777777" w:rsidR="007D60C5" w:rsidRPr="007D60C5" w:rsidRDefault="007D60C5" w:rsidP="007D60C5"/>
    <w:p w14:paraId="055A14AF" w14:textId="52A8F4A7" w:rsidR="00390C10" w:rsidRPr="007D60C5" w:rsidRDefault="00390C10" w:rsidP="008E79DD">
      <w:pPr>
        <w:pStyle w:val="Heading6"/>
        <w:jc w:val="center"/>
        <w:rPr>
          <w:sz w:val="30"/>
          <w:szCs w:val="30"/>
        </w:rPr>
      </w:pPr>
      <w:r w:rsidRPr="007D60C5">
        <w:rPr>
          <w:sz w:val="30"/>
          <w:szCs w:val="30"/>
        </w:rPr>
        <w:t xml:space="preserve">On the </w:t>
      </w:r>
      <w:r w:rsidR="007D7BCC" w:rsidRPr="007D60C5">
        <w:rPr>
          <w:sz w:val="30"/>
          <w:szCs w:val="30"/>
        </w:rPr>
        <w:t xml:space="preserve">Occasion </w:t>
      </w:r>
      <w:r w:rsidRPr="007D60C5">
        <w:rPr>
          <w:sz w:val="30"/>
          <w:szCs w:val="30"/>
        </w:rPr>
        <w:t xml:space="preserve">of </w:t>
      </w:r>
      <w:r w:rsidR="00F26648" w:rsidRPr="007D60C5">
        <w:rPr>
          <w:sz w:val="30"/>
          <w:szCs w:val="30"/>
        </w:rPr>
        <w:t>the International Day of Older Persons</w:t>
      </w:r>
      <w:r w:rsidRPr="007D60C5">
        <w:rPr>
          <w:sz w:val="30"/>
          <w:szCs w:val="30"/>
        </w:rPr>
        <w:t xml:space="preserve"> </w:t>
      </w:r>
      <w:r w:rsidR="00BF69B7" w:rsidRPr="007D60C5">
        <w:rPr>
          <w:sz w:val="30"/>
          <w:szCs w:val="30"/>
        </w:rPr>
        <w:t>0</w:t>
      </w:r>
      <w:r w:rsidRPr="007D60C5">
        <w:rPr>
          <w:sz w:val="30"/>
          <w:szCs w:val="30"/>
        </w:rPr>
        <w:t>1/10/</w:t>
      </w:r>
      <w:r w:rsidR="00A701D8" w:rsidRPr="007D60C5">
        <w:rPr>
          <w:sz w:val="30"/>
          <w:szCs w:val="30"/>
        </w:rPr>
        <w:t>2024</w:t>
      </w:r>
    </w:p>
    <w:p w14:paraId="6BD83804" w14:textId="77777777" w:rsidR="00A93D5B" w:rsidRPr="008A2C81" w:rsidRDefault="00A93D5B" w:rsidP="00752133">
      <w:pPr>
        <w:bidi w:val="0"/>
        <w:rPr>
          <w:sz w:val="24"/>
          <w:szCs w:val="24"/>
        </w:rPr>
      </w:pPr>
    </w:p>
    <w:p w14:paraId="60E9E55E" w14:textId="17DDF7BB" w:rsidR="00A93D5B" w:rsidRPr="007D60C5" w:rsidRDefault="00A93D5B" w:rsidP="00064174">
      <w:pPr>
        <w:bidi w:val="0"/>
        <w:jc w:val="both"/>
        <w:rPr>
          <w:sz w:val="26"/>
          <w:szCs w:val="26"/>
        </w:rPr>
      </w:pPr>
      <w:r w:rsidRPr="007D60C5">
        <w:rPr>
          <w:sz w:val="26"/>
          <w:szCs w:val="26"/>
        </w:rPr>
        <w:t>The world celebrates the International</w:t>
      </w:r>
      <w:r w:rsidR="0088382C" w:rsidRPr="007D60C5">
        <w:rPr>
          <w:sz w:val="26"/>
          <w:szCs w:val="26"/>
        </w:rPr>
        <w:t xml:space="preserve"> Day of Older Persons</w:t>
      </w:r>
      <w:r w:rsidR="00736D7C" w:rsidRPr="007D60C5">
        <w:rPr>
          <w:sz w:val="26"/>
          <w:szCs w:val="26"/>
        </w:rPr>
        <w:t xml:space="preserve"> </w:t>
      </w:r>
      <w:r w:rsidRPr="007D60C5">
        <w:rPr>
          <w:sz w:val="26"/>
          <w:szCs w:val="26"/>
        </w:rPr>
        <w:t>on October 1</w:t>
      </w:r>
      <w:r w:rsidRPr="007D60C5">
        <w:rPr>
          <w:sz w:val="26"/>
          <w:szCs w:val="26"/>
          <w:vertAlign w:val="superscript"/>
        </w:rPr>
        <w:t>st</w:t>
      </w:r>
      <w:r w:rsidRPr="007D60C5">
        <w:rPr>
          <w:sz w:val="26"/>
          <w:szCs w:val="26"/>
        </w:rPr>
        <w:t xml:space="preserve"> of each year in </w:t>
      </w:r>
      <w:r w:rsidR="00736D7C" w:rsidRPr="007D60C5">
        <w:rPr>
          <w:sz w:val="26"/>
          <w:szCs w:val="26"/>
        </w:rPr>
        <w:t>recognition</w:t>
      </w:r>
      <w:r w:rsidR="00C360E7" w:rsidRPr="007D60C5">
        <w:rPr>
          <w:sz w:val="26"/>
          <w:szCs w:val="26"/>
        </w:rPr>
        <w:t xml:space="preserve"> of</w:t>
      </w:r>
      <w:r w:rsidRPr="007D60C5">
        <w:rPr>
          <w:sz w:val="26"/>
          <w:szCs w:val="26"/>
        </w:rPr>
        <w:t xml:space="preserve"> </w:t>
      </w:r>
      <w:r w:rsidR="00C30D7B" w:rsidRPr="007D60C5">
        <w:rPr>
          <w:sz w:val="26"/>
          <w:szCs w:val="26"/>
        </w:rPr>
        <w:t>their efforts</w:t>
      </w:r>
      <w:r w:rsidR="00842DC9" w:rsidRPr="007D60C5">
        <w:rPr>
          <w:sz w:val="26"/>
          <w:szCs w:val="26"/>
        </w:rPr>
        <w:t xml:space="preserve"> and to highlight </w:t>
      </w:r>
      <w:r w:rsidR="00C30D7B" w:rsidRPr="007D60C5">
        <w:rPr>
          <w:sz w:val="26"/>
          <w:szCs w:val="26"/>
        </w:rPr>
        <w:t xml:space="preserve">the </w:t>
      </w:r>
      <w:r w:rsidR="00842DC9" w:rsidRPr="007D60C5">
        <w:rPr>
          <w:sz w:val="26"/>
          <w:szCs w:val="26"/>
        </w:rPr>
        <w:t>significant</w:t>
      </w:r>
      <w:r w:rsidR="00C30D7B" w:rsidRPr="007D60C5">
        <w:rPr>
          <w:sz w:val="26"/>
          <w:szCs w:val="26"/>
        </w:rPr>
        <w:t xml:space="preserve"> contributions </w:t>
      </w:r>
      <w:r w:rsidR="00007F89" w:rsidRPr="007D60C5">
        <w:rPr>
          <w:sz w:val="26"/>
          <w:szCs w:val="26"/>
        </w:rPr>
        <w:t xml:space="preserve">made by the </w:t>
      </w:r>
      <w:r w:rsidR="00F61636" w:rsidRPr="007D60C5">
        <w:rPr>
          <w:sz w:val="26"/>
          <w:szCs w:val="26"/>
        </w:rPr>
        <w:t>elderly</w:t>
      </w:r>
      <w:r w:rsidR="00C30D7B" w:rsidRPr="007D60C5">
        <w:rPr>
          <w:sz w:val="26"/>
          <w:szCs w:val="26"/>
        </w:rPr>
        <w:t xml:space="preserve"> </w:t>
      </w:r>
      <w:r w:rsidR="00387038" w:rsidRPr="007D60C5">
        <w:rPr>
          <w:sz w:val="26"/>
          <w:szCs w:val="26"/>
        </w:rPr>
        <w:t xml:space="preserve">for </w:t>
      </w:r>
      <w:r w:rsidR="00F61636" w:rsidRPr="007D60C5">
        <w:rPr>
          <w:sz w:val="26"/>
          <w:szCs w:val="26"/>
        </w:rPr>
        <w:t xml:space="preserve">the </w:t>
      </w:r>
      <w:r w:rsidR="00573883" w:rsidRPr="007D60C5">
        <w:rPr>
          <w:sz w:val="26"/>
          <w:szCs w:val="26"/>
        </w:rPr>
        <w:t>society</w:t>
      </w:r>
      <w:r w:rsidR="00365B34" w:rsidRPr="007D60C5">
        <w:rPr>
          <w:sz w:val="26"/>
          <w:szCs w:val="26"/>
        </w:rPr>
        <w:t xml:space="preserve">, </w:t>
      </w:r>
      <w:r w:rsidR="00387038" w:rsidRPr="007D60C5">
        <w:rPr>
          <w:sz w:val="26"/>
          <w:szCs w:val="26"/>
        </w:rPr>
        <w:t xml:space="preserve">in addition </w:t>
      </w:r>
      <w:r w:rsidR="00F61636" w:rsidRPr="007D60C5">
        <w:rPr>
          <w:sz w:val="26"/>
          <w:szCs w:val="26"/>
        </w:rPr>
        <w:t xml:space="preserve">to </w:t>
      </w:r>
      <w:r w:rsidR="00BF69B7" w:rsidRPr="007D60C5">
        <w:rPr>
          <w:sz w:val="26"/>
          <w:szCs w:val="26"/>
        </w:rPr>
        <w:t xml:space="preserve">raising </w:t>
      </w:r>
      <w:r w:rsidR="005D29AF" w:rsidRPr="007D60C5">
        <w:rPr>
          <w:sz w:val="26"/>
          <w:szCs w:val="26"/>
        </w:rPr>
        <w:t xml:space="preserve">awareness </w:t>
      </w:r>
      <w:r w:rsidR="00365B34" w:rsidRPr="007D60C5">
        <w:rPr>
          <w:sz w:val="26"/>
          <w:szCs w:val="26"/>
        </w:rPr>
        <w:t>of</w:t>
      </w:r>
      <w:r w:rsidR="008A3131" w:rsidRPr="007D60C5">
        <w:rPr>
          <w:sz w:val="26"/>
          <w:szCs w:val="26"/>
        </w:rPr>
        <w:t xml:space="preserve"> the problems, obstacles and challenges </w:t>
      </w:r>
      <w:r w:rsidR="00E929AC" w:rsidRPr="007D60C5">
        <w:rPr>
          <w:sz w:val="26"/>
          <w:szCs w:val="26"/>
        </w:rPr>
        <w:t xml:space="preserve">that the </w:t>
      </w:r>
      <w:r w:rsidR="008A3131" w:rsidRPr="007D60C5">
        <w:rPr>
          <w:sz w:val="26"/>
          <w:szCs w:val="26"/>
        </w:rPr>
        <w:t>elderly face.</w:t>
      </w:r>
    </w:p>
    <w:p w14:paraId="081120FE" w14:textId="77777777" w:rsidR="00A701D8" w:rsidRPr="007D60C5" w:rsidRDefault="00A701D8" w:rsidP="007D60C5">
      <w:pPr>
        <w:bidi w:val="0"/>
        <w:ind w:firstLine="720"/>
        <w:jc w:val="both"/>
        <w:rPr>
          <w:sz w:val="26"/>
          <w:szCs w:val="26"/>
        </w:rPr>
      </w:pPr>
    </w:p>
    <w:p w14:paraId="142B5B96" w14:textId="3A794A20" w:rsidR="00A701D8" w:rsidRPr="007D60C5" w:rsidRDefault="00A701D8" w:rsidP="00A940B0">
      <w:pPr>
        <w:bidi w:val="0"/>
        <w:jc w:val="lowKashida"/>
        <w:rPr>
          <w:snapToGrid/>
          <w:sz w:val="26"/>
          <w:szCs w:val="26"/>
        </w:rPr>
      </w:pPr>
      <w:r w:rsidRPr="007D60C5">
        <w:rPr>
          <w:sz w:val="26"/>
          <w:szCs w:val="26"/>
        </w:rPr>
        <w:t xml:space="preserve">International Day of Older Persons </w:t>
      </w:r>
      <w:r w:rsidR="008E79DD" w:rsidRPr="007D60C5">
        <w:rPr>
          <w:sz w:val="26"/>
          <w:szCs w:val="26"/>
        </w:rPr>
        <w:t>occurs in Palestine at a time of the</w:t>
      </w:r>
      <w:r w:rsidRPr="007D60C5">
        <w:rPr>
          <w:sz w:val="26"/>
          <w:szCs w:val="26"/>
        </w:rPr>
        <w:t xml:space="preserve"> continued Israeli aggression against Gaza Strip and the ongoing violation of human rights</w:t>
      </w:r>
      <w:r w:rsidR="008E79DD" w:rsidRPr="007D60C5">
        <w:rPr>
          <w:sz w:val="26"/>
          <w:szCs w:val="26"/>
        </w:rPr>
        <w:t>.</w:t>
      </w:r>
      <w:r w:rsidRPr="007D60C5">
        <w:rPr>
          <w:sz w:val="26"/>
          <w:szCs w:val="26"/>
        </w:rPr>
        <w:t xml:space="preserve"> </w:t>
      </w:r>
      <w:r w:rsidR="008E79DD" w:rsidRPr="007D60C5">
        <w:rPr>
          <w:snapToGrid/>
          <w:sz w:val="26"/>
          <w:szCs w:val="26"/>
        </w:rPr>
        <w:t xml:space="preserve">Since </w:t>
      </w:r>
      <w:r w:rsidRPr="007D60C5">
        <w:rPr>
          <w:snapToGrid/>
          <w:sz w:val="26"/>
          <w:szCs w:val="26"/>
        </w:rPr>
        <w:t>October 7</w:t>
      </w:r>
      <w:r w:rsidRPr="007D60C5">
        <w:rPr>
          <w:snapToGrid/>
          <w:sz w:val="26"/>
          <w:szCs w:val="26"/>
          <w:vertAlign w:val="superscript"/>
        </w:rPr>
        <w:t>th</w:t>
      </w:r>
      <w:r w:rsidRPr="007D60C5">
        <w:rPr>
          <w:snapToGrid/>
          <w:sz w:val="26"/>
          <w:szCs w:val="26"/>
        </w:rPr>
        <w:t xml:space="preserve">, 2023, the Israeli occupation forces have been waging a war of genocide against the Palestinian people in Gaza Strip along with committing massacres and destruction of buildings, facilities and infrastructure there, in light of the lack of basic health and food services, with more than </w:t>
      </w:r>
      <w:r w:rsidR="00A940B0" w:rsidRPr="007D60C5">
        <w:rPr>
          <w:rFonts w:hint="cs"/>
          <w:snapToGrid/>
          <w:sz w:val="26"/>
          <w:szCs w:val="26"/>
          <w:rtl/>
        </w:rPr>
        <w:t>41</w:t>
      </w:r>
      <w:r w:rsidRPr="007D60C5">
        <w:rPr>
          <w:snapToGrid/>
          <w:sz w:val="26"/>
          <w:szCs w:val="26"/>
        </w:rPr>
        <w:t xml:space="preserve"> thousand martyrs and about 2 million Palestinians</w:t>
      </w:r>
      <w:r w:rsidR="00277666" w:rsidRPr="007D60C5">
        <w:rPr>
          <w:snapToGrid/>
          <w:sz w:val="26"/>
          <w:szCs w:val="26"/>
        </w:rPr>
        <w:t>,</w:t>
      </w:r>
      <w:r w:rsidRPr="007D60C5">
        <w:rPr>
          <w:snapToGrid/>
          <w:sz w:val="26"/>
          <w:szCs w:val="26"/>
        </w:rPr>
        <w:t xml:space="preserve"> left their homes</w:t>
      </w:r>
      <w:r w:rsidR="00277666" w:rsidRPr="007D60C5">
        <w:rPr>
          <w:snapToGrid/>
          <w:sz w:val="26"/>
          <w:szCs w:val="26"/>
        </w:rPr>
        <w:t>,</w:t>
      </w:r>
      <w:r w:rsidRPr="007D60C5">
        <w:rPr>
          <w:snapToGrid/>
          <w:sz w:val="26"/>
          <w:szCs w:val="26"/>
        </w:rPr>
        <w:t xml:space="preserve"> out of about 2.2 million Palestinians who were residing in Gaza Strip on the eve of the Israeli occupation aggression. However, the longer-term damage resulting from this </w:t>
      </w:r>
      <w:r w:rsidR="00277666" w:rsidRPr="007D60C5">
        <w:rPr>
          <w:snapToGrid/>
          <w:sz w:val="26"/>
          <w:szCs w:val="26"/>
        </w:rPr>
        <w:t xml:space="preserve">Israeli </w:t>
      </w:r>
      <w:r w:rsidRPr="007D60C5">
        <w:rPr>
          <w:snapToGrid/>
          <w:sz w:val="26"/>
          <w:szCs w:val="26"/>
        </w:rPr>
        <w:t>aggression, which will have negative and profound economic, demographic, social and psychological impacts that will affect most groups of the Palestinian people in Gaza Strip, and the expectations indicate that it will last for longer periods of time after the end of the war</w:t>
      </w:r>
      <w:r w:rsidRPr="007D60C5">
        <w:rPr>
          <w:snapToGrid/>
          <w:sz w:val="26"/>
          <w:szCs w:val="26"/>
          <w:rtl/>
        </w:rPr>
        <w:t>.</w:t>
      </w:r>
    </w:p>
    <w:p w14:paraId="5E653C84" w14:textId="77777777" w:rsidR="00EB27BD" w:rsidRPr="007D60C5" w:rsidRDefault="00EB27BD" w:rsidP="00A701D8">
      <w:pPr>
        <w:bidi w:val="0"/>
        <w:jc w:val="both"/>
        <w:rPr>
          <w:sz w:val="26"/>
          <w:szCs w:val="26"/>
        </w:rPr>
      </w:pPr>
    </w:p>
    <w:p w14:paraId="6CCF888A" w14:textId="77777777" w:rsidR="00A701D8" w:rsidRPr="007D60C5" w:rsidRDefault="00A701D8" w:rsidP="00A701D8">
      <w:pPr>
        <w:bidi w:val="0"/>
        <w:jc w:val="both"/>
        <w:rPr>
          <w:b/>
          <w:bCs/>
          <w:snapToGrid/>
          <w:sz w:val="26"/>
          <w:szCs w:val="26"/>
        </w:rPr>
      </w:pPr>
      <w:r w:rsidRPr="007D60C5">
        <w:rPr>
          <w:b/>
          <w:bCs/>
          <w:snapToGrid/>
          <w:sz w:val="26"/>
          <w:szCs w:val="26"/>
        </w:rPr>
        <w:t>The demographic reality of the elderly in Palestine on the eve of the Israeli occupation aggression:</w:t>
      </w:r>
    </w:p>
    <w:p w14:paraId="70B6083F" w14:textId="4D91D88E" w:rsidR="00A701D8" w:rsidRPr="007D60C5" w:rsidRDefault="00A701D8" w:rsidP="00445C24">
      <w:pPr>
        <w:bidi w:val="0"/>
        <w:jc w:val="both"/>
        <w:rPr>
          <w:sz w:val="26"/>
          <w:szCs w:val="26"/>
          <w:rtl/>
        </w:rPr>
      </w:pPr>
      <w:r w:rsidRPr="007D60C5">
        <w:rPr>
          <w:sz w:val="26"/>
          <w:szCs w:val="26"/>
        </w:rPr>
        <w:t xml:space="preserve">Data indicate that on the eve of the Israeli occupation aggression against Gaza Strip on </w:t>
      </w:r>
      <w:r w:rsidRPr="007D60C5">
        <w:rPr>
          <w:snapToGrid/>
          <w:sz w:val="26"/>
          <w:szCs w:val="26"/>
        </w:rPr>
        <w:t>October 7</w:t>
      </w:r>
      <w:r w:rsidRPr="007D60C5">
        <w:rPr>
          <w:snapToGrid/>
          <w:sz w:val="26"/>
          <w:szCs w:val="26"/>
          <w:vertAlign w:val="superscript"/>
        </w:rPr>
        <w:t>th</w:t>
      </w:r>
      <w:r w:rsidRPr="007D60C5">
        <w:rPr>
          <w:sz w:val="26"/>
          <w:szCs w:val="26"/>
        </w:rPr>
        <w:t xml:space="preserve">, 2023, about 5.6 million Palestinians were residing in the State of Palestine, including 321 thousand </w:t>
      </w:r>
      <w:r w:rsidR="00064174" w:rsidRPr="007D60C5">
        <w:rPr>
          <w:sz w:val="26"/>
          <w:szCs w:val="26"/>
        </w:rPr>
        <w:t xml:space="preserve">persons </w:t>
      </w:r>
      <w:r w:rsidRPr="007D60C5">
        <w:rPr>
          <w:sz w:val="26"/>
          <w:szCs w:val="26"/>
        </w:rPr>
        <w:t>aged 60 years and above, constituting 6% of the total population in Palestine at the end of 2023,</w:t>
      </w:r>
      <w:r w:rsidRPr="007D60C5">
        <w:rPr>
          <w:snapToGrid/>
          <w:sz w:val="26"/>
          <w:szCs w:val="26"/>
          <w:lang w:eastAsia="ar-SA"/>
        </w:rPr>
        <w:t xml:space="preserve"> </w:t>
      </w:r>
      <w:r w:rsidRPr="007D60C5">
        <w:rPr>
          <w:sz w:val="26"/>
          <w:szCs w:val="26"/>
        </w:rPr>
        <w:t>this percentage in the West Bank reached about 6% compared to 5% in Gaza Strip.</w:t>
      </w:r>
    </w:p>
    <w:p w14:paraId="12674B4E" w14:textId="77777777" w:rsidR="002A6B72" w:rsidRPr="007D60C5" w:rsidRDefault="002A6B72" w:rsidP="00752133">
      <w:pPr>
        <w:bidi w:val="0"/>
        <w:jc w:val="both"/>
        <w:rPr>
          <w:sz w:val="26"/>
          <w:szCs w:val="26"/>
        </w:rPr>
      </w:pPr>
    </w:p>
    <w:p w14:paraId="1FC0B0E7" w14:textId="6180A430" w:rsidR="00A701D8" w:rsidRDefault="00A701D8" w:rsidP="00A701D8">
      <w:pPr>
        <w:bidi w:val="0"/>
        <w:jc w:val="both"/>
        <w:rPr>
          <w:sz w:val="26"/>
          <w:szCs w:val="26"/>
        </w:rPr>
      </w:pPr>
      <w:r w:rsidRPr="007D60C5">
        <w:rPr>
          <w:sz w:val="26"/>
          <w:szCs w:val="26"/>
        </w:rPr>
        <w:t>Even though the percentage of the elderly will be increasing during the coming years in Palestine, their percentage will remain relatively low and would not exceed 6% during the current decade. It is expected to start increasing after the mid of next decade.</w:t>
      </w:r>
    </w:p>
    <w:p w14:paraId="1F27C258" w14:textId="4C220D55" w:rsidR="00CA4B98" w:rsidRDefault="00CA4B98" w:rsidP="00CA4B98">
      <w:pPr>
        <w:bidi w:val="0"/>
        <w:jc w:val="both"/>
        <w:rPr>
          <w:sz w:val="26"/>
          <w:szCs w:val="26"/>
        </w:rPr>
      </w:pPr>
    </w:p>
    <w:p w14:paraId="51665FC0" w14:textId="5BAE46A0" w:rsidR="00CA4B98" w:rsidRDefault="00CA4B98" w:rsidP="00CA4B98">
      <w:pPr>
        <w:bidi w:val="0"/>
        <w:jc w:val="both"/>
        <w:rPr>
          <w:sz w:val="26"/>
          <w:szCs w:val="26"/>
        </w:rPr>
      </w:pPr>
    </w:p>
    <w:p w14:paraId="47D84F87" w14:textId="2EB2981D" w:rsidR="00CA4B98" w:rsidRDefault="00CA4B98" w:rsidP="00CA4B98">
      <w:pPr>
        <w:bidi w:val="0"/>
        <w:jc w:val="both"/>
        <w:rPr>
          <w:sz w:val="26"/>
          <w:szCs w:val="26"/>
        </w:rPr>
      </w:pPr>
    </w:p>
    <w:p w14:paraId="14825CAA" w14:textId="38F8FA6C" w:rsidR="00CA4B98" w:rsidRDefault="00CA4B98" w:rsidP="00CA4B98">
      <w:pPr>
        <w:bidi w:val="0"/>
        <w:jc w:val="both"/>
        <w:rPr>
          <w:sz w:val="26"/>
          <w:szCs w:val="26"/>
        </w:rPr>
      </w:pPr>
    </w:p>
    <w:p w14:paraId="42ABD5FA" w14:textId="396B1BFF" w:rsidR="00CA4B98" w:rsidRDefault="00CA4B98" w:rsidP="00CA4B98">
      <w:pPr>
        <w:bidi w:val="0"/>
        <w:jc w:val="both"/>
        <w:rPr>
          <w:sz w:val="26"/>
          <w:szCs w:val="26"/>
        </w:rPr>
      </w:pPr>
    </w:p>
    <w:p w14:paraId="5D1DCD1E" w14:textId="3598BE3C" w:rsidR="00CA4B98" w:rsidRDefault="00CA4B98" w:rsidP="00CA4B98">
      <w:pPr>
        <w:bidi w:val="0"/>
        <w:jc w:val="both"/>
        <w:rPr>
          <w:sz w:val="26"/>
          <w:szCs w:val="26"/>
        </w:rPr>
      </w:pPr>
    </w:p>
    <w:p w14:paraId="3FC6DB04" w14:textId="66DCE6CE" w:rsidR="00CA4B98" w:rsidRDefault="00CA4B98" w:rsidP="00CA4B98">
      <w:pPr>
        <w:bidi w:val="0"/>
        <w:jc w:val="both"/>
        <w:rPr>
          <w:sz w:val="26"/>
          <w:szCs w:val="26"/>
        </w:rPr>
      </w:pPr>
    </w:p>
    <w:p w14:paraId="438F488C" w14:textId="77777777" w:rsidR="00CA4B98" w:rsidRPr="007D60C5" w:rsidRDefault="00CA4B98" w:rsidP="00CA4B98">
      <w:pPr>
        <w:bidi w:val="0"/>
        <w:jc w:val="both"/>
        <w:rPr>
          <w:sz w:val="26"/>
          <w:szCs w:val="26"/>
        </w:rPr>
      </w:pPr>
    </w:p>
    <w:p w14:paraId="3E4F3EEC" w14:textId="77777777" w:rsidR="00A701D8" w:rsidRPr="008A2C81" w:rsidRDefault="00A701D8" w:rsidP="00A701D8">
      <w:pPr>
        <w:bidi w:val="0"/>
        <w:jc w:val="both"/>
        <w:rPr>
          <w:sz w:val="24"/>
          <w:szCs w:val="24"/>
        </w:rPr>
      </w:pPr>
    </w:p>
    <w:p w14:paraId="012DB5A3" w14:textId="4247DAD4" w:rsidR="001061B1" w:rsidRPr="008A2C81" w:rsidRDefault="00B6797B" w:rsidP="00CA4B98">
      <w:pPr>
        <w:bidi w:val="0"/>
        <w:ind w:hanging="426"/>
        <w:jc w:val="center"/>
        <w:rPr>
          <w:b/>
          <w:bCs/>
          <w:sz w:val="24"/>
          <w:szCs w:val="24"/>
          <w:vertAlign w:val="superscript"/>
          <w:rtl/>
        </w:rPr>
      </w:pPr>
      <w:r w:rsidRPr="008A2C81">
        <w:rPr>
          <w:b/>
          <w:bCs/>
          <w:sz w:val="24"/>
          <w:szCs w:val="24"/>
        </w:rPr>
        <w:lastRenderedPageBreak/>
        <w:t>Percentage</w:t>
      </w:r>
      <w:r w:rsidRPr="008A2C81">
        <w:rPr>
          <w:sz w:val="24"/>
          <w:szCs w:val="24"/>
        </w:rPr>
        <w:t xml:space="preserve"> </w:t>
      </w:r>
      <w:r w:rsidR="00295815" w:rsidRPr="008A2C81">
        <w:rPr>
          <w:b/>
          <w:bCs/>
          <w:sz w:val="24"/>
          <w:szCs w:val="24"/>
        </w:rPr>
        <w:t>Distribution of</w:t>
      </w:r>
      <w:r w:rsidR="001061B1" w:rsidRPr="008A2C81">
        <w:rPr>
          <w:b/>
          <w:bCs/>
          <w:sz w:val="24"/>
          <w:szCs w:val="24"/>
        </w:rPr>
        <w:t xml:space="preserve"> </w:t>
      </w:r>
      <w:r w:rsidR="006A615A" w:rsidRPr="008A2C81">
        <w:rPr>
          <w:b/>
          <w:bCs/>
          <w:sz w:val="24"/>
          <w:szCs w:val="24"/>
        </w:rPr>
        <w:t>P</w:t>
      </w:r>
      <w:r w:rsidR="001061B1" w:rsidRPr="008A2C81">
        <w:rPr>
          <w:b/>
          <w:bCs/>
          <w:sz w:val="24"/>
          <w:szCs w:val="24"/>
        </w:rPr>
        <w:t xml:space="preserve">opulation in Palestine by </w:t>
      </w:r>
      <w:r w:rsidR="006A615A" w:rsidRPr="008A2C81">
        <w:rPr>
          <w:b/>
          <w:bCs/>
          <w:sz w:val="24"/>
          <w:szCs w:val="24"/>
        </w:rPr>
        <w:t>A</w:t>
      </w:r>
      <w:r w:rsidR="001061B1" w:rsidRPr="008A2C81">
        <w:rPr>
          <w:b/>
          <w:bCs/>
          <w:sz w:val="24"/>
          <w:szCs w:val="24"/>
        </w:rPr>
        <w:t xml:space="preserve">ge </w:t>
      </w:r>
      <w:r w:rsidR="006A615A" w:rsidRPr="008A2C81">
        <w:rPr>
          <w:b/>
          <w:bCs/>
          <w:sz w:val="24"/>
          <w:szCs w:val="24"/>
        </w:rPr>
        <w:t>G</w:t>
      </w:r>
      <w:r w:rsidR="001061B1" w:rsidRPr="008A2C81">
        <w:rPr>
          <w:b/>
          <w:bCs/>
          <w:sz w:val="24"/>
          <w:szCs w:val="24"/>
        </w:rPr>
        <w:t>roups</w:t>
      </w:r>
      <w:r w:rsidR="008467E9" w:rsidRPr="008A2C81">
        <w:rPr>
          <w:b/>
          <w:bCs/>
          <w:sz w:val="24"/>
          <w:szCs w:val="24"/>
        </w:rPr>
        <w:t>,</w:t>
      </w:r>
      <w:r w:rsidR="001061B1" w:rsidRPr="008A2C81">
        <w:rPr>
          <w:b/>
          <w:bCs/>
          <w:sz w:val="24"/>
          <w:szCs w:val="24"/>
        </w:rPr>
        <w:t xml:space="preserve"> </w:t>
      </w:r>
      <w:r w:rsidR="00064174">
        <w:rPr>
          <w:b/>
          <w:bCs/>
          <w:sz w:val="24"/>
          <w:szCs w:val="24"/>
        </w:rPr>
        <w:t xml:space="preserve">at the </w:t>
      </w:r>
      <w:r w:rsidR="00A701D8" w:rsidRPr="008A2C81">
        <w:rPr>
          <w:b/>
          <w:bCs/>
          <w:sz w:val="24"/>
          <w:szCs w:val="24"/>
          <w:lang w:eastAsia="ar-SA"/>
        </w:rPr>
        <w:t>End</w:t>
      </w:r>
      <w:r w:rsidR="00A701D8" w:rsidRPr="008A2C81">
        <w:rPr>
          <w:sz w:val="24"/>
          <w:szCs w:val="24"/>
          <w:lang w:eastAsia="ar-SA"/>
        </w:rPr>
        <w:t xml:space="preserve"> </w:t>
      </w:r>
      <w:r w:rsidR="00A701D8" w:rsidRPr="008A2C81">
        <w:rPr>
          <w:b/>
          <w:bCs/>
          <w:sz w:val="24"/>
          <w:szCs w:val="24"/>
          <w:lang w:eastAsia="ar-SA"/>
        </w:rPr>
        <w:t>of</w:t>
      </w:r>
      <w:r w:rsidR="00A701D8" w:rsidRPr="008A2C81">
        <w:rPr>
          <w:sz w:val="24"/>
          <w:szCs w:val="24"/>
          <w:lang w:eastAsia="ar-SA"/>
        </w:rPr>
        <w:t xml:space="preserve"> </w:t>
      </w:r>
      <w:r w:rsidR="00A701D8" w:rsidRPr="008A2C81">
        <w:rPr>
          <w:b/>
          <w:bCs/>
          <w:sz w:val="24"/>
          <w:szCs w:val="24"/>
          <w:lang w:eastAsia="ar-SA"/>
        </w:rPr>
        <w:t>2023</w:t>
      </w:r>
    </w:p>
    <w:tbl>
      <w:tblPr>
        <w:tblStyle w:val="TableGrid"/>
        <w:tblW w:w="0" w:type="auto"/>
        <w:tblLook w:val="04A0" w:firstRow="1" w:lastRow="0" w:firstColumn="1" w:lastColumn="0" w:noHBand="0" w:noVBand="1"/>
      </w:tblPr>
      <w:tblGrid>
        <w:gridCol w:w="9061"/>
      </w:tblGrid>
      <w:tr w:rsidR="008A2C81" w:rsidRPr="008A2C81" w14:paraId="2E3913E2" w14:textId="77777777" w:rsidTr="00166CE2">
        <w:tc>
          <w:tcPr>
            <w:tcW w:w="9061" w:type="dxa"/>
          </w:tcPr>
          <w:p w14:paraId="519DCFC8" w14:textId="77777777" w:rsidR="003F3678" w:rsidRPr="008A2C81" w:rsidRDefault="003F3678" w:rsidP="00752133">
            <w:pPr>
              <w:bidi w:val="0"/>
              <w:jc w:val="center"/>
              <w:rPr>
                <w:b/>
                <w:bCs/>
                <w:sz w:val="24"/>
                <w:szCs w:val="24"/>
                <w:lang w:bidi="ar-EG"/>
              </w:rPr>
            </w:pPr>
            <w:r w:rsidRPr="008A2C81">
              <w:rPr>
                <w:b/>
                <w:bCs/>
                <w:noProof/>
                <w:sz w:val="24"/>
                <w:szCs w:val="24"/>
              </w:rPr>
              <w:drawing>
                <wp:inline distT="0" distB="0" distL="0" distR="0" wp14:anchorId="429A8B73" wp14:editId="3DE49D89">
                  <wp:extent cx="5143500" cy="2219325"/>
                  <wp:effectExtent l="0" t="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EBC9D71" w14:textId="473CBD86" w:rsidR="00554A5E" w:rsidRPr="00CA4B98" w:rsidRDefault="00554A5E" w:rsidP="00CA4B98">
      <w:pPr>
        <w:bidi w:val="0"/>
        <w:ind w:right="142"/>
        <w:jc w:val="lowKashida"/>
        <w:rPr>
          <w:b/>
          <w:bCs/>
          <w:snapToGrid/>
          <w:sz w:val="16"/>
          <w:szCs w:val="16"/>
        </w:rPr>
      </w:pPr>
      <w:r w:rsidRPr="00CA4B98">
        <w:rPr>
          <w:b/>
          <w:bCs/>
          <w:snapToGrid/>
          <w:sz w:val="16"/>
          <w:szCs w:val="16"/>
        </w:rPr>
        <w:t>Sources: Palestinian Central Bureau of Statistics, 2024. Revised Estimates Based on the Final Results of Population, Housing</w:t>
      </w:r>
      <w:r w:rsidR="00CA4B98">
        <w:rPr>
          <w:b/>
          <w:bCs/>
          <w:snapToGrid/>
          <w:sz w:val="16"/>
          <w:szCs w:val="16"/>
        </w:rPr>
        <w:t xml:space="preserve">                                            </w:t>
      </w:r>
      <w:r w:rsidRPr="00CA4B98">
        <w:rPr>
          <w:b/>
          <w:bCs/>
          <w:snapToGrid/>
          <w:sz w:val="16"/>
          <w:szCs w:val="16"/>
        </w:rPr>
        <w:t xml:space="preserve"> and Establishments Census, 2017. Ramallah, Palestine. </w:t>
      </w:r>
    </w:p>
    <w:p w14:paraId="46543512" w14:textId="77777777" w:rsidR="00585378" w:rsidRPr="008A2C81" w:rsidRDefault="00585378" w:rsidP="00585378">
      <w:pPr>
        <w:bidi w:val="0"/>
        <w:jc w:val="center"/>
        <w:rPr>
          <w:b/>
          <w:bCs/>
          <w:sz w:val="24"/>
          <w:szCs w:val="24"/>
          <w:lang w:bidi="ar-EG"/>
        </w:rPr>
      </w:pPr>
    </w:p>
    <w:p w14:paraId="2784DBFE" w14:textId="77777777" w:rsidR="00585378" w:rsidRPr="008A2C81" w:rsidRDefault="00585378" w:rsidP="00585378">
      <w:pPr>
        <w:bidi w:val="0"/>
        <w:jc w:val="center"/>
        <w:rPr>
          <w:b/>
          <w:bCs/>
          <w:sz w:val="24"/>
          <w:szCs w:val="24"/>
          <w:lang w:bidi="ar-EG"/>
        </w:rPr>
      </w:pPr>
    </w:p>
    <w:p w14:paraId="2EF85AB1" w14:textId="6F2D9BBF" w:rsidR="00585378" w:rsidRPr="007D60C5" w:rsidRDefault="00585378" w:rsidP="0006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napToGrid/>
          <w:sz w:val="26"/>
          <w:szCs w:val="26"/>
          <w:rtl/>
          <w:lang w:val="en"/>
        </w:rPr>
      </w:pPr>
      <w:r w:rsidRPr="007D60C5">
        <w:rPr>
          <w:b/>
          <w:bCs/>
          <w:snapToGrid/>
          <w:sz w:val="26"/>
          <w:szCs w:val="26"/>
          <w:lang w:eastAsia="ar-SA"/>
        </w:rPr>
        <w:t xml:space="preserve">In light of the Israeli occupation aggression, </w:t>
      </w:r>
      <w:r w:rsidR="00064174" w:rsidRPr="007D60C5">
        <w:rPr>
          <w:b/>
          <w:bCs/>
          <w:snapToGrid/>
          <w:sz w:val="26"/>
          <w:szCs w:val="26"/>
          <w:lang w:eastAsia="ar-SA"/>
        </w:rPr>
        <w:t xml:space="preserve">data showed terrifying </w:t>
      </w:r>
      <w:r w:rsidRPr="007D60C5">
        <w:rPr>
          <w:b/>
          <w:bCs/>
          <w:snapToGrid/>
          <w:sz w:val="26"/>
          <w:szCs w:val="26"/>
          <w:lang w:eastAsia="ar-SA"/>
        </w:rPr>
        <w:t xml:space="preserve">numbers of martyrs and injured </w:t>
      </w:r>
    </w:p>
    <w:p w14:paraId="08BC13B8" w14:textId="1CDB44A3" w:rsidR="00585378" w:rsidRPr="007D60C5" w:rsidRDefault="00585378" w:rsidP="00335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snapToGrid/>
          <w:sz w:val="26"/>
          <w:szCs w:val="26"/>
          <w:rtl/>
          <w:lang w:val="en"/>
        </w:rPr>
      </w:pPr>
      <w:r w:rsidRPr="007D60C5">
        <w:rPr>
          <w:snapToGrid/>
          <w:sz w:val="26"/>
          <w:szCs w:val="26"/>
          <w:lang w:val="en"/>
        </w:rPr>
        <w:t xml:space="preserve">Since the Israeli occupation aggression on </w:t>
      </w:r>
      <w:r w:rsidRPr="007D60C5">
        <w:rPr>
          <w:snapToGrid/>
          <w:sz w:val="26"/>
          <w:szCs w:val="26"/>
        </w:rPr>
        <w:t>October 7</w:t>
      </w:r>
      <w:r w:rsidRPr="007D60C5">
        <w:rPr>
          <w:snapToGrid/>
          <w:sz w:val="26"/>
          <w:szCs w:val="26"/>
          <w:vertAlign w:val="superscript"/>
        </w:rPr>
        <w:t>th</w:t>
      </w:r>
      <w:r w:rsidRPr="007D60C5">
        <w:rPr>
          <w:snapToGrid/>
          <w:sz w:val="26"/>
          <w:szCs w:val="26"/>
          <w:lang w:val="en"/>
        </w:rPr>
        <w:t xml:space="preserve">, </w:t>
      </w:r>
      <w:r w:rsidRPr="007D60C5">
        <w:rPr>
          <w:rFonts w:hint="cs"/>
          <w:snapToGrid/>
          <w:sz w:val="26"/>
          <w:szCs w:val="26"/>
          <w:rtl/>
          <w:lang w:val="en"/>
        </w:rPr>
        <w:t>2023</w:t>
      </w:r>
      <w:r w:rsidRPr="007D60C5">
        <w:rPr>
          <w:snapToGrid/>
          <w:sz w:val="26"/>
          <w:szCs w:val="26"/>
          <w:lang w:val="en"/>
        </w:rPr>
        <w:t xml:space="preserve">, more than 41 thousand Palestinians have been martyred, constituting 1.8% of the total population of Gaza Strip, </w:t>
      </w:r>
      <w:r w:rsidR="00064174" w:rsidRPr="007D60C5">
        <w:rPr>
          <w:snapToGrid/>
          <w:sz w:val="26"/>
          <w:szCs w:val="26"/>
          <w:lang w:val="en"/>
        </w:rPr>
        <w:t xml:space="preserve">where </w:t>
      </w:r>
      <w:r w:rsidRPr="007D60C5">
        <w:rPr>
          <w:snapToGrid/>
          <w:sz w:val="26"/>
          <w:szCs w:val="26"/>
          <w:lang w:val="en"/>
        </w:rPr>
        <w:t xml:space="preserve">about </w:t>
      </w:r>
      <w:r w:rsidR="008A1E9E" w:rsidRPr="007D60C5">
        <w:rPr>
          <w:rFonts w:hint="cs"/>
          <w:snapToGrid/>
          <w:sz w:val="26"/>
          <w:szCs w:val="26"/>
          <w:rtl/>
          <w:lang w:val="en"/>
        </w:rPr>
        <w:t>7</w:t>
      </w:r>
      <w:r w:rsidRPr="007D60C5">
        <w:rPr>
          <w:snapToGrid/>
          <w:sz w:val="26"/>
          <w:szCs w:val="26"/>
        </w:rPr>
        <w:t xml:space="preserve">% </w:t>
      </w:r>
      <w:r w:rsidR="00064174" w:rsidRPr="007D60C5">
        <w:rPr>
          <w:snapToGrid/>
          <w:sz w:val="26"/>
          <w:szCs w:val="26"/>
        </w:rPr>
        <w:t xml:space="preserve">of them </w:t>
      </w:r>
      <w:r w:rsidRPr="007D60C5">
        <w:rPr>
          <w:snapToGrid/>
          <w:sz w:val="26"/>
          <w:szCs w:val="26"/>
          <w:lang w:val="en"/>
        </w:rPr>
        <w:t>were</w:t>
      </w:r>
      <w:r w:rsidRPr="007D60C5">
        <w:rPr>
          <w:sz w:val="26"/>
          <w:szCs w:val="26"/>
        </w:rPr>
        <w:t xml:space="preserve"> </w:t>
      </w:r>
      <w:r w:rsidRPr="007D60C5">
        <w:rPr>
          <w:snapToGrid/>
          <w:sz w:val="26"/>
          <w:szCs w:val="26"/>
          <w:lang w:val="en"/>
        </w:rPr>
        <w:t xml:space="preserve">elderly </w:t>
      </w:r>
      <w:r w:rsidR="00064174" w:rsidRPr="007D60C5">
        <w:rPr>
          <w:snapToGrid/>
          <w:sz w:val="26"/>
          <w:szCs w:val="26"/>
          <w:lang w:val="en"/>
        </w:rPr>
        <w:t>(</w:t>
      </w:r>
      <w:r w:rsidRPr="007D60C5">
        <w:rPr>
          <w:sz w:val="26"/>
          <w:szCs w:val="26"/>
        </w:rPr>
        <w:t>aged 60 years and above</w:t>
      </w:r>
      <w:r w:rsidR="00064174" w:rsidRPr="007D60C5">
        <w:rPr>
          <w:sz w:val="26"/>
          <w:szCs w:val="26"/>
        </w:rPr>
        <w:t>).</w:t>
      </w:r>
      <w:r w:rsidRPr="007D60C5">
        <w:rPr>
          <w:sz w:val="26"/>
          <w:szCs w:val="26"/>
        </w:rPr>
        <w:t xml:space="preserve"> </w:t>
      </w:r>
      <w:r w:rsidRPr="007D60C5">
        <w:rPr>
          <w:snapToGrid/>
          <w:sz w:val="26"/>
          <w:szCs w:val="26"/>
          <w:lang w:val="en"/>
        </w:rPr>
        <w:t xml:space="preserve">Several thousand Palestinians have also left Gaza Strip since the beginning of the aggression. </w:t>
      </w:r>
      <w:r w:rsidRPr="007D60C5">
        <w:rPr>
          <w:snapToGrid/>
          <w:sz w:val="26"/>
          <w:szCs w:val="26"/>
        </w:rPr>
        <w:t xml:space="preserve">The number of martyrs who </w:t>
      </w:r>
      <w:r w:rsidR="00064174" w:rsidRPr="007D60C5">
        <w:rPr>
          <w:snapToGrid/>
          <w:sz w:val="26"/>
          <w:szCs w:val="26"/>
        </w:rPr>
        <w:t xml:space="preserve">died of </w:t>
      </w:r>
      <w:r w:rsidRPr="007D60C5">
        <w:rPr>
          <w:snapToGrid/>
          <w:sz w:val="26"/>
          <w:szCs w:val="26"/>
        </w:rPr>
        <w:t xml:space="preserve">famine reached 36 martyrs, and there are about 3,500 children at </w:t>
      </w:r>
      <w:r w:rsidR="00064174" w:rsidRPr="007D60C5">
        <w:rPr>
          <w:snapToGrid/>
          <w:sz w:val="26"/>
          <w:szCs w:val="26"/>
        </w:rPr>
        <w:t xml:space="preserve">the </w:t>
      </w:r>
      <w:r w:rsidRPr="007D60C5">
        <w:rPr>
          <w:snapToGrid/>
          <w:sz w:val="26"/>
          <w:szCs w:val="26"/>
        </w:rPr>
        <w:t>risk of death due to malnutrition and lack of food</w:t>
      </w:r>
      <w:r w:rsidR="00E2253F" w:rsidRPr="007D60C5">
        <w:rPr>
          <w:snapToGrid/>
          <w:sz w:val="26"/>
          <w:szCs w:val="26"/>
        </w:rPr>
        <w:t>.</w:t>
      </w:r>
      <w:r w:rsidR="00E2253F" w:rsidRPr="007D60C5">
        <w:rPr>
          <w:rFonts w:hint="cs"/>
          <w:snapToGrid/>
          <w:sz w:val="26"/>
          <w:szCs w:val="26"/>
          <w:rtl/>
        </w:rPr>
        <w:t xml:space="preserve"> </w:t>
      </w:r>
      <w:r w:rsidRPr="007D60C5">
        <w:rPr>
          <w:snapToGrid/>
          <w:sz w:val="26"/>
          <w:szCs w:val="26"/>
          <w:lang w:val="en"/>
        </w:rPr>
        <w:t xml:space="preserve">While the number of the injured reached more than </w:t>
      </w:r>
      <w:r w:rsidR="008A1E9E" w:rsidRPr="007D60C5">
        <w:rPr>
          <w:rFonts w:hint="cs"/>
          <w:snapToGrid/>
          <w:sz w:val="26"/>
          <w:szCs w:val="26"/>
          <w:rtl/>
          <w:lang w:val="en"/>
        </w:rPr>
        <w:t>100</w:t>
      </w:r>
      <w:r w:rsidRPr="007D60C5">
        <w:rPr>
          <w:snapToGrid/>
          <w:sz w:val="26"/>
          <w:szCs w:val="26"/>
          <w:lang w:val="en"/>
        </w:rPr>
        <w:t xml:space="preserve"> thousand, 70% of whom were women and children, in addition to about </w:t>
      </w:r>
      <w:r w:rsidRPr="007D60C5">
        <w:rPr>
          <w:rFonts w:hint="cs"/>
          <w:snapToGrid/>
          <w:sz w:val="26"/>
          <w:szCs w:val="26"/>
          <w:rtl/>
          <w:lang w:val="en"/>
        </w:rPr>
        <w:t>10</w:t>
      </w:r>
      <w:r w:rsidRPr="007D60C5">
        <w:rPr>
          <w:snapToGrid/>
          <w:sz w:val="26"/>
          <w:szCs w:val="26"/>
          <w:lang w:val="en"/>
        </w:rPr>
        <w:t xml:space="preserve"> thousand missing persons. </w:t>
      </w:r>
      <w:r w:rsidR="000E3190" w:rsidRPr="007D60C5">
        <w:rPr>
          <w:snapToGrid/>
          <w:sz w:val="26"/>
          <w:szCs w:val="26"/>
          <w:lang w:val="en"/>
        </w:rPr>
        <w:t xml:space="preserve">Moreover, </w:t>
      </w:r>
      <w:r w:rsidRPr="007D60C5">
        <w:rPr>
          <w:snapToGrid/>
          <w:sz w:val="26"/>
          <w:szCs w:val="26"/>
          <w:lang w:val="en"/>
        </w:rPr>
        <w:t>the number of martyrs in the West Bank reached 703 martyrs</w:t>
      </w:r>
      <w:r w:rsidRPr="007D60C5">
        <w:rPr>
          <w:rFonts w:hint="cs"/>
          <w:snapToGrid/>
          <w:sz w:val="26"/>
          <w:szCs w:val="26"/>
          <w:rtl/>
          <w:lang w:val="en"/>
        </w:rPr>
        <w:t>,</w:t>
      </w:r>
      <w:r w:rsidRPr="007D60C5">
        <w:rPr>
          <w:snapToGrid/>
          <w:sz w:val="26"/>
          <w:szCs w:val="26"/>
          <w:lang w:eastAsia="ar-SA"/>
        </w:rPr>
        <w:t xml:space="preserve"> </w:t>
      </w:r>
      <w:r w:rsidRPr="007D60C5">
        <w:rPr>
          <w:snapToGrid/>
          <w:sz w:val="26"/>
          <w:szCs w:val="26"/>
          <w:lang w:val="en"/>
        </w:rPr>
        <w:t>of them about 1.3</w:t>
      </w:r>
      <w:r w:rsidRPr="007D60C5">
        <w:rPr>
          <w:snapToGrid/>
          <w:sz w:val="26"/>
          <w:szCs w:val="26"/>
        </w:rPr>
        <w:t xml:space="preserve">% </w:t>
      </w:r>
      <w:r w:rsidRPr="007D60C5">
        <w:rPr>
          <w:snapToGrid/>
          <w:sz w:val="26"/>
          <w:szCs w:val="26"/>
          <w:lang w:val="en"/>
        </w:rPr>
        <w:t>martyrs were</w:t>
      </w:r>
      <w:r w:rsidRPr="007D60C5">
        <w:rPr>
          <w:sz w:val="26"/>
          <w:szCs w:val="26"/>
        </w:rPr>
        <w:t xml:space="preserve"> </w:t>
      </w:r>
      <w:r w:rsidRPr="007D60C5">
        <w:rPr>
          <w:snapToGrid/>
          <w:sz w:val="26"/>
          <w:szCs w:val="26"/>
          <w:lang w:val="en"/>
        </w:rPr>
        <w:t xml:space="preserve">elderly </w:t>
      </w:r>
      <w:r w:rsidR="00E2253F" w:rsidRPr="007D60C5">
        <w:rPr>
          <w:snapToGrid/>
          <w:sz w:val="26"/>
          <w:szCs w:val="26"/>
          <w:lang w:val="en"/>
        </w:rPr>
        <w:t>(</w:t>
      </w:r>
      <w:r w:rsidRPr="007D60C5">
        <w:rPr>
          <w:sz w:val="26"/>
          <w:szCs w:val="26"/>
        </w:rPr>
        <w:t>aged 60 years and above</w:t>
      </w:r>
      <w:r w:rsidR="00E2253F" w:rsidRPr="007D60C5">
        <w:rPr>
          <w:sz w:val="26"/>
          <w:szCs w:val="26"/>
        </w:rPr>
        <w:t>)</w:t>
      </w:r>
      <w:r w:rsidRPr="007D60C5">
        <w:rPr>
          <w:snapToGrid/>
          <w:sz w:val="26"/>
          <w:szCs w:val="26"/>
          <w:lang w:val="en"/>
        </w:rPr>
        <w:t xml:space="preserve">, </w:t>
      </w:r>
      <w:r w:rsidR="00335C67" w:rsidRPr="007D60C5">
        <w:rPr>
          <w:snapToGrid/>
          <w:sz w:val="26"/>
          <w:szCs w:val="26"/>
          <w:lang w:val="en"/>
        </w:rPr>
        <w:t xml:space="preserve">while </w:t>
      </w:r>
      <w:r w:rsidRPr="007D60C5">
        <w:rPr>
          <w:snapToGrid/>
          <w:sz w:val="26"/>
          <w:szCs w:val="26"/>
          <w:lang w:val="en"/>
        </w:rPr>
        <w:t>the percentage of martyrs under the age of 30 reached about 75%.</w:t>
      </w:r>
    </w:p>
    <w:p w14:paraId="324D1E09" w14:textId="77777777" w:rsidR="00244378" w:rsidRPr="007D60C5" w:rsidRDefault="00244378" w:rsidP="00244378">
      <w:pPr>
        <w:bidi w:val="0"/>
        <w:jc w:val="center"/>
        <w:rPr>
          <w:b/>
          <w:bCs/>
          <w:sz w:val="26"/>
          <w:szCs w:val="26"/>
        </w:rPr>
      </w:pPr>
    </w:p>
    <w:p w14:paraId="0C91D28D" w14:textId="77777777" w:rsidR="000C081F" w:rsidRPr="007D60C5" w:rsidRDefault="000C081F" w:rsidP="00C70306">
      <w:pPr>
        <w:bidi w:val="0"/>
        <w:rPr>
          <w:b/>
          <w:bCs/>
          <w:sz w:val="26"/>
          <w:szCs w:val="26"/>
        </w:rPr>
      </w:pPr>
      <w:r w:rsidRPr="007D60C5">
        <w:rPr>
          <w:b/>
          <w:bCs/>
          <w:sz w:val="26"/>
          <w:szCs w:val="26"/>
        </w:rPr>
        <w:t>About 76% of the elderly in Palestine suffer from chronic diseases</w:t>
      </w:r>
    </w:p>
    <w:p w14:paraId="5147181B" w14:textId="3D4FA5BA" w:rsidR="000C081F" w:rsidRPr="007D60C5" w:rsidRDefault="000C081F" w:rsidP="00554A5E">
      <w:pPr>
        <w:bidi w:val="0"/>
        <w:jc w:val="both"/>
        <w:rPr>
          <w:sz w:val="26"/>
          <w:szCs w:val="26"/>
        </w:rPr>
      </w:pPr>
      <w:r w:rsidRPr="007D60C5">
        <w:rPr>
          <w:sz w:val="26"/>
          <w:szCs w:val="26"/>
        </w:rPr>
        <w:t xml:space="preserve">In 2023, data prior to the </w:t>
      </w:r>
      <w:r w:rsidR="000E3190" w:rsidRPr="007D60C5">
        <w:rPr>
          <w:sz w:val="26"/>
          <w:szCs w:val="26"/>
        </w:rPr>
        <w:t xml:space="preserve">Israeli </w:t>
      </w:r>
      <w:r w:rsidRPr="007D60C5">
        <w:rPr>
          <w:sz w:val="26"/>
          <w:szCs w:val="26"/>
        </w:rPr>
        <w:t>aggression on Gaza Strip showed that about 76% of the elderly in Palestine suffer from chronic diseases, with around 75% in West Bank and 78% in Gaza Strip. The percentage of those suffering from chronic diseases reached approximately 70% among males and 82% among females.</w:t>
      </w:r>
    </w:p>
    <w:p w14:paraId="2F749615" w14:textId="77777777" w:rsidR="000C081F" w:rsidRPr="007D60C5" w:rsidRDefault="000C081F" w:rsidP="000C081F">
      <w:pPr>
        <w:bidi w:val="0"/>
        <w:jc w:val="both"/>
        <w:rPr>
          <w:sz w:val="26"/>
          <w:szCs w:val="26"/>
        </w:rPr>
      </w:pPr>
    </w:p>
    <w:p w14:paraId="26AE680A" w14:textId="06A5CDA1" w:rsidR="000C081F" w:rsidRDefault="000C081F" w:rsidP="00335C67">
      <w:pPr>
        <w:bidi w:val="0"/>
        <w:jc w:val="both"/>
        <w:rPr>
          <w:sz w:val="26"/>
          <w:szCs w:val="26"/>
        </w:rPr>
      </w:pPr>
      <w:r w:rsidRPr="007D60C5">
        <w:rPr>
          <w:sz w:val="26"/>
          <w:szCs w:val="26"/>
        </w:rPr>
        <w:t xml:space="preserve">The elderly with chronic diseases and the </w:t>
      </w:r>
      <w:r w:rsidR="00335C67" w:rsidRPr="007D60C5">
        <w:rPr>
          <w:sz w:val="26"/>
          <w:szCs w:val="26"/>
        </w:rPr>
        <w:t xml:space="preserve">injured </w:t>
      </w:r>
      <w:r w:rsidRPr="007D60C5">
        <w:rPr>
          <w:sz w:val="26"/>
          <w:szCs w:val="26"/>
        </w:rPr>
        <w:t xml:space="preserve">in Gaza Strip are among the most affected groups due to the Israeli aggression. They face significant challenges that could lead to a deterioration in their health because of the </w:t>
      </w:r>
      <w:r w:rsidR="00A30B53" w:rsidRPr="007D60C5">
        <w:rPr>
          <w:sz w:val="26"/>
          <w:szCs w:val="26"/>
        </w:rPr>
        <w:t>cut off</w:t>
      </w:r>
      <w:r w:rsidRPr="007D60C5">
        <w:rPr>
          <w:sz w:val="26"/>
          <w:szCs w:val="26"/>
        </w:rPr>
        <w:t xml:space="preserve"> medications and healthcare services, as well as the difficulty in accessing hospitals and care centers, especially with many facilities destroyed or out of service. According to data from the Emergency Medical Teams Coordination Cell (EMTCC) and the World Health Organization, around 58,915 patients with chronic diseases are at risk of their conditions worsening. The total number of required medical evacuations reached 14,469 cases, including 2,497 elderly </w:t>
      </w:r>
      <w:r w:rsidR="002F484C" w:rsidRPr="007D60C5">
        <w:rPr>
          <w:sz w:val="26"/>
          <w:szCs w:val="26"/>
        </w:rPr>
        <w:t>(</w:t>
      </w:r>
      <w:r w:rsidRPr="007D60C5">
        <w:rPr>
          <w:sz w:val="26"/>
          <w:szCs w:val="26"/>
        </w:rPr>
        <w:t xml:space="preserve">aged 60 and </w:t>
      </w:r>
      <w:r w:rsidR="00A30B53" w:rsidRPr="007D60C5">
        <w:rPr>
          <w:sz w:val="26"/>
          <w:szCs w:val="26"/>
        </w:rPr>
        <w:t>above</w:t>
      </w:r>
      <w:r w:rsidR="002F484C" w:rsidRPr="007D60C5">
        <w:rPr>
          <w:sz w:val="26"/>
          <w:szCs w:val="26"/>
        </w:rPr>
        <w:t>)</w:t>
      </w:r>
      <w:r w:rsidRPr="007D60C5">
        <w:rPr>
          <w:sz w:val="26"/>
          <w:szCs w:val="26"/>
        </w:rPr>
        <w:t>, which includes 1,380 cancer patients and 126 kidney patients, as of September 8</w:t>
      </w:r>
      <w:r w:rsidR="002F484C" w:rsidRPr="007D60C5">
        <w:rPr>
          <w:sz w:val="26"/>
          <w:szCs w:val="26"/>
          <w:vertAlign w:val="superscript"/>
        </w:rPr>
        <w:t>th</w:t>
      </w:r>
      <w:r w:rsidRPr="007D60C5">
        <w:rPr>
          <w:sz w:val="26"/>
          <w:szCs w:val="26"/>
        </w:rPr>
        <w:t>, 2024.</w:t>
      </w:r>
    </w:p>
    <w:p w14:paraId="21CE3E0E" w14:textId="648D6645" w:rsidR="00CA4B98" w:rsidRDefault="00CA4B98" w:rsidP="00CA4B98">
      <w:pPr>
        <w:bidi w:val="0"/>
        <w:jc w:val="both"/>
        <w:rPr>
          <w:sz w:val="26"/>
          <w:szCs w:val="26"/>
        </w:rPr>
      </w:pPr>
    </w:p>
    <w:p w14:paraId="1F99455A" w14:textId="77777777" w:rsidR="00CA4B98" w:rsidRPr="007D60C5" w:rsidRDefault="00CA4B98" w:rsidP="00CA4B98">
      <w:pPr>
        <w:bidi w:val="0"/>
        <w:jc w:val="both"/>
        <w:rPr>
          <w:sz w:val="26"/>
          <w:szCs w:val="26"/>
        </w:rPr>
      </w:pPr>
    </w:p>
    <w:p w14:paraId="49545B5D" w14:textId="77777777" w:rsidR="00E70A98" w:rsidRPr="007D60C5" w:rsidRDefault="00E70A98" w:rsidP="00752133">
      <w:pPr>
        <w:bidi w:val="0"/>
        <w:jc w:val="both"/>
        <w:rPr>
          <w:sz w:val="26"/>
          <w:szCs w:val="26"/>
          <w:rtl/>
        </w:rPr>
      </w:pPr>
    </w:p>
    <w:p w14:paraId="4441D4F4" w14:textId="77777777" w:rsidR="001F37E0" w:rsidRPr="007D60C5" w:rsidRDefault="001F37E0" w:rsidP="00C70306">
      <w:pPr>
        <w:pStyle w:val="Header"/>
        <w:bidi w:val="0"/>
        <w:rPr>
          <w:rFonts w:cs="Simplified Arabic"/>
          <w:b/>
          <w:bCs/>
          <w:snapToGrid/>
          <w:sz w:val="26"/>
          <w:szCs w:val="26"/>
        </w:rPr>
      </w:pPr>
      <w:r w:rsidRPr="007D60C5">
        <w:rPr>
          <w:rFonts w:cs="Simplified Arabic"/>
          <w:b/>
          <w:bCs/>
          <w:sz w:val="26"/>
          <w:szCs w:val="26"/>
        </w:rPr>
        <w:lastRenderedPageBreak/>
        <w:t>18% of the Elderly in Palestine Hold an Intermediate Diploma and Higher</w:t>
      </w:r>
    </w:p>
    <w:p w14:paraId="2C936A23" w14:textId="77777777" w:rsidR="001F37E0" w:rsidRPr="007D60C5" w:rsidRDefault="001F37E0" w:rsidP="001F37E0">
      <w:pPr>
        <w:bidi w:val="0"/>
        <w:jc w:val="both"/>
        <w:rPr>
          <w:sz w:val="26"/>
          <w:szCs w:val="26"/>
          <w:rtl/>
        </w:rPr>
      </w:pPr>
      <w:r w:rsidRPr="007D60C5">
        <w:rPr>
          <w:sz w:val="26"/>
          <w:szCs w:val="26"/>
        </w:rPr>
        <w:t>About 29% of the elderly did not complete any educational stage; 18% among males and 39% among females, whereas the percentage of the elderly who completed intermediate diploma degree and higher did not exceed 18% in 2023.</w:t>
      </w:r>
    </w:p>
    <w:p w14:paraId="2E5B7DDC" w14:textId="77777777" w:rsidR="001F37E0" w:rsidRPr="007D60C5" w:rsidRDefault="001F37E0" w:rsidP="001F37E0">
      <w:pPr>
        <w:bidi w:val="0"/>
        <w:jc w:val="both"/>
        <w:rPr>
          <w:sz w:val="26"/>
          <w:szCs w:val="26"/>
        </w:rPr>
      </w:pPr>
    </w:p>
    <w:p w14:paraId="06F81CCB" w14:textId="61DA0B18" w:rsidR="001F37E0" w:rsidRPr="007D60C5" w:rsidRDefault="001F37E0" w:rsidP="00105F7B">
      <w:pPr>
        <w:bidi w:val="0"/>
        <w:jc w:val="both"/>
        <w:rPr>
          <w:sz w:val="26"/>
          <w:szCs w:val="26"/>
        </w:rPr>
      </w:pPr>
      <w:r w:rsidRPr="007D60C5">
        <w:rPr>
          <w:sz w:val="26"/>
          <w:szCs w:val="26"/>
        </w:rPr>
        <w:t>Educational status data for 2023 showed that there is a marked difference in percentage between males and females regarding educational attainment levels. In a sense, the percentage of the male elderly who obtained intermediate diploma and higher in Palestine reached 26% compared to 11% of the female elderly. Also, the percentage of individuals aged 18 years and above who obtained intermediate diploma and higher reached 26% of the total population aged 18 years and above in Palestine (23% among males and 29% among females).</w:t>
      </w:r>
    </w:p>
    <w:p w14:paraId="7775503D" w14:textId="77777777" w:rsidR="001F37E0" w:rsidRPr="007D60C5" w:rsidRDefault="001F37E0" w:rsidP="001F37E0">
      <w:pPr>
        <w:bidi w:val="0"/>
        <w:jc w:val="both"/>
        <w:rPr>
          <w:sz w:val="26"/>
          <w:szCs w:val="26"/>
        </w:rPr>
      </w:pPr>
    </w:p>
    <w:p w14:paraId="6A9432B6" w14:textId="25701887" w:rsidR="001F37E0" w:rsidRPr="007D60C5" w:rsidRDefault="001F37E0" w:rsidP="00347B29">
      <w:pPr>
        <w:bidi w:val="0"/>
        <w:jc w:val="both"/>
        <w:rPr>
          <w:sz w:val="26"/>
          <w:szCs w:val="26"/>
          <w:rtl/>
        </w:rPr>
      </w:pPr>
      <w:r w:rsidRPr="007D60C5">
        <w:rPr>
          <w:sz w:val="26"/>
          <w:szCs w:val="26"/>
        </w:rPr>
        <w:t xml:space="preserve">By region, </w:t>
      </w:r>
      <w:r w:rsidR="00105F7B" w:rsidRPr="007D60C5">
        <w:rPr>
          <w:sz w:val="26"/>
          <w:szCs w:val="26"/>
        </w:rPr>
        <w:t xml:space="preserve">about </w:t>
      </w:r>
      <w:r w:rsidRPr="007D60C5">
        <w:rPr>
          <w:sz w:val="26"/>
          <w:szCs w:val="26"/>
        </w:rPr>
        <w:t xml:space="preserve">32% of the elderly in the West Bank did not complete any educational stage </w:t>
      </w:r>
      <w:r w:rsidR="00347B29" w:rsidRPr="007D60C5">
        <w:rPr>
          <w:sz w:val="26"/>
          <w:szCs w:val="26"/>
        </w:rPr>
        <w:t xml:space="preserve">compared </w:t>
      </w:r>
      <w:r w:rsidRPr="007D60C5">
        <w:rPr>
          <w:sz w:val="26"/>
          <w:szCs w:val="26"/>
        </w:rPr>
        <w:t xml:space="preserve">with 22% in Gaza Strip. Whereas the percentage of the elderly who completed intermediate diploma degree and higher was about 18% in </w:t>
      </w:r>
      <w:r w:rsidR="00105F7B" w:rsidRPr="007D60C5">
        <w:rPr>
          <w:sz w:val="26"/>
          <w:szCs w:val="26"/>
        </w:rPr>
        <w:t xml:space="preserve">both the </w:t>
      </w:r>
      <w:r w:rsidRPr="007D60C5">
        <w:rPr>
          <w:sz w:val="26"/>
          <w:szCs w:val="26"/>
        </w:rPr>
        <w:t>West Bank and Gaza Strip in 2023.</w:t>
      </w:r>
    </w:p>
    <w:p w14:paraId="526A6860" w14:textId="77777777" w:rsidR="00A1135F" w:rsidRPr="007D60C5" w:rsidRDefault="00A1135F" w:rsidP="00A1135F">
      <w:pPr>
        <w:bidi w:val="0"/>
        <w:jc w:val="both"/>
        <w:rPr>
          <w:sz w:val="26"/>
          <w:szCs w:val="26"/>
        </w:rPr>
      </w:pPr>
    </w:p>
    <w:p w14:paraId="5E596ED8" w14:textId="2C5C22BB" w:rsidR="00E9017F" w:rsidRPr="007D60C5" w:rsidRDefault="00E9017F" w:rsidP="00C70306">
      <w:pPr>
        <w:tabs>
          <w:tab w:val="center" w:pos="4320"/>
          <w:tab w:val="right" w:pos="8640"/>
        </w:tabs>
        <w:bidi w:val="0"/>
        <w:rPr>
          <w:rFonts w:cs="Simplified Arabic"/>
          <w:b/>
          <w:bCs/>
          <w:sz w:val="26"/>
          <w:szCs w:val="26"/>
          <w:vertAlign w:val="superscript"/>
        </w:rPr>
      </w:pPr>
      <w:r w:rsidRPr="007D60C5">
        <w:rPr>
          <w:rFonts w:cs="Simplified Arabic"/>
          <w:b/>
          <w:bCs/>
          <w:sz w:val="26"/>
          <w:szCs w:val="26"/>
        </w:rPr>
        <w:t>Variation in Participation Rates of the Elderly in Labour Market in the West Bank and Gaza Strip</w:t>
      </w:r>
    </w:p>
    <w:p w14:paraId="27FE47B6" w14:textId="17CFF808" w:rsidR="00A93D5B" w:rsidRPr="007D60C5" w:rsidRDefault="00E9017F" w:rsidP="00397697">
      <w:pPr>
        <w:bidi w:val="0"/>
        <w:jc w:val="both"/>
        <w:rPr>
          <w:sz w:val="26"/>
          <w:szCs w:val="26"/>
        </w:rPr>
      </w:pPr>
      <w:r w:rsidRPr="007D60C5">
        <w:rPr>
          <w:sz w:val="26"/>
          <w:szCs w:val="26"/>
        </w:rPr>
        <w:t xml:space="preserve">Data showed that the participation rate of the elderly in labour force during </w:t>
      </w:r>
      <w:r w:rsidRPr="007D60C5">
        <w:rPr>
          <w:rFonts w:hint="cs"/>
          <w:sz w:val="26"/>
          <w:szCs w:val="26"/>
          <w:rtl/>
        </w:rPr>
        <w:t>202</w:t>
      </w:r>
      <w:r w:rsidRPr="007D60C5">
        <w:rPr>
          <w:sz w:val="26"/>
          <w:szCs w:val="26"/>
        </w:rPr>
        <w:t xml:space="preserve">3 was </w:t>
      </w:r>
      <w:r w:rsidR="00941C1B" w:rsidRPr="007D60C5">
        <w:rPr>
          <w:sz w:val="26"/>
          <w:szCs w:val="26"/>
        </w:rPr>
        <w:t>19</w:t>
      </w:r>
      <w:r w:rsidRPr="007D60C5">
        <w:rPr>
          <w:sz w:val="26"/>
          <w:szCs w:val="26"/>
        </w:rPr>
        <w:t>% in the West Bank (</w:t>
      </w:r>
      <w:r w:rsidR="00941C1B" w:rsidRPr="007D60C5">
        <w:rPr>
          <w:sz w:val="26"/>
          <w:szCs w:val="26"/>
        </w:rPr>
        <w:t>35</w:t>
      </w:r>
      <w:r w:rsidRPr="007D60C5">
        <w:rPr>
          <w:sz w:val="26"/>
          <w:szCs w:val="26"/>
        </w:rPr>
        <w:t>% for males and 4% for females), compared with 5% in Gaza Strip</w:t>
      </w:r>
      <w:r w:rsidR="00105F7B" w:rsidRPr="007D60C5">
        <w:rPr>
          <w:sz w:val="26"/>
          <w:szCs w:val="26"/>
        </w:rPr>
        <w:t xml:space="preserve"> </w:t>
      </w:r>
      <w:r w:rsidRPr="007D60C5">
        <w:rPr>
          <w:sz w:val="26"/>
          <w:szCs w:val="26"/>
        </w:rPr>
        <w:t>(</w:t>
      </w:r>
      <w:r w:rsidR="00941C1B" w:rsidRPr="007D60C5">
        <w:rPr>
          <w:sz w:val="26"/>
          <w:szCs w:val="26"/>
        </w:rPr>
        <w:t>9</w:t>
      </w:r>
      <w:r w:rsidRPr="007D60C5">
        <w:rPr>
          <w:sz w:val="26"/>
          <w:szCs w:val="26"/>
        </w:rPr>
        <w:t>% for males and 0.8% for females).</w:t>
      </w:r>
    </w:p>
    <w:p w14:paraId="6111D287" w14:textId="77777777" w:rsidR="00554A5E" w:rsidRDefault="00554A5E" w:rsidP="00554A5E">
      <w:pPr>
        <w:bidi w:val="0"/>
        <w:jc w:val="both"/>
        <w:rPr>
          <w:sz w:val="24"/>
          <w:szCs w:val="24"/>
        </w:rPr>
      </w:pPr>
    </w:p>
    <w:p w14:paraId="03C674D7" w14:textId="77777777" w:rsidR="00554A5E" w:rsidRDefault="00554A5E" w:rsidP="00554A5E">
      <w:pPr>
        <w:bidi w:val="0"/>
        <w:jc w:val="both"/>
        <w:rPr>
          <w:sz w:val="24"/>
          <w:szCs w:val="24"/>
        </w:rPr>
      </w:pPr>
    </w:p>
    <w:p w14:paraId="6F7D0FE1" w14:textId="77777777" w:rsidR="00554A5E" w:rsidRDefault="00554A5E" w:rsidP="00554A5E">
      <w:pPr>
        <w:bidi w:val="0"/>
        <w:jc w:val="both"/>
        <w:rPr>
          <w:sz w:val="24"/>
          <w:szCs w:val="24"/>
        </w:rPr>
      </w:pPr>
    </w:p>
    <w:p w14:paraId="2BD71849" w14:textId="77777777" w:rsidR="00554A5E" w:rsidRDefault="00554A5E" w:rsidP="00554A5E">
      <w:pPr>
        <w:bidi w:val="0"/>
        <w:jc w:val="both"/>
        <w:rPr>
          <w:sz w:val="24"/>
          <w:szCs w:val="24"/>
        </w:rPr>
      </w:pPr>
      <w:bookmarkStart w:id="0" w:name="_GoBack"/>
      <w:bookmarkEnd w:id="0"/>
    </w:p>
    <w:sectPr w:rsidR="00554A5E" w:rsidSect="007D60C5">
      <w:footerReference w:type="even" r:id="rId10"/>
      <w:footerReference w:type="default" r:id="rId11"/>
      <w:endnotePr>
        <w:numFmt w:val="lowerLetter"/>
      </w:endnotePr>
      <w:pgSz w:w="11907" w:h="16839" w:code="9"/>
      <w:pgMar w:top="1134" w:right="1134" w:bottom="1134" w:left="1134"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5F8F" w14:textId="77777777" w:rsidR="009604C0" w:rsidRDefault="009604C0">
      <w:r>
        <w:separator/>
      </w:r>
    </w:p>
  </w:endnote>
  <w:endnote w:type="continuationSeparator" w:id="0">
    <w:p w14:paraId="52074A62" w14:textId="77777777" w:rsidR="009604C0" w:rsidRDefault="0096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FD38" w14:textId="77777777" w:rsidR="00435C12" w:rsidRDefault="00E655BA">
    <w:pPr>
      <w:pStyle w:val="Footer"/>
      <w:framePr w:wrap="around" w:vAnchor="text" w:hAnchor="margin" w:xAlign="right" w:y="1"/>
      <w:rPr>
        <w:rStyle w:val="PageNumber"/>
        <w:rtl/>
      </w:rPr>
    </w:pPr>
    <w:r>
      <w:rPr>
        <w:rStyle w:val="PageNumber"/>
        <w:rtl/>
      </w:rPr>
      <w:fldChar w:fldCharType="begin"/>
    </w:r>
    <w:r w:rsidR="00435C12">
      <w:rPr>
        <w:rStyle w:val="PageNumber"/>
      </w:rPr>
      <w:instrText xml:space="preserve">PAGE  </w:instrText>
    </w:r>
    <w:r>
      <w:rPr>
        <w:rStyle w:val="PageNumber"/>
        <w:rtl/>
      </w:rPr>
      <w:fldChar w:fldCharType="end"/>
    </w:r>
  </w:p>
  <w:p w14:paraId="15752949" w14:textId="77777777" w:rsidR="00435C12" w:rsidRDefault="00435C12">
    <w:pPr>
      <w:pStyle w:val="Footer"/>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98B7" w14:textId="78E6EA8F" w:rsidR="00435C12" w:rsidRDefault="00E655BA">
    <w:pPr>
      <w:pStyle w:val="Footer"/>
      <w:framePr w:wrap="around" w:vAnchor="text" w:hAnchor="margin" w:xAlign="right" w:y="1"/>
      <w:jc w:val="center"/>
      <w:rPr>
        <w:rStyle w:val="PageNumber"/>
        <w:rtl/>
      </w:rPr>
    </w:pPr>
    <w:r>
      <w:rPr>
        <w:rStyle w:val="PageNumber"/>
        <w:rtl/>
      </w:rPr>
      <w:fldChar w:fldCharType="begin"/>
    </w:r>
    <w:r w:rsidR="00435C12">
      <w:rPr>
        <w:rStyle w:val="PageNumber"/>
      </w:rPr>
      <w:instrText xml:space="preserve">PAGE  </w:instrText>
    </w:r>
    <w:r>
      <w:rPr>
        <w:rStyle w:val="PageNumber"/>
        <w:rtl/>
      </w:rPr>
      <w:fldChar w:fldCharType="separate"/>
    </w:r>
    <w:r w:rsidR="00CA4B98">
      <w:rPr>
        <w:rStyle w:val="PageNumber"/>
        <w:noProof/>
        <w:rtl/>
      </w:rPr>
      <w:t>3</w:t>
    </w:r>
    <w:r>
      <w:rPr>
        <w:rStyle w:val="PageNumber"/>
        <w:rtl/>
      </w:rPr>
      <w:fldChar w:fldCharType="end"/>
    </w:r>
  </w:p>
  <w:p w14:paraId="24297D33" w14:textId="77777777" w:rsidR="00435C12" w:rsidRDefault="00435C12">
    <w:pPr>
      <w:pStyle w:val="Footer"/>
      <w:framePr w:wrap="around" w:vAnchor="text" w:hAnchor="margin" w:xAlign="right" w:y="1"/>
      <w:rPr>
        <w:rStyle w:val="PageNumber"/>
        <w:rtl/>
      </w:rPr>
    </w:pPr>
  </w:p>
  <w:p w14:paraId="66B4C366" w14:textId="77777777" w:rsidR="00435C12" w:rsidRDefault="00435C12">
    <w:pPr>
      <w:pStyle w:val="Footer"/>
      <w:bidi w:val="0"/>
      <w:ind w:right="360"/>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3C94" w14:textId="77777777" w:rsidR="009604C0" w:rsidRDefault="009604C0">
      <w:r>
        <w:separator/>
      </w:r>
    </w:p>
  </w:footnote>
  <w:footnote w:type="continuationSeparator" w:id="0">
    <w:p w14:paraId="02CFDEA0" w14:textId="77777777" w:rsidR="009604C0" w:rsidRDefault="00960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15:restartNumberingAfterBreak="0">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15:restartNumberingAfterBreak="0">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15:restartNumberingAfterBreak="0">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15:restartNumberingAfterBreak="0">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15:restartNumberingAfterBreak="0">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59"/>
    <w:rsid w:val="00001F90"/>
    <w:rsid w:val="00002B13"/>
    <w:rsid w:val="00007F89"/>
    <w:rsid w:val="00012638"/>
    <w:rsid w:val="000163B7"/>
    <w:rsid w:val="00016D35"/>
    <w:rsid w:val="0002257F"/>
    <w:rsid w:val="00023F81"/>
    <w:rsid w:val="0003108C"/>
    <w:rsid w:val="00031730"/>
    <w:rsid w:val="00033E54"/>
    <w:rsid w:val="00034FBA"/>
    <w:rsid w:val="0004092E"/>
    <w:rsid w:val="00041018"/>
    <w:rsid w:val="0004213B"/>
    <w:rsid w:val="0004275D"/>
    <w:rsid w:val="000470E7"/>
    <w:rsid w:val="0004768D"/>
    <w:rsid w:val="00052B87"/>
    <w:rsid w:val="000534BD"/>
    <w:rsid w:val="00056876"/>
    <w:rsid w:val="00060276"/>
    <w:rsid w:val="00060C6E"/>
    <w:rsid w:val="00062A92"/>
    <w:rsid w:val="00064174"/>
    <w:rsid w:val="00066567"/>
    <w:rsid w:val="000700B6"/>
    <w:rsid w:val="0007469E"/>
    <w:rsid w:val="000747EC"/>
    <w:rsid w:val="000763A9"/>
    <w:rsid w:val="00081F9B"/>
    <w:rsid w:val="00082235"/>
    <w:rsid w:val="000845A4"/>
    <w:rsid w:val="000866A6"/>
    <w:rsid w:val="000866EB"/>
    <w:rsid w:val="000876BC"/>
    <w:rsid w:val="00090BEB"/>
    <w:rsid w:val="00091600"/>
    <w:rsid w:val="0009297A"/>
    <w:rsid w:val="00093465"/>
    <w:rsid w:val="00094A07"/>
    <w:rsid w:val="000957E2"/>
    <w:rsid w:val="000A1905"/>
    <w:rsid w:val="000A43B5"/>
    <w:rsid w:val="000A5895"/>
    <w:rsid w:val="000A711C"/>
    <w:rsid w:val="000A7E8D"/>
    <w:rsid w:val="000C081F"/>
    <w:rsid w:val="000C26D5"/>
    <w:rsid w:val="000C6D1A"/>
    <w:rsid w:val="000C7173"/>
    <w:rsid w:val="000D240E"/>
    <w:rsid w:val="000D5834"/>
    <w:rsid w:val="000D6923"/>
    <w:rsid w:val="000D796A"/>
    <w:rsid w:val="000E3190"/>
    <w:rsid w:val="000E3F2C"/>
    <w:rsid w:val="000E70C7"/>
    <w:rsid w:val="000E7233"/>
    <w:rsid w:val="000E7B45"/>
    <w:rsid w:val="000F1176"/>
    <w:rsid w:val="000F270F"/>
    <w:rsid w:val="000F32D9"/>
    <w:rsid w:val="0010204B"/>
    <w:rsid w:val="00105F7B"/>
    <w:rsid w:val="001061B1"/>
    <w:rsid w:val="0010693D"/>
    <w:rsid w:val="00107AEE"/>
    <w:rsid w:val="00107EA3"/>
    <w:rsid w:val="001143F8"/>
    <w:rsid w:val="00115474"/>
    <w:rsid w:val="00116725"/>
    <w:rsid w:val="00117253"/>
    <w:rsid w:val="0011737F"/>
    <w:rsid w:val="001241C3"/>
    <w:rsid w:val="00125490"/>
    <w:rsid w:val="00127D81"/>
    <w:rsid w:val="00132060"/>
    <w:rsid w:val="001349CB"/>
    <w:rsid w:val="00135625"/>
    <w:rsid w:val="001377F7"/>
    <w:rsid w:val="00140865"/>
    <w:rsid w:val="00143533"/>
    <w:rsid w:val="0014438C"/>
    <w:rsid w:val="00146FA7"/>
    <w:rsid w:val="00147D9E"/>
    <w:rsid w:val="00154E12"/>
    <w:rsid w:val="0015709A"/>
    <w:rsid w:val="00157959"/>
    <w:rsid w:val="00161F1D"/>
    <w:rsid w:val="00163BD1"/>
    <w:rsid w:val="00166CE2"/>
    <w:rsid w:val="00167B19"/>
    <w:rsid w:val="001759C3"/>
    <w:rsid w:val="00176500"/>
    <w:rsid w:val="00176AE4"/>
    <w:rsid w:val="001779A4"/>
    <w:rsid w:val="001779C1"/>
    <w:rsid w:val="00182A02"/>
    <w:rsid w:val="00184FC3"/>
    <w:rsid w:val="001908C0"/>
    <w:rsid w:val="00192E8E"/>
    <w:rsid w:val="00193494"/>
    <w:rsid w:val="00193D63"/>
    <w:rsid w:val="00196640"/>
    <w:rsid w:val="00196B5B"/>
    <w:rsid w:val="001A2587"/>
    <w:rsid w:val="001B1062"/>
    <w:rsid w:val="001B2126"/>
    <w:rsid w:val="001B2201"/>
    <w:rsid w:val="001B7C43"/>
    <w:rsid w:val="001C33EF"/>
    <w:rsid w:val="001C44A6"/>
    <w:rsid w:val="001C47EF"/>
    <w:rsid w:val="001C4D0A"/>
    <w:rsid w:val="001D0BF1"/>
    <w:rsid w:val="001D52C6"/>
    <w:rsid w:val="001D63C6"/>
    <w:rsid w:val="001E750A"/>
    <w:rsid w:val="001F0993"/>
    <w:rsid w:val="001F37E0"/>
    <w:rsid w:val="001F7C51"/>
    <w:rsid w:val="0020023B"/>
    <w:rsid w:val="002021AC"/>
    <w:rsid w:val="002057D9"/>
    <w:rsid w:val="0021041D"/>
    <w:rsid w:val="00210F2D"/>
    <w:rsid w:val="00214BCF"/>
    <w:rsid w:val="00217054"/>
    <w:rsid w:val="00222DAE"/>
    <w:rsid w:val="00223929"/>
    <w:rsid w:val="002249D4"/>
    <w:rsid w:val="0022753F"/>
    <w:rsid w:val="00227601"/>
    <w:rsid w:val="00230470"/>
    <w:rsid w:val="00231111"/>
    <w:rsid w:val="00231AB4"/>
    <w:rsid w:val="002327D3"/>
    <w:rsid w:val="0023386B"/>
    <w:rsid w:val="002347F8"/>
    <w:rsid w:val="00235465"/>
    <w:rsid w:val="00235D55"/>
    <w:rsid w:val="00244378"/>
    <w:rsid w:val="00250D29"/>
    <w:rsid w:val="002539AF"/>
    <w:rsid w:val="00254BB9"/>
    <w:rsid w:val="00255D87"/>
    <w:rsid w:val="002613BD"/>
    <w:rsid w:val="00261556"/>
    <w:rsid w:val="00261995"/>
    <w:rsid w:val="00264465"/>
    <w:rsid w:val="00267916"/>
    <w:rsid w:val="002727CD"/>
    <w:rsid w:val="002770C9"/>
    <w:rsid w:val="00277666"/>
    <w:rsid w:val="00280507"/>
    <w:rsid w:val="002841A8"/>
    <w:rsid w:val="00292795"/>
    <w:rsid w:val="00295815"/>
    <w:rsid w:val="002A01F4"/>
    <w:rsid w:val="002A1B70"/>
    <w:rsid w:val="002A3ACC"/>
    <w:rsid w:val="002A6B72"/>
    <w:rsid w:val="002B3230"/>
    <w:rsid w:val="002B4F57"/>
    <w:rsid w:val="002B59BE"/>
    <w:rsid w:val="002B7DE9"/>
    <w:rsid w:val="002C14CA"/>
    <w:rsid w:val="002C1BF5"/>
    <w:rsid w:val="002C54C3"/>
    <w:rsid w:val="002D387D"/>
    <w:rsid w:val="002E4411"/>
    <w:rsid w:val="002E7EBD"/>
    <w:rsid w:val="002F0A15"/>
    <w:rsid w:val="002F0EED"/>
    <w:rsid w:val="002F2B81"/>
    <w:rsid w:val="002F397C"/>
    <w:rsid w:val="002F40D3"/>
    <w:rsid w:val="002F484C"/>
    <w:rsid w:val="003025DA"/>
    <w:rsid w:val="003046AC"/>
    <w:rsid w:val="00322376"/>
    <w:rsid w:val="00326301"/>
    <w:rsid w:val="00330B6C"/>
    <w:rsid w:val="00331A00"/>
    <w:rsid w:val="00334BD1"/>
    <w:rsid w:val="00334C02"/>
    <w:rsid w:val="00335A71"/>
    <w:rsid w:val="00335C67"/>
    <w:rsid w:val="00340074"/>
    <w:rsid w:val="00342175"/>
    <w:rsid w:val="00347895"/>
    <w:rsid w:val="00347B29"/>
    <w:rsid w:val="00353BC8"/>
    <w:rsid w:val="00356F70"/>
    <w:rsid w:val="00365B34"/>
    <w:rsid w:val="00372986"/>
    <w:rsid w:val="00375463"/>
    <w:rsid w:val="00377E3E"/>
    <w:rsid w:val="00382EA3"/>
    <w:rsid w:val="00386D11"/>
    <w:rsid w:val="00387038"/>
    <w:rsid w:val="00390C10"/>
    <w:rsid w:val="00393D2B"/>
    <w:rsid w:val="00397697"/>
    <w:rsid w:val="00397A16"/>
    <w:rsid w:val="00397CA4"/>
    <w:rsid w:val="003B0949"/>
    <w:rsid w:val="003C1CAC"/>
    <w:rsid w:val="003C58F6"/>
    <w:rsid w:val="003C60E9"/>
    <w:rsid w:val="003D3B30"/>
    <w:rsid w:val="003D4C5D"/>
    <w:rsid w:val="003E52A4"/>
    <w:rsid w:val="003F3678"/>
    <w:rsid w:val="003F368E"/>
    <w:rsid w:val="003F47EB"/>
    <w:rsid w:val="003F50BA"/>
    <w:rsid w:val="00405B87"/>
    <w:rsid w:val="00412FC3"/>
    <w:rsid w:val="00413AE2"/>
    <w:rsid w:val="004144A2"/>
    <w:rsid w:val="00420660"/>
    <w:rsid w:val="00420CE1"/>
    <w:rsid w:val="00420CF2"/>
    <w:rsid w:val="00423C96"/>
    <w:rsid w:val="00427CF2"/>
    <w:rsid w:val="00427E56"/>
    <w:rsid w:val="00430D34"/>
    <w:rsid w:val="00433957"/>
    <w:rsid w:val="00435C12"/>
    <w:rsid w:val="00436BEB"/>
    <w:rsid w:val="00440DF1"/>
    <w:rsid w:val="004418F4"/>
    <w:rsid w:val="00441BFD"/>
    <w:rsid w:val="0044339A"/>
    <w:rsid w:val="004444FA"/>
    <w:rsid w:val="0044501C"/>
    <w:rsid w:val="00445C24"/>
    <w:rsid w:val="004476D3"/>
    <w:rsid w:val="0044773D"/>
    <w:rsid w:val="00450848"/>
    <w:rsid w:val="0045114F"/>
    <w:rsid w:val="004549FD"/>
    <w:rsid w:val="004552F2"/>
    <w:rsid w:val="00457F93"/>
    <w:rsid w:val="00457FB1"/>
    <w:rsid w:val="0046137E"/>
    <w:rsid w:val="00461C2E"/>
    <w:rsid w:val="00470CC3"/>
    <w:rsid w:val="00470E19"/>
    <w:rsid w:val="004719AE"/>
    <w:rsid w:val="004746AC"/>
    <w:rsid w:val="0047787F"/>
    <w:rsid w:val="004814D8"/>
    <w:rsid w:val="00483679"/>
    <w:rsid w:val="00484C69"/>
    <w:rsid w:val="004858D6"/>
    <w:rsid w:val="00491F6E"/>
    <w:rsid w:val="004927C1"/>
    <w:rsid w:val="0049317C"/>
    <w:rsid w:val="004932DD"/>
    <w:rsid w:val="004961FD"/>
    <w:rsid w:val="004A15FF"/>
    <w:rsid w:val="004B61F7"/>
    <w:rsid w:val="004B720D"/>
    <w:rsid w:val="004C1253"/>
    <w:rsid w:val="004C2746"/>
    <w:rsid w:val="004C3D09"/>
    <w:rsid w:val="004C594D"/>
    <w:rsid w:val="004C598D"/>
    <w:rsid w:val="004C7D9D"/>
    <w:rsid w:val="004D0A29"/>
    <w:rsid w:val="004D119E"/>
    <w:rsid w:val="004D300B"/>
    <w:rsid w:val="004E1FF6"/>
    <w:rsid w:val="004E5BB0"/>
    <w:rsid w:val="004F0290"/>
    <w:rsid w:val="004F1D5A"/>
    <w:rsid w:val="004F2F17"/>
    <w:rsid w:val="004F4EF7"/>
    <w:rsid w:val="004F58BE"/>
    <w:rsid w:val="004F639A"/>
    <w:rsid w:val="0050565C"/>
    <w:rsid w:val="005057E1"/>
    <w:rsid w:val="00507CC9"/>
    <w:rsid w:val="00510C71"/>
    <w:rsid w:val="005175B7"/>
    <w:rsid w:val="00521D47"/>
    <w:rsid w:val="005228B5"/>
    <w:rsid w:val="005230E2"/>
    <w:rsid w:val="00524237"/>
    <w:rsid w:val="00524435"/>
    <w:rsid w:val="00526CDA"/>
    <w:rsid w:val="00534CC1"/>
    <w:rsid w:val="00536E15"/>
    <w:rsid w:val="00541CF1"/>
    <w:rsid w:val="00543EFA"/>
    <w:rsid w:val="005463A3"/>
    <w:rsid w:val="00546CB4"/>
    <w:rsid w:val="00551A9C"/>
    <w:rsid w:val="00551C60"/>
    <w:rsid w:val="005526D3"/>
    <w:rsid w:val="0055397C"/>
    <w:rsid w:val="00553BE7"/>
    <w:rsid w:val="00554A5E"/>
    <w:rsid w:val="00555A47"/>
    <w:rsid w:val="00556A72"/>
    <w:rsid w:val="00560B55"/>
    <w:rsid w:val="005642EC"/>
    <w:rsid w:val="005643D3"/>
    <w:rsid w:val="00564CBB"/>
    <w:rsid w:val="00564D94"/>
    <w:rsid w:val="00567F07"/>
    <w:rsid w:val="00573883"/>
    <w:rsid w:val="00573BD9"/>
    <w:rsid w:val="005747E6"/>
    <w:rsid w:val="00575E12"/>
    <w:rsid w:val="005816F7"/>
    <w:rsid w:val="00581B55"/>
    <w:rsid w:val="00581CD8"/>
    <w:rsid w:val="00584802"/>
    <w:rsid w:val="00585378"/>
    <w:rsid w:val="00586164"/>
    <w:rsid w:val="0059172F"/>
    <w:rsid w:val="00591FD6"/>
    <w:rsid w:val="0059574B"/>
    <w:rsid w:val="005969B2"/>
    <w:rsid w:val="005A403F"/>
    <w:rsid w:val="005A56FA"/>
    <w:rsid w:val="005A5AAD"/>
    <w:rsid w:val="005A69E5"/>
    <w:rsid w:val="005B3BCB"/>
    <w:rsid w:val="005B4454"/>
    <w:rsid w:val="005B6011"/>
    <w:rsid w:val="005C0EF8"/>
    <w:rsid w:val="005C1683"/>
    <w:rsid w:val="005D29AF"/>
    <w:rsid w:val="005D787A"/>
    <w:rsid w:val="005E12E4"/>
    <w:rsid w:val="005E2DFD"/>
    <w:rsid w:val="005E7C88"/>
    <w:rsid w:val="005F4D3B"/>
    <w:rsid w:val="005F530A"/>
    <w:rsid w:val="005F65FD"/>
    <w:rsid w:val="0060479E"/>
    <w:rsid w:val="00605AA8"/>
    <w:rsid w:val="00605F08"/>
    <w:rsid w:val="006122A3"/>
    <w:rsid w:val="00612DB7"/>
    <w:rsid w:val="006203E9"/>
    <w:rsid w:val="006209C8"/>
    <w:rsid w:val="00621A1F"/>
    <w:rsid w:val="00621CAC"/>
    <w:rsid w:val="00622F3A"/>
    <w:rsid w:val="00625D62"/>
    <w:rsid w:val="00627EEE"/>
    <w:rsid w:val="00632B8B"/>
    <w:rsid w:val="00633C5A"/>
    <w:rsid w:val="00637AD9"/>
    <w:rsid w:val="00637BDF"/>
    <w:rsid w:val="00643A3E"/>
    <w:rsid w:val="0064669F"/>
    <w:rsid w:val="006507D1"/>
    <w:rsid w:val="00651ECC"/>
    <w:rsid w:val="00654EB1"/>
    <w:rsid w:val="00655028"/>
    <w:rsid w:val="006554DB"/>
    <w:rsid w:val="00660489"/>
    <w:rsid w:val="00662D79"/>
    <w:rsid w:val="0067048C"/>
    <w:rsid w:val="00670D83"/>
    <w:rsid w:val="0067170B"/>
    <w:rsid w:val="006718BA"/>
    <w:rsid w:val="00672AB9"/>
    <w:rsid w:val="00673C1B"/>
    <w:rsid w:val="00676088"/>
    <w:rsid w:val="006853F2"/>
    <w:rsid w:val="006856AB"/>
    <w:rsid w:val="00685BDE"/>
    <w:rsid w:val="00685E43"/>
    <w:rsid w:val="00691678"/>
    <w:rsid w:val="00692CA4"/>
    <w:rsid w:val="00693A9F"/>
    <w:rsid w:val="00696AD2"/>
    <w:rsid w:val="00697399"/>
    <w:rsid w:val="006A5979"/>
    <w:rsid w:val="006A615A"/>
    <w:rsid w:val="006B1D55"/>
    <w:rsid w:val="006B2282"/>
    <w:rsid w:val="006B27A1"/>
    <w:rsid w:val="006B4624"/>
    <w:rsid w:val="006C1433"/>
    <w:rsid w:val="006C3F3F"/>
    <w:rsid w:val="006C6465"/>
    <w:rsid w:val="006D18AB"/>
    <w:rsid w:val="006D1E7E"/>
    <w:rsid w:val="006E1B42"/>
    <w:rsid w:val="006E1D05"/>
    <w:rsid w:val="006E20BE"/>
    <w:rsid w:val="006E2184"/>
    <w:rsid w:val="006E3E11"/>
    <w:rsid w:val="006E719F"/>
    <w:rsid w:val="006E78F0"/>
    <w:rsid w:val="006F1CEC"/>
    <w:rsid w:val="006F4E0C"/>
    <w:rsid w:val="006F5229"/>
    <w:rsid w:val="006F6886"/>
    <w:rsid w:val="00704A58"/>
    <w:rsid w:val="00707199"/>
    <w:rsid w:val="0070725A"/>
    <w:rsid w:val="007131F7"/>
    <w:rsid w:val="00720E00"/>
    <w:rsid w:val="007222BB"/>
    <w:rsid w:val="007235AA"/>
    <w:rsid w:val="007247EC"/>
    <w:rsid w:val="00733580"/>
    <w:rsid w:val="00735917"/>
    <w:rsid w:val="00736D7C"/>
    <w:rsid w:val="00737E63"/>
    <w:rsid w:val="0074293A"/>
    <w:rsid w:val="007436F5"/>
    <w:rsid w:val="0074446A"/>
    <w:rsid w:val="00744C4B"/>
    <w:rsid w:val="00744E0E"/>
    <w:rsid w:val="00752133"/>
    <w:rsid w:val="007524F9"/>
    <w:rsid w:val="007527D0"/>
    <w:rsid w:val="00754FB9"/>
    <w:rsid w:val="00757313"/>
    <w:rsid w:val="00775613"/>
    <w:rsid w:val="00775F6F"/>
    <w:rsid w:val="0077697F"/>
    <w:rsid w:val="00776D77"/>
    <w:rsid w:val="00785DA9"/>
    <w:rsid w:val="00785EBA"/>
    <w:rsid w:val="00786E54"/>
    <w:rsid w:val="007A47CF"/>
    <w:rsid w:val="007A4CC2"/>
    <w:rsid w:val="007A5774"/>
    <w:rsid w:val="007A5BEF"/>
    <w:rsid w:val="007B23BB"/>
    <w:rsid w:val="007B28D0"/>
    <w:rsid w:val="007B5FA5"/>
    <w:rsid w:val="007C4B79"/>
    <w:rsid w:val="007D5A14"/>
    <w:rsid w:val="007D60C5"/>
    <w:rsid w:val="007D78B8"/>
    <w:rsid w:val="007D7BCC"/>
    <w:rsid w:val="007E5B85"/>
    <w:rsid w:val="007F1EE8"/>
    <w:rsid w:val="00800693"/>
    <w:rsid w:val="00803F0E"/>
    <w:rsid w:val="0081743C"/>
    <w:rsid w:val="00820DBD"/>
    <w:rsid w:val="0082164F"/>
    <w:rsid w:val="00822B7C"/>
    <w:rsid w:val="00824FA2"/>
    <w:rsid w:val="0082531B"/>
    <w:rsid w:val="00825A09"/>
    <w:rsid w:val="00833687"/>
    <w:rsid w:val="00833B3C"/>
    <w:rsid w:val="00835E31"/>
    <w:rsid w:val="00835FAE"/>
    <w:rsid w:val="008370B9"/>
    <w:rsid w:val="00842DC9"/>
    <w:rsid w:val="00843149"/>
    <w:rsid w:val="008460DA"/>
    <w:rsid w:val="008467E9"/>
    <w:rsid w:val="00847884"/>
    <w:rsid w:val="00855D62"/>
    <w:rsid w:val="00862B69"/>
    <w:rsid w:val="00864001"/>
    <w:rsid w:val="00864CC9"/>
    <w:rsid w:val="00871246"/>
    <w:rsid w:val="00876422"/>
    <w:rsid w:val="0088382C"/>
    <w:rsid w:val="0088712F"/>
    <w:rsid w:val="008906DA"/>
    <w:rsid w:val="008921AB"/>
    <w:rsid w:val="008947BB"/>
    <w:rsid w:val="008A1E9E"/>
    <w:rsid w:val="008A206E"/>
    <w:rsid w:val="008A273F"/>
    <w:rsid w:val="008A2C81"/>
    <w:rsid w:val="008A3131"/>
    <w:rsid w:val="008A4FB3"/>
    <w:rsid w:val="008A5817"/>
    <w:rsid w:val="008B1083"/>
    <w:rsid w:val="008B170A"/>
    <w:rsid w:val="008B32B3"/>
    <w:rsid w:val="008C0F1B"/>
    <w:rsid w:val="008C198B"/>
    <w:rsid w:val="008C2EEA"/>
    <w:rsid w:val="008C2F6F"/>
    <w:rsid w:val="008C5AE1"/>
    <w:rsid w:val="008C6A74"/>
    <w:rsid w:val="008D2BEB"/>
    <w:rsid w:val="008D44F8"/>
    <w:rsid w:val="008D5781"/>
    <w:rsid w:val="008E28D5"/>
    <w:rsid w:val="008E313B"/>
    <w:rsid w:val="008E3415"/>
    <w:rsid w:val="008E3770"/>
    <w:rsid w:val="008E79DD"/>
    <w:rsid w:val="008E7C75"/>
    <w:rsid w:val="008F0F08"/>
    <w:rsid w:val="008F0F4D"/>
    <w:rsid w:val="008F1918"/>
    <w:rsid w:val="009001B1"/>
    <w:rsid w:val="0090370A"/>
    <w:rsid w:val="009063F9"/>
    <w:rsid w:val="0091047A"/>
    <w:rsid w:val="00910721"/>
    <w:rsid w:val="00913D7B"/>
    <w:rsid w:val="00914F0B"/>
    <w:rsid w:val="00916DC7"/>
    <w:rsid w:val="00916EB7"/>
    <w:rsid w:val="00916FC9"/>
    <w:rsid w:val="00917088"/>
    <w:rsid w:val="0092274B"/>
    <w:rsid w:val="00927D22"/>
    <w:rsid w:val="00932489"/>
    <w:rsid w:val="0093264B"/>
    <w:rsid w:val="00936FA0"/>
    <w:rsid w:val="009403B7"/>
    <w:rsid w:val="009407DA"/>
    <w:rsid w:val="00940891"/>
    <w:rsid w:val="00941114"/>
    <w:rsid w:val="00941761"/>
    <w:rsid w:val="00941C1B"/>
    <w:rsid w:val="00942150"/>
    <w:rsid w:val="009434C2"/>
    <w:rsid w:val="00945A2E"/>
    <w:rsid w:val="00955856"/>
    <w:rsid w:val="00956F77"/>
    <w:rsid w:val="009604C0"/>
    <w:rsid w:val="00962308"/>
    <w:rsid w:val="00962413"/>
    <w:rsid w:val="009644CD"/>
    <w:rsid w:val="009659ED"/>
    <w:rsid w:val="009666EE"/>
    <w:rsid w:val="0097024A"/>
    <w:rsid w:val="00971A59"/>
    <w:rsid w:val="00971BAB"/>
    <w:rsid w:val="00982F10"/>
    <w:rsid w:val="00983391"/>
    <w:rsid w:val="00984A9D"/>
    <w:rsid w:val="009935B6"/>
    <w:rsid w:val="00995E0C"/>
    <w:rsid w:val="0099798B"/>
    <w:rsid w:val="009A6169"/>
    <w:rsid w:val="009A7A18"/>
    <w:rsid w:val="009B44EE"/>
    <w:rsid w:val="009B5221"/>
    <w:rsid w:val="009C1A3B"/>
    <w:rsid w:val="009C2925"/>
    <w:rsid w:val="009D5EA0"/>
    <w:rsid w:val="009D7093"/>
    <w:rsid w:val="009E4180"/>
    <w:rsid w:val="009E4A6B"/>
    <w:rsid w:val="009E5AD0"/>
    <w:rsid w:val="009E6B80"/>
    <w:rsid w:val="009E7304"/>
    <w:rsid w:val="009F1CD6"/>
    <w:rsid w:val="009F2AF0"/>
    <w:rsid w:val="009F2EAB"/>
    <w:rsid w:val="009F5B26"/>
    <w:rsid w:val="009F7257"/>
    <w:rsid w:val="009F78E0"/>
    <w:rsid w:val="00A000F8"/>
    <w:rsid w:val="00A07B01"/>
    <w:rsid w:val="00A1135F"/>
    <w:rsid w:val="00A156A6"/>
    <w:rsid w:val="00A233A4"/>
    <w:rsid w:val="00A252A8"/>
    <w:rsid w:val="00A27B5E"/>
    <w:rsid w:val="00A30B53"/>
    <w:rsid w:val="00A4079C"/>
    <w:rsid w:val="00A42060"/>
    <w:rsid w:val="00A46598"/>
    <w:rsid w:val="00A51C49"/>
    <w:rsid w:val="00A5716F"/>
    <w:rsid w:val="00A6271A"/>
    <w:rsid w:val="00A63899"/>
    <w:rsid w:val="00A67C9A"/>
    <w:rsid w:val="00A701D8"/>
    <w:rsid w:val="00A70200"/>
    <w:rsid w:val="00A74FC6"/>
    <w:rsid w:val="00A7653D"/>
    <w:rsid w:val="00A81623"/>
    <w:rsid w:val="00A81727"/>
    <w:rsid w:val="00A81C6B"/>
    <w:rsid w:val="00A90D90"/>
    <w:rsid w:val="00A9131F"/>
    <w:rsid w:val="00A9179A"/>
    <w:rsid w:val="00A92D4A"/>
    <w:rsid w:val="00A93D5B"/>
    <w:rsid w:val="00A94093"/>
    <w:rsid w:val="00A940B0"/>
    <w:rsid w:val="00A96EBF"/>
    <w:rsid w:val="00AA0E79"/>
    <w:rsid w:val="00AA219B"/>
    <w:rsid w:val="00AA7340"/>
    <w:rsid w:val="00AA7472"/>
    <w:rsid w:val="00AA74B0"/>
    <w:rsid w:val="00AB1881"/>
    <w:rsid w:val="00AB3DD0"/>
    <w:rsid w:val="00AB7467"/>
    <w:rsid w:val="00AC4F82"/>
    <w:rsid w:val="00AD0756"/>
    <w:rsid w:val="00AD11DD"/>
    <w:rsid w:val="00AD14DB"/>
    <w:rsid w:val="00AD1A6C"/>
    <w:rsid w:val="00AD2D38"/>
    <w:rsid w:val="00AD2F8F"/>
    <w:rsid w:val="00AD5FAB"/>
    <w:rsid w:val="00AD7383"/>
    <w:rsid w:val="00AD79C3"/>
    <w:rsid w:val="00AE05A1"/>
    <w:rsid w:val="00AE0950"/>
    <w:rsid w:val="00AE4199"/>
    <w:rsid w:val="00AE7E22"/>
    <w:rsid w:val="00AE7FA5"/>
    <w:rsid w:val="00AF2930"/>
    <w:rsid w:val="00AF520A"/>
    <w:rsid w:val="00AF5317"/>
    <w:rsid w:val="00B04510"/>
    <w:rsid w:val="00B107E4"/>
    <w:rsid w:val="00B110EE"/>
    <w:rsid w:val="00B12183"/>
    <w:rsid w:val="00B1437F"/>
    <w:rsid w:val="00B14692"/>
    <w:rsid w:val="00B1532B"/>
    <w:rsid w:val="00B16610"/>
    <w:rsid w:val="00B20933"/>
    <w:rsid w:val="00B2211F"/>
    <w:rsid w:val="00B23E99"/>
    <w:rsid w:val="00B2438D"/>
    <w:rsid w:val="00B2587C"/>
    <w:rsid w:val="00B30002"/>
    <w:rsid w:val="00B34438"/>
    <w:rsid w:val="00B355E7"/>
    <w:rsid w:val="00B35CE1"/>
    <w:rsid w:val="00B36B42"/>
    <w:rsid w:val="00B37826"/>
    <w:rsid w:val="00B42932"/>
    <w:rsid w:val="00B52B83"/>
    <w:rsid w:val="00B54B60"/>
    <w:rsid w:val="00B56377"/>
    <w:rsid w:val="00B57596"/>
    <w:rsid w:val="00B64C5B"/>
    <w:rsid w:val="00B6797B"/>
    <w:rsid w:val="00B704B5"/>
    <w:rsid w:val="00B7560D"/>
    <w:rsid w:val="00B76C32"/>
    <w:rsid w:val="00B80926"/>
    <w:rsid w:val="00B84BE8"/>
    <w:rsid w:val="00B90208"/>
    <w:rsid w:val="00B90598"/>
    <w:rsid w:val="00B90845"/>
    <w:rsid w:val="00B92FE6"/>
    <w:rsid w:val="00B94DE0"/>
    <w:rsid w:val="00B95127"/>
    <w:rsid w:val="00B958C2"/>
    <w:rsid w:val="00B979F1"/>
    <w:rsid w:val="00BA2999"/>
    <w:rsid w:val="00BA35F4"/>
    <w:rsid w:val="00BA52EC"/>
    <w:rsid w:val="00BA6338"/>
    <w:rsid w:val="00BA7147"/>
    <w:rsid w:val="00BA7494"/>
    <w:rsid w:val="00BB0F1E"/>
    <w:rsid w:val="00BB46FC"/>
    <w:rsid w:val="00BC0660"/>
    <w:rsid w:val="00BC1AD6"/>
    <w:rsid w:val="00BC497F"/>
    <w:rsid w:val="00BC563C"/>
    <w:rsid w:val="00BD018E"/>
    <w:rsid w:val="00BD24DB"/>
    <w:rsid w:val="00BD6024"/>
    <w:rsid w:val="00BE385F"/>
    <w:rsid w:val="00BF0403"/>
    <w:rsid w:val="00BF21D5"/>
    <w:rsid w:val="00BF4544"/>
    <w:rsid w:val="00BF5401"/>
    <w:rsid w:val="00BF69B7"/>
    <w:rsid w:val="00C0268C"/>
    <w:rsid w:val="00C03C5E"/>
    <w:rsid w:val="00C03DC9"/>
    <w:rsid w:val="00C05066"/>
    <w:rsid w:val="00C05492"/>
    <w:rsid w:val="00C07F13"/>
    <w:rsid w:val="00C101C6"/>
    <w:rsid w:val="00C102D0"/>
    <w:rsid w:val="00C1109B"/>
    <w:rsid w:val="00C1230A"/>
    <w:rsid w:val="00C14A2C"/>
    <w:rsid w:val="00C14CE4"/>
    <w:rsid w:val="00C162A0"/>
    <w:rsid w:val="00C1701C"/>
    <w:rsid w:val="00C1748B"/>
    <w:rsid w:val="00C2193F"/>
    <w:rsid w:val="00C25AA7"/>
    <w:rsid w:val="00C30D7B"/>
    <w:rsid w:val="00C32544"/>
    <w:rsid w:val="00C360E7"/>
    <w:rsid w:val="00C365B2"/>
    <w:rsid w:val="00C40D71"/>
    <w:rsid w:val="00C50173"/>
    <w:rsid w:val="00C5023E"/>
    <w:rsid w:val="00C50E42"/>
    <w:rsid w:val="00C5214B"/>
    <w:rsid w:val="00C56D4D"/>
    <w:rsid w:val="00C57FE0"/>
    <w:rsid w:val="00C61942"/>
    <w:rsid w:val="00C627A0"/>
    <w:rsid w:val="00C6645E"/>
    <w:rsid w:val="00C66CCD"/>
    <w:rsid w:val="00C676D0"/>
    <w:rsid w:val="00C70306"/>
    <w:rsid w:val="00C723D6"/>
    <w:rsid w:val="00C77653"/>
    <w:rsid w:val="00C80339"/>
    <w:rsid w:val="00C81610"/>
    <w:rsid w:val="00C82525"/>
    <w:rsid w:val="00C83671"/>
    <w:rsid w:val="00C938E3"/>
    <w:rsid w:val="00C945A9"/>
    <w:rsid w:val="00C960B5"/>
    <w:rsid w:val="00C96D31"/>
    <w:rsid w:val="00CA38B3"/>
    <w:rsid w:val="00CA4B98"/>
    <w:rsid w:val="00CB2288"/>
    <w:rsid w:val="00CB7516"/>
    <w:rsid w:val="00CC1513"/>
    <w:rsid w:val="00CC24A0"/>
    <w:rsid w:val="00CC4057"/>
    <w:rsid w:val="00CC4B37"/>
    <w:rsid w:val="00CD4B37"/>
    <w:rsid w:val="00CD6B52"/>
    <w:rsid w:val="00CD6E43"/>
    <w:rsid w:val="00CE3D07"/>
    <w:rsid w:val="00CF0CBB"/>
    <w:rsid w:val="00CF7027"/>
    <w:rsid w:val="00D0001F"/>
    <w:rsid w:val="00D032B7"/>
    <w:rsid w:val="00D0436B"/>
    <w:rsid w:val="00D140A9"/>
    <w:rsid w:val="00D200CA"/>
    <w:rsid w:val="00D23386"/>
    <w:rsid w:val="00D25F8C"/>
    <w:rsid w:val="00D2600E"/>
    <w:rsid w:val="00D26CDE"/>
    <w:rsid w:val="00D3173F"/>
    <w:rsid w:val="00D40C27"/>
    <w:rsid w:val="00D414CD"/>
    <w:rsid w:val="00D4250B"/>
    <w:rsid w:val="00D50A29"/>
    <w:rsid w:val="00D54D09"/>
    <w:rsid w:val="00D57D51"/>
    <w:rsid w:val="00D61C07"/>
    <w:rsid w:val="00D625E9"/>
    <w:rsid w:val="00D65D95"/>
    <w:rsid w:val="00D67A15"/>
    <w:rsid w:val="00D74B3A"/>
    <w:rsid w:val="00D82434"/>
    <w:rsid w:val="00D87203"/>
    <w:rsid w:val="00D92DE5"/>
    <w:rsid w:val="00D948E6"/>
    <w:rsid w:val="00D958A8"/>
    <w:rsid w:val="00DA1741"/>
    <w:rsid w:val="00DA679D"/>
    <w:rsid w:val="00DB1604"/>
    <w:rsid w:val="00DB31AA"/>
    <w:rsid w:val="00DB395C"/>
    <w:rsid w:val="00DB45E6"/>
    <w:rsid w:val="00DB4781"/>
    <w:rsid w:val="00DB48C7"/>
    <w:rsid w:val="00DC1265"/>
    <w:rsid w:val="00DC1444"/>
    <w:rsid w:val="00DC193B"/>
    <w:rsid w:val="00DC1FE6"/>
    <w:rsid w:val="00DC2FB1"/>
    <w:rsid w:val="00DC3089"/>
    <w:rsid w:val="00DC3DE2"/>
    <w:rsid w:val="00DC4114"/>
    <w:rsid w:val="00DC4417"/>
    <w:rsid w:val="00DC5BFC"/>
    <w:rsid w:val="00DC7E28"/>
    <w:rsid w:val="00DD4193"/>
    <w:rsid w:val="00DD4B5D"/>
    <w:rsid w:val="00DD4EF7"/>
    <w:rsid w:val="00DD6182"/>
    <w:rsid w:val="00DE0FA0"/>
    <w:rsid w:val="00DE1559"/>
    <w:rsid w:val="00DE64FB"/>
    <w:rsid w:val="00DF1371"/>
    <w:rsid w:val="00DF3355"/>
    <w:rsid w:val="00DF74C9"/>
    <w:rsid w:val="00DF7B30"/>
    <w:rsid w:val="00E01AA8"/>
    <w:rsid w:val="00E0488C"/>
    <w:rsid w:val="00E06C40"/>
    <w:rsid w:val="00E1002D"/>
    <w:rsid w:val="00E17B2B"/>
    <w:rsid w:val="00E20DAD"/>
    <w:rsid w:val="00E2253F"/>
    <w:rsid w:val="00E237AF"/>
    <w:rsid w:val="00E24520"/>
    <w:rsid w:val="00E30748"/>
    <w:rsid w:val="00E34C06"/>
    <w:rsid w:val="00E37B0D"/>
    <w:rsid w:val="00E40B16"/>
    <w:rsid w:val="00E42B8B"/>
    <w:rsid w:val="00E44FD0"/>
    <w:rsid w:val="00E461B3"/>
    <w:rsid w:val="00E55453"/>
    <w:rsid w:val="00E6271A"/>
    <w:rsid w:val="00E64155"/>
    <w:rsid w:val="00E655BA"/>
    <w:rsid w:val="00E7045B"/>
    <w:rsid w:val="00E70A98"/>
    <w:rsid w:val="00E73D80"/>
    <w:rsid w:val="00E75B77"/>
    <w:rsid w:val="00E84414"/>
    <w:rsid w:val="00E854D2"/>
    <w:rsid w:val="00E9017F"/>
    <w:rsid w:val="00E90929"/>
    <w:rsid w:val="00E929AC"/>
    <w:rsid w:val="00E937C6"/>
    <w:rsid w:val="00E942B1"/>
    <w:rsid w:val="00E94F17"/>
    <w:rsid w:val="00E97A71"/>
    <w:rsid w:val="00EA2B94"/>
    <w:rsid w:val="00EA55A3"/>
    <w:rsid w:val="00EA78A5"/>
    <w:rsid w:val="00EB27BD"/>
    <w:rsid w:val="00EB6152"/>
    <w:rsid w:val="00EC2EF5"/>
    <w:rsid w:val="00EC3D09"/>
    <w:rsid w:val="00EC4197"/>
    <w:rsid w:val="00EC7193"/>
    <w:rsid w:val="00EC7A69"/>
    <w:rsid w:val="00ED0A3B"/>
    <w:rsid w:val="00ED16FB"/>
    <w:rsid w:val="00ED286C"/>
    <w:rsid w:val="00ED30F4"/>
    <w:rsid w:val="00EE24DC"/>
    <w:rsid w:val="00EE3CB3"/>
    <w:rsid w:val="00EF74F3"/>
    <w:rsid w:val="00F01833"/>
    <w:rsid w:val="00F01AE9"/>
    <w:rsid w:val="00F12A26"/>
    <w:rsid w:val="00F13BA5"/>
    <w:rsid w:val="00F17003"/>
    <w:rsid w:val="00F227E7"/>
    <w:rsid w:val="00F23F3B"/>
    <w:rsid w:val="00F25E79"/>
    <w:rsid w:val="00F26648"/>
    <w:rsid w:val="00F305EF"/>
    <w:rsid w:val="00F3142B"/>
    <w:rsid w:val="00F36212"/>
    <w:rsid w:val="00F42B8C"/>
    <w:rsid w:val="00F42DAA"/>
    <w:rsid w:val="00F45646"/>
    <w:rsid w:val="00F45D92"/>
    <w:rsid w:val="00F46311"/>
    <w:rsid w:val="00F4723C"/>
    <w:rsid w:val="00F47EF8"/>
    <w:rsid w:val="00F5528A"/>
    <w:rsid w:val="00F55999"/>
    <w:rsid w:val="00F61636"/>
    <w:rsid w:val="00F62CE5"/>
    <w:rsid w:val="00F6408A"/>
    <w:rsid w:val="00F6414A"/>
    <w:rsid w:val="00F65636"/>
    <w:rsid w:val="00F67C72"/>
    <w:rsid w:val="00F75660"/>
    <w:rsid w:val="00F82AB4"/>
    <w:rsid w:val="00F84C26"/>
    <w:rsid w:val="00F85FF7"/>
    <w:rsid w:val="00F94FA9"/>
    <w:rsid w:val="00F957A7"/>
    <w:rsid w:val="00F96F99"/>
    <w:rsid w:val="00F975E3"/>
    <w:rsid w:val="00FA1390"/>
    <w:rsid w:val="00FA54A0"/>
    <w:rsid w:val="00FA5A47"/>
    <w:rsid w:val="00FB0A94"/>
    <w:rsid w:val="00FB1E23"/>
    <w:rsid w:val="00FB6376"/>
    <w:rsid w:val="00FB648B"/>
    <w:rsid w:val="00FC089B"/>
    <w:rsid w:val="00FC3250"/>
    <w:rsid w:val="00FC5079"/>
    <w:rsid w:val="00FC5A2A"/>
    <w:rsid w:val="00FE1278"/>
    <w:rsid w:val="00FE37CA"/>
    <w:rsid w:val="00FE3A3F"/>
    <w:rsid w:val="00FE7265"/>
    <w:rsid w:val="00FE7F1E"/>
    <w:rsid w:val="00FF1A72"/>
    <w:rsid w:val="00FF30CD"/>
    <w:rsid w:val="00FF681E"/>
    <w:rsid w:val="00FF7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4B089"/>
  <w15:docId w15:val="{6A2F81CE-B2AA-4F7D-B8CF-2141A39B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link w:val="HeaderChar"/>
    <w:uiPriority w:val="99"/>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link w:val="CommentTextChar"/>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link w:val="FootnoteTextChar"/>
    <w:semiHidden/>
    <w:rsid w:val="00862B69"/>
  </w:style>
  <w:style w:type="paragraph" w:styleId="HTMLAddress">
    <w:name w:val="HTML Address"/>
    <w:basedOn w:val="Normal"/>
    <w:semiHidden/>
    <w:rsid w:val="00862B69"/>
    <w:rPr>
      <w:i/>
      <w:iCs/>
    </w:rPr>
  </w:style>
  <w:style w:type="paragraph" w:styleId="HTMLPreformatted">
    <w:name w:val="HTML Preformatted"/>
    <w:basedOn w:val="Normal"/>
    <w:link w:val="HTMLPreformattedChar"/>
    <w:uiPriority w:val="99"/>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tabs>
        <w:tab w:val="clear" w:pos="1440"/>
        <w:tab w:val="num" w:pos="720"/>
      </w:tabs>
      <w:ind w:left="720"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rsid w:val="003F3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semiHidden/>
    <w:rsid w:val="000F32D9"/>
    <w:rPr>
      <w:rFonts w:cs="Times New Roman"/>
      <w:snapToGrid w:val="0"/>
    </w:rPr>
  </w:style>
  <w:style w:type="character" w:styleId="CommentReference">
    <w:name w:val="annotation reference"/>
    <w:basedOn w:val="DefaultParagraphFont"/>
    <w:uiPriority w:val="99"/>
    <w:semiHidden/>
    <w:unhideWhenUsed/>
    <w:rsid w:val="00AF520A"/>
    <w:rPr>
      <w:sz w:val="16"/>
      <w:szCs w:val="16"/>
    </w:rPr>
  </w:style>
  <w:style w:type="paragraph" w:styleId="CommentSubject">
    <w:name w:val="annotation subject"/>
    <w:basedOn w:val="CommentText"/>
    <w:next w:val="CommentText"/>
    <w:link w:val="CommentSubjectChar"/>
    <w:uiPriority w:val="99"/>
    <w:semiHidden/>
    <w:unhideWhenUsed/>
    <w:rsid w:val="00AF520A"/>
    <w:rPr>
      <w:b/>
      <w:bCs/>
    </w:rPr>
  </w:style>
  <w:style w:type="character" w:customStyle="1" w:styleId="CommentTextChar">
    <w:name w:val="Comment Text Char"/>
    <w:basedOn w:val="DefaultParagraphFont"/>
    <w:link w:val="CommentText"/>
    <w:semiHidden/>
    <w:rsid w:val="00AF520A"/>
    <w:rPr>
      <w:rFonts w:cs="Times New Roman"/>
      <w:snapToGrid w:val="0"/>
    </w:rPr>
  </w:style>
  <w:style w:type="character" w:customStyle="1" w:styleId="CommentSubjectChar">
    <w:name w:val="Comment Subject Char"/>
    <w:basedOn w:val="CommentTextChar"/>
    <w:link w:val="CommentSubject"/>
    <w:rsid w:val="00AF520A"/>
    <w:rPr>
      <w:rFonts w:cs="Times New Roman"/>
      <w:snapToGrid w:val="0"/>
    </w:rPr>
  </w:style>
  <w:style w:type="character" w:customStyle="1" w:styleId="HeaderChar">
    <w:name w:val="Header Char"/>
    <w:basedOn w:val="DefaultParagraphFont"/>
    <w:link w:val="Header"/>
    <w:uiPriority w:val="99"/>
    <w:rsid w:val="00E20DAD"/>
    <w:rPr>
      <w:rFonts w:cs="Times New Roman"/>
      <w:snapToGrid w:val="0"/>
    </w:rPr>
  </w:style>
  <w:style w:type="character" w:customStyle="1" w:styleId="tlid-translation">
    <w:name w:val="tlid-translation"/>
    <w:basedOn w:val="DefaultParagraphFont"/>
    <w:rsid w:val="00AE7FA5"/>
  </w:style>
  <w:style w:type="character" w:customStyle="1" w:styleId="HTMLPreformattedChar">
    <w:name w:val="HTML Preformatted Char"/>
    <w:basedOn w:val="DefaultParagraphFont"/>
    <w:link w:val="HTMLPreformatted"/>
    <w:uiPriority w:val="99"/>
    <w:semiHidden/>
    <w:rsid w:val="006E3E11"/>
    <w:rPr>
      <w:rFonts w:ascii="Courier New" w:hAnsi="Courier New" w:cs="Courier New"/>
      <w:snapToGrid w:val="0"/>
    </w:rPr>
  </w:style>
  <w:style w:type="character" w:customStyle="1" w:styleId="y2iqfc">
    <w:name w:val="y2iqfc"/>
    <w:basedOn w:val="DefaultParagraphFont"/>
    <w:rsid w:val="006E3E11"/>
  </w:style>
  <w:style w:type="character" w:styleId="EndnoteReference">
    <w:name w:val="endnote reference"/>
    <w:basedOn w:val="DefaultParagraphFont"/>
    <w:uiPriority w:val="99"/>
    <w:semiHidden/>
    <w:unhideWhenUsed/>
    <w:rsid w:val="00D82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4567">
      <w:bodyDiv w:val="1"/>
      <w:marLeft w:val="0"/>
      <w:marRight w:val="0"/>
      <w:marTop w:val="0"/>
      <w:marBottom w:val="0"/>
      <w:divBdr>
        <w:top w:val="none" w:sz="0" w:space="0" w:color="auto"/>
        <w:left w:val="none" w:sz="0" w:space="0" w:color="auto"/>
        <w:bottom w:val="none" w:sz="0" w:space="0" w:color="auto"/>
        <w:right w:val="none" w:sz="0" w:space="0" w:color="auto"/>
      </w:divBdr>
    </w:div>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822998">
      <w:bodyDiv w:val="1"/>
      <w:marLeft w:val="0"/>
      <w:marRight w:val="0"/>
      <w:marTop w:val="0"/>
      <w:marBottom w:val="0"/>
      <w:divBdr>
        <w:top w:val="none" w:sz="0" w:space="0" w:color="auto"/>
        <w:left w:val="none" w:sz="0" w:space="0" w:color="auto"/>
        <w:bottom w:val="none" w:sz="0" w:space="0" w:color="auto"/>
        <w:right w:val="none" w:sz="0" w:space="0" w:color="auto"/>
      </w:divBdr>
    </w:div>
    <w:div w:id="634146578">
      <w:bodyDiv w:val="1"/>
      <w:marLeft w:val="0"/>
      <w:marRight w:val="0"/>
      <w:marTop w:val="0"/>
      <w:marBottom w:val="0"/>
      <w:divBdr>
        <w:top w:val="none" w:sz="0" w:space="0" w:color="auto"/>
        <w:left w:val="none" w:sz="0" w:space="0" w:color="auto"/>
        <w:bottom w:val="none" w:sz="0" w:space="0" w:color="auto"/>
        <w:right w:val="none" w:sz="0" w:space="0" w:color="auto"/>
      </w:divBdr>
    </w:div>
    <w:div w:id="657422358">
      <w:bodyDiv w:val="1"/>
      <w:marLeft w:val="0"/>
      <w:marRight w:val="0"/>
      <w:marTop w:val="0"/>
      <w:marBottom w:val="0"/>
      <w:divBdr>
        <w:top w:val="none" w:sz="0" w:space="0" w:color="auto"/>
        <w:left w:val="none" w:sz="0" w:space="0" w:color="auto"/>
        <w:bottom w:val="none" w:sz="0" w:space="0" w:color="auto"/>
        <w:right w:val="none" w:sz="0" w:space="0" w:color="auto"/>
      </w:divBdr>
    </w:div>
    <w:div w:id="1054547558">
      <w:bodyDiv w:val="1"/>
      <w:marLeft w:val="0"/>
      <w:marRight w:val="0"/>
      <w:marTop w:val="0"/>
      <w:marBottom w:val="0"/>
      <w:divBdr>
        <w:top w:val="none" w:sz="0" w:space="0" w:color="auto"/>
        <w:left w:val="none" w:sz="0" w:space="0" w:color="auto"/>
        <w:bottom w:val="none" w:sz="0" w:space="0" w:color="auto"/>
        <w:right w:val="none" w:sz="0" w:space="0" w:color="auto"/>
      </w:divBdr>
      <w:divsChild>
        <w:div w:id="1536194136">
          <w:marLeft w:val="0"/>
          <w:marRight w:val="0"/>
          <w:marTop w:val="0"/>
          <w:marBottom w:val="0"/>
          <w:divBdr>
            <w:top w:val="none" w:sz="0" w:space="0" w:color="auto"/>
            <w:left w:val="none" w:sz="0" w:space="0" w:color="auto"/>
            <w:bottom w:val="none" w:sz="0" w:space="0" w:color="auto"/>
            <w:right w:val="none" w:sz="0" w:space="0" w:color="auto"/>
          </w:divBdr>
          <w:divsChild>
            <w:div w:id="1322196049">
              <w:marLeft w:val="0"/>
              <w:marRight w:val="0"/>
              <w:marTop w:val="0"/>
              <w:marBottom w:val="0"/>
              <w:divBdr>
                <w:top w:val="none" w:sz="0" w:space="0" w:color="auto"/>
                <w:left w:val="none" w:sz="0" w:space="0" w:color="auto"/>
                <w:bottom w:val="none" w:sz="0" w:space="0" w:color="auto"/>
                <w:right w:val="none" w:sz="0" w:space="0" w:color="auto"/>
              </w:divBdr>
              <w:divsChild>
                <w:div w:id="190609745">
                  <w:marLeft w:val="0"/>
                  <w:marRight w:val="0"/>
                  <w:marTop w:val="0"/>
                  <w:marBottom w:val="0"/>
                  <w:divBdr>
                    <w:top w:val="none" w:sz="0" w:space="0" w:color="auto"/>
                    <w:left w:val="none" w:sz="0" w:space="0" w:color="auto"/>
                    <w:bottom w:val="none" w:sz="0" w:space="0" w:color="auto"/>
                    <w:right w:val="none" w:sz="0" w:space="0" w:color="auto"/>
                  </w:divBdr>
                  <w:divsChild>
                    <w:div w:id="2139571162">
                      <w:marLeft w:val="0"/>
                      <w:marRight w:val="0"/>
                      <w:marTop w:val="0"/>
                      <w:marBottom w:val="0"/>
                      <w:divBdr>
                        <w:top w:val="none" w:sz="0" w:space="0" w:color="auto"/>
                        <w:left w:val="none" w:sz="0" w:space="0" w:color="auto"/>
                        <w:bottom w:val="none" w:sz="0" w:space="0" w:color="auto"/>
                        <w:right w:val="none" w:sz="0" w:space="0" w:color="auto"/>
                      </w:divBdr>
                      <w:divsChild>
                        <w:div w:id="250622946">
                          <w:marLeft w:val="0"/>
                          <w:marRight w:val="0"/>
                          <w:marTop w:val="0"/>
                          <w:marBottom w:val="0"/>
                          <w:divBdr>
                            <w:top w:val="none" w:sz="0" w:space="0" w:color="auto"/>
                            <w:left w:val="none" w:sz="0" w:space="0" w:color="auto"/>
                            <w:bottom w:val="none" w:sz="0" w:space="0" w:color="auto"/>
                            <w:right w:val="none" w:sz="0" w:space="0" w:color="auto"/>
                          </w:divBdr>
                          <w:divsChild>
                            <w:div w:id="1917546964">
                              <w:marLeft w:val="0"/>
                              <w:marRight w:val="0"/>
                              <w:marTop w:val="0"/>
                              <w:marBottom w:val="0"/>
                              <w:divBdr>
                                <w:top w:val="none" w:sz="0" w:space="0" w:color="auto"/>
                                <w:left w:val="none" w:sz="0" w:space="0" w:color="auto"/>
                                <w:bottom w:val="none" w:sz="0" w:space="0" w:color="auto"/>
                                <w:right w:val="none" w:sz="0" w:space="0" w:color="auto"/>
                              </w:divBdr>
                              <w:divsChild>
                                <w:div w:id="19151192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sChild>
                                        <w:div w:id="834682634">
                                          <w:marLeft w:val="0"/>
                                          <w:marRight w:val="0"/>
                                          <w:marTop w:val="0"/>
                                          <w:marBottom w:val="0"/>
                                          <w:divBdr>
                                            <w:top w:val="none" w:sz="0" w:space="0" w:color="auto"/>
                                            <w:left w:val="none" w:sz="0" w:space="0" w:color="auto"/>
                                            <w:bottom w:val="none" w:sz="0" w:space="0" w:color="auto"/>
                                            <w:right w:val="none" w:sz="0" w:space="0" w:color="auto"/>
                                          </w:divBdr>
                                          <w:divsChild>
                                            <w:div w:id="1338314677">
                                              <w:marLeft w:val="0"/>
                                              <w:marRight w:val="0"/>
                                              <w:marTop w:val="0"/>
                                              <w:marBottom w:val="495"/>
                                              <w:divBdr>
                                                <w:top w:val="none" w:sz="0" w:space="0" w:color="auto"/>
                                                <w:left w:val="none" w:sz="0" w:space="0" w:color="auto"/>
                                                <w:bottom w:val="none" w:sz="0" w:space="0" w:color="auto"/>
                                                <w:right w:val="none" w:sz="0" w:space="0" w:color="auto"/>
                                              </w:divBdr>
                                              <w:divsChild>
                                                <w:div w:id="2095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
    <w:div w:id="1197309173">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91048">
      <w:bodyDiv w:val="1"/>
      <w:marLeft w:val="0"/>
      <w:marRight w:val="0"/>
      <w:marTop w:val="0"/>
      <w:marBottom w:val="0"/>
      <w:divBdr>
        <w:top w:val="none" w:sz="0" w:space="0" w:color="auto"/>
        <w:left w:val="none" w:sz="0" w:space="0" w:color="auto"/>
        <w:bottom w:val="none" w:sz="0" w:space="0" w:color="auto"/>
        <w:right w:val="none" w:sz="0" w:space="0" w:color="auto"/>
      </w:divBdr>
      <w:divsChild>
        <w:div w:id="176233259">
          <w:marLeft w:val="0"/>
          <w:marRight w:val="0"/>
          <w:marTop w:val="0"/>
          <w:marBottom w:val="0"/>
          <w:divBdr>
            <w:top w:val="none" w:sz="0" w:space="0" w:color="auto"/>
            <w:left w:val="none" w:sz="0" w:space="0" w:color="auto"/>
            <w:bottom w:val="none" w:sz="0" w:space="0" w:color="auto"/>
            <w:right w:val="none" w:sz="0" w:space="0" w:color="auto"/>
          </w:divBdr>
          <w:divsChild>
            <w:div w:id="1086534203">
              <w:marLeft w:val="0"/>
              <w:marRight w:val="0"/>
              <w:marTop w:val="0"/>
              <w:marBottom w:val="0"/>
              <w:divBdr>
                <w:top w:val="none" w:sz="0" w:space="0" w:color="auto"/>
                <w:left w:val="none" w:sz="0" w:space="0" w:color="auto"/>
                <w:bottom w:val="none" w:sz="0" w:space="0" w:color="auto"/>
                <w:right w:val="none" w:sz="0" w:space="0" w:color="auto"/>
              </w:divBdr>
              <w:divsChild>
                <w:div w:id="2028019876">
                  <w:marLeft w:val="0"/>
                  <w:marRight w:val="0"/>
                  <w:marTop w:val="0"/>
                  <w:marBottom w:val="0"/>
                  <w:divBdr>
                    <w:top w:val="none" w:sz="0" w:space="0" w:color="auto"/>
                    <w:left w:val="none" w:sz="0" w:space="0" w:color="auto"/>
                    <w:bottom w:val="none" w:sz="0" w:space="0" w:color="auto"/>
                    <w:right w:val="none" w:sz="0" w:space="0" w:color="auto"/>
                  </w:divBdr>
                  <w:divsChild>
                    <w:div w:id="1840080342">
                      <w:marLeft w:val="0"/>
                      <w:marRight w:val="0"/>
                      <w:marTop w:val="0"/>
                      <w:marBottom w:val="0"/>
                      <w:divBdr>
                        <w:top w:val="none" w:sz="0" w:space="0" w:color="auto"/>
                        <w:left w:val="none" w:sz="0" w:space="0" w:color="auto"/>
                        <w:bottom w:val="none" w:sz="0" w:space="0" w:color="auto"/>
                        <w:right w:val="none" w:sz="0" w:space="0" w:color="auto"/>
                      </w:divBdr>
                      <w:divsChild>
                        <w:div w:id="1300649266">
                          <w:marLeft w:val="0"/>
                          <w:marRight w:val="0"/>
                          <w:marTop w:val="0"/>
                          <w:marBottom w:val="0"/>
                          <w:divBdr>
                            <w:top w:val="none" w:sz="0" w:space="0" w:color="auto"/>
                            <w:left w:val="none" w:sz="0" w:space="0" w:color="auto"/>
                            <w:bottom w:val="none" w:sz="0" w:space="0" w:color="auto"/>
                            <w:right w:val="none" w:sz="0" w:space="0" w:color="auto"/>
                          </w:divBdr>
                          <w:divsChild>
                            <w:div w:id="1275598761">
                              <w:marLeft w:val="0"/>
                              <w:marRight w:val="0"/>
                              <w:marTop w:val="0"/>
                              <w:marBottom w:val="0"/>
                              <w:divBdr>
                                <w:top w:val="none" w:sz="0" w:space="0" w:color="auto"/>
                                <w:left w:val="none" w:sz="0" w:space="0" w:color="auto"/>
                                <w:bottom w:val="none" w:sz="0" w:space="0" w:color="auto"/>
                                <w:right w:val="none" w:sz="0" w:space="0" w:color="auto"/>
                              </w:divBdr>
                              <w:divsChild>
                                <w:div w:id="1506095466">
                                  <w:marLeft w:val="0"/>
                                  <w:marRight w:val="0"/>
                                  <w:marTop w:val="0"/>
                                  <w:marBottom w:val="0"/>
                                  <w:divBdr>
                                    <w:top w:val="none" w:sz="0" w:space="0" w:color="auto"/>
                                    <w:left w:val="none" w:sz="0" w:space="0" w:color="auto"/>
                                    <w:bottom w:val="none" w:sz="0" w:space="0" w:color="auto"/>
                                    <w:right w:val="none" w:sz="0" w:space="0" w:color="auto"/>
                                  </w:divBdr>
                                  <w:divsChild>
                                    <w:div w:id="1748303921">
                                      <w:marLeft w:val="0"/>
                                      <w:marRight w:val="0"/>
                                      <w:marTop w:val="0"/>
                                      <w:marBottom w:val="0"/>
                                      <w:divBdr>
                                        <w:top w:val="none" w:sz="0" w:space="0" w:color="auto"/>
                                        <w:left w:val="none" w:sz="0" w:space="0" w:color="auto"/>
                                        <w:bottom w:val="none" w:sz="0" w:space="0" w:color="auto"/>
                                        <w:right w:val="none" w:sz="0" w:space="0" w:color="auto"/>
                                      </w:divBdr>
                                      <w:divsChild>
                                        <w:div w:id="1540972553">
                                          <w:marLeft w:val="0"/>
                                          <w:marRight w:val="0"/>
                                          <w:marTop w:val="0"/>
                                          <w:marBottom w:val="0"/>
                                          <w:divBdr>
                                            <w:top w:val="none" w:sz="0" w:space="0" w:color="auto"/>
                                            <w:left w:val="none" w:sz="0" w:space="0" w:color="auto"/>
                                            <w:bottom w:val="none" w:sz="0" w:space="0" w:color="auto"/>
                                            <w:right w:val="none" w:sz="0" w:space="0" w:color="auto"/>
                                          </w:divBdr>
                                          <w:divsChild>
                                            <w:div w:id="907766223">
                                              <w:marLeft w:val="0"/>
                                              <w:marRight w:val="0"/>
                                              <w:marTop w:val="0"/>
                                              <w:marBottom w:val="495"/>
                                              <w:divBdr>
                                                <w:top w:val="none" w:sz="0" w:space="0" w:color="auto"/>
                                                <w:left w:val="none" w:sz="0" w:space="0" w:color="auto"/>
                                                <w:bottom w:val="none" w:sz="0" w:space="0" w:color="auto"/>
                                                <w:right w:val="none" w:sz="0" w:space="0" w:color="auto"/>
                                              </w:divBdr>
                                              <w:divsChild>
                                                <w:div w:id="15308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78961579">
      <w:bodyDiv w:val="1"/>
      <w:marLeft w:val="0"/>
      <w:marRight w:val="0"/>
      <w:marTop w:val="0"/>
      <w:marBottom w:val="0"/>
      <w:divBdr>
        <w:top w:val="none" w:sz="0" w:space="0" w:color="auto"/>
        <w:left w:val="none" w:sz="0" w:space="0" w:color="auto"/>
        <w:bottom w:val="none" w:sz="0" w:space="0" w:color="auto"/>
        <w:right w:val="none" w:sz="0" w:space="0" w:color="auto"/>
      </w:divBdr>
    </w:div>
    <w:div w:id="1485589962">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568">
      <w:bodyDiv w:val="1"/>
      <w:marLeft w:val="0"/>
      <w:marRight w:val="0"/>
      <w:marTop w:val="0"/>
      <w:marBottom w:val="0"/>
      <w:divBdr>
        <w:top w:val="none" w:sz="0" w:space="0" w:color="auto"/>
        <w:left w:val="none" w:sz="0" w:space="0" w:color="auto"/>
        <w:bottom w:val="none" w:sz="0" w:space="0" w:color="auto"/>
        <w:right w:val="none" w:sz="0" w:space="0" w:color="auto"/>
      </w:divBdr>
    </w:div>
    <w:div w:id="1776360801">
      <w:bodyDiv w:val="1"/>
      <w:marLeft w:val="0"/>
      <w:marRight w:val="0"/>
      <w:marTop w:val="0"/>
      <w:marBottom w:val="0"/>
      <w:divBdr>
        <w:top w:val="none" w:sz="0" w:space="0" w:color="auto"/>
        <w:left w:val="none" w:sz="0" w:space="0" w:color="auto"/>
        <w:bottom w:val="none" w:sz="0" w:space="0" w:color="auto"/>
        <w:right w:val="none" w:sz="0" w:space="0" w:color="auto"/>
      </w:divBdr>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4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4.8933411101392051E-2"/>
          <c:y val="4.3133879520120804E-3"/>
          <c:w val="0.8734289880431616"/>
          <c:h val="0.99568661204798792"/>
        </c:manualLayout>
      </c:layout>
      <c:ofPieChart>
        <c:ofPieType val="bar"/>
        <c:varyColors val="1"/>
        <c:ser>
          <c:idx val="0"/>
          <c:order val="0"/>
          <c:tx>
            <c:strRef>
              <c:f>Sheet1!$B$1</c:f>
              <c:strCache>
                <c:ptCount val="1"/>
                <c:pt idx="0">
                  <c:v>per</c:v>
                </c:pt>
              </c:strCache>
            </c:strRef>
          </c:tx>
          <c:dPt>
            <c:idx val="0"/>
            <c:bubble3D val="0"/>
            <c:spPr>
              <a:solidFill>
                <a:schemeClr val="tx2">
                  <a:lumMod val="20000"/>
                  <a:lumOff val="80000"/>
                </a:schemeClr>
              </a:solidFill>
            </c:spPr>
            <c:extLst>
              <c:ext xmlns:c16="http://schemas.microsoft.com/office/drawing/2014/chart" uri="{C3380CC4-5D6E-409C-BE32-E72D297353CC}">
                <c16:uniqueId val="{00000001-E0ED-4D10-9111-C248EC1615C6}"/>
              </c:ext>
            </c:extLst>
          </c:dPt>
          <c:dPt>
            <c:idx val="1"/>
            <c:bubble3D val="0"/>
            <c:spPr>
              <a:solidFill>
                <a:schemeClr val="bg2">
                  <a:lumMod val="90000"/>
                </a:schemeClr>
              </a:solidFill>
            </c:spPr>
            <c:extLst>
              <c:ext xmlns:c16="http://schemas.microsoft.com/office/drawing/2014/chart" uri="{C3380CC4-5D6E-409C-BE32-E72D297353CC}">
                <c16:uniqueId val="{00000000-E0ED-4D10-9111-C248EC1615C6}"/>
              </c:ext>
            </c:extLst>
          </c:dPt>
          <c:dPt>
            <c:idx val="2"/>
            <c:bubble3D val="0"/>
            <c:spPr>
              <a:solidFill>
                <a:schemeClr val="bg2">
                  <a:lumMod val="90000"/>
                </a:schemeClr>
              </a:solidFill>
            </c:spPr>
            <c:extLst>
              <c:ext xmlns:c16="http://schemas.microsoft.com/office/drawing/2014/chart" uri="{C3380CC4-5D6E-409C-BE32-E72D297353CC}">
                <c16:uniqueId val="{00000002-E0ED-4D10-9111-C248EC1615C6}"/>
              </c:ext>
            </c:extLst>
          </c:dPt>
          <c:dPt>
            <c:idx val="3"/>
            <c:bubble3D val="0"/>
            <c:spPr>
              <a:solidFill>
                <a:schemeClr val="accent3">
                  <a:lumMod val="20000"/>
                  <a:lumOff val="80000"/>
                </a:schemeClr>
              </a:solidFill>
            </c:spPr>
            <c:extLst>
              <c:ext xmlns:c16="http://schemas.microsoft.com/office/drawing/2014/chart" uri="{C3380CC4-5D6E-409C-BE32-E72D297353CC}">
                <c16:uniqueId val="{00000003-E0ED-4D10-9111-C248EC1615C6}"/>
              </c:ext>
            </c:extLst>
          </c:dPt>
          <c:dPt>
            <c:idx val="4"/>
            <c:bubble3D val="0"/>
            <c:spPr>
              <a:solidFill>
                <a:schemeClr val="bg1">
                  <a:lumMod val="95000"/>
                </a:schemeClr>
              </a:solidFill>
            </c:spPr>
            <c:extLst>
              <c:ext xmlns:c16="http://schemas.microsoft.com/office/drawing/2014/chart" uri="{C3380CC4-5D6E-409C-BE32-E72D297353CC}">
                <c16:uniqueId val="{00000004-E0ED-4D10-9111-C248EC1615C6}"/>
              </c:ext>
            </c:extLst>
          </c:dPt>
          <c:dLbls>
            <c:dLbl>
              <c:idx val="0"/>
              <c:layout>
                <c:manualLayout>
                  <c:x val="-2.7937202294158282E-2"/>
                  <c:y val="-0.10495578610613612"/>
                </c:manualLayout>
              </c:layout>
              <c:tx>
                <c:rich>
                  <a:bodyPr/>
                  <a:lstStyle/>
                  <a:p>
                    <a:r>
                      <a:rPr lang="en-US" sz="900" b="0">
                        <a:latin typeface="Arial" pitchFamily="34" charset="0"/>
                        <a:cs typeface="Arial" pitchFamily="34" charset="0"/>
                      </a:rPr>
                      <a:t>37</a:t>
                    </a:r>
                    <a:r>
                      <a:rPr lang="en-US" b="0"/>
                      <a:t>%</a:t>
                    </a:r>
                  </a:p>
                  <a:p>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ED-4D10-9111-C248EC1615C6}"/>
                </c:ext>
              </c:extLst>
            </c:dLbl>
            <c:dLbl>
              <c:idx val="1"/>
              <c:layout>
                <c:manualLayout>
                  <c:x val="9.0006221444541651E-2"/>
                  <c:y val="0.21745350500715321"/>
                </c:manualLayout>
              </c:layout>
              <c:tx>
                <c:rich>
                  <a:bodyPr/>
                  <a:lstStyle/>
                  <a:p>
                    <a:r>
                      <a:rPr lang="en-US" sz="900" b="0">
                        <a:latin typeface="Arial" pitchFamily="34" charset="0"/>
                        <a:cs typeface="Arial" pitchFamily="34" charset="0"/>
                      </a:rPr>
                      <a:t>57</a:t>
                    </a:r>
                    <a:r>
                      <a:rPr lang="en-US" b="0"/>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ED-4D10-9111-C248EC1615C6}"/>
                </c:ext>
              </c:extLst>
            </c:dLbl>
            <c:dLbl>
              <c:idx val="2"/>
              <c:layout>
                <c:manualLayout>
                  <c:x val="-0.12419111499951579"/>
                  <c:y val="-2.7857651396814452E-3"/>
                </c:manualLayout>
              </c:layout>
              <c:tx>
                <c:rich>
                  <a:bodyPr/>
                  <a:lstStyle/>
                  <a:p>
                    <a:r>
                      <a:rPr lang="en-US" sz="900" b="0">
                        <a:latin typeface="Arial" pitchFamily="34" charset="0"/>
                        <a:cs typeface="Arial" pitchFamily="34" charset="0"/>
                      </a:rPr>
                      <a:t>M</a:t>
                    </a:r>
                    <a:r>
                      <a:rPr lang="en-US" sz="900" b="0"/>
                      <a:t>ale</a:t>
                    </a:r>
                  </a:p>
                  <a:p>
                    <a:r>
                      <a:rPr lang="en-US" sz="900" b="0"/>
                      <a:t>49%</a:t>
                    </a:r>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ED-4D10-9111-C248EC1615C6}"/>
                </c:ext>
              </c:extLst>
            </c:dLbl>
            <c:dLbl>
              <c:idx val="3"/>
              <c:layout>
                <c:manualLayout>
                  <c:x val="-0.13014659278701274"/>
                  <c:y val="-1.6746044396272974E-2"/>
                </c:manualLayout>
              </c:layout>
              <c:tx>
                <c:rich>
                  <a:bodyPr/>
                  <a:lstStyle/>
                  <a:p>
                    <a:r>
                      <a:rPr lang="en-US" sz="900" b="0">
                        <a:latin typeface="Arial" pitchFamily="34" charset="0"/>
                        <a:cs typeface="Arial" pitchFamily="34" charset="0"/>
                      </a:rPr>
                      <a:t>F</a:t>
                    </a:r>
                    <a:r>
                      <a:rPr lang="en-US" sz="900" b="0"/>
                      <a:t>emale</a:t>
                    </a:r>
                  </a:p>
                  <a:p>
                    <a:r>
                      <a:rPr lang="en-US" sz="900" b="0"/>
                      <a:t>51%</a:t>
                    </a:r>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ED-4D10-9111-C248EC1615C6}"/>
                </c:ext>
              </c:extLst>
            </c:dLbl>
            <c:dLbl>
              <c:idx val="4"/>
              <c:layout>
                <c:manualLayout>
                  <c:x val="-0.10812260777849818"/>
                  <c:y val="-1.0648398192103243E-3"/>
                </c:manualLayout>
              </c:layout>
              <c:tx>
                <c:rich>
                  <a:bodyPr/>
                  <a:lstStyle/>
                  <a:p>
                    <a:r>
                      <a:rPr lang="en-US" sz="900" b="0">
                        <a:latin typeface="Arial" pitchFamily="34" charset="0"/>
                        <a:cs typeface="Arial" pitchFamily="34" charset="0"/>
                      </a:rPr>
                      <a:t>6</a:t>
                    </a:r>
                    <a:r>
                      <a:rPr lang="en-US" b="0"/>
                      <a:t>%</a:t>
                    </a:r>
                  </a:p>
                  <a:p>
                    <a:endParaRPr lang="en-US" sz="200"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ED-4D10-9111-C248EC1615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14-0</c:v>
                </c:pt>
                <c:pt idx="1">
                  <c:v>59-15</c:v>
                </c:pt>
                <c:pt idx="2">
                  <c:v>+60</c:v>
                </c:pt>
                <c:pt idx="3">
                  <c:v>Female 60+</c:v>
                </c:pt>
              </c:strCache>
            </c:strRef>
          </c:cat>
          <c:val>
            <c:numRef>
              <c:f>Sheet1!$B$2:$B$5</c:f>
              <c:numCache>
                <c:formatCode>#,##0.0</c:formatCode>
                <c:ptCount val="4"/>
                <c:pt idx="0">
                  <c:v>38</c:v>
                </c:pt>
                <c:pt idx="1">
                  <c:v>56</c:v>
                </c:pt>
                <c:pt idx="2">
                  <c:v>6</c:v>
                </c:pt>
                <c:pt idx="3">
                  <c:v>5</c:v>
                </c:pt>
              </c:numCache>
            </c:numRef>
          </c:val>
          <c:extLst>
            <c:ext xmlns:c16="http://schemas.microsoft.com/office/drawing/2014/chart" uri="{C3380CC4-5D6E-409C-BE32-E72D297353CC}">
              <c16:uniqueId val="{00000005-E0ED-4D10-9111-C248EC1615C6}"/>
            </c:ext>
          </c:extLst>
        </c:ser>
        <c:dLbls>
          <c:showLegendKey val="0"/>
          <c:showVal val="0"/>
          <c:showCatName val="0"/>
          <c:showSerName val="0"/>
          <c:showPercent val="0"/>
          <c:showBubbleSize val="0"/>
          <c:showLeaderLines val="1"/>
        </c:dLbls>
        <c:gapWidth val="100"/>
        <c:secondPieSize val="75"/>
        <c:serLines/>
      </c:ofPieChart>
      <c:spPr>
        <a:noFill/>
        <a:ln>
          <a:noFill/>
        </a:ln>
      </c:spPr>
    </c:plotArea>
    <c:legend>
      <c:legendPos val="l"/>
      <c:legendEntry>
        <c:idx val="3"/>
        <c:delete val="1"/>
      </c:legendEntry>
      <c:layout>
        <c:manualLayout>
          <c:xMode val="edge"/>
          <c:yMode val="edge"/>
          <c:x val="1.4814814814814821E-2"/>
          <c:y val="0.21234113976097069"/>
          <c:w val="8.5201127636823193E-2"/>
          <c:h val="0.41508882205175945"/>
        </c:manualLayout>
      </c:layout>
      <c:overlay val="0"/>
      <c:txPr>
        <a:bodyPr/>
        <a:lstStyle/>
        <a:p>
          <a:pPr>
            <a:defRPr sz="800">
              <a:latin typeface="Arial" pitchFamily="34" charset="0"/>
              <a:cs typeface="Arial" pitchFamily="34" charset="0"/>
            </a:defRPr>
          </a:pPr>
          <a:endParaRPr lang="ar-SA"/>
        </a:p>
      </c:txPr>
    </c:legend>
    <c:plotVisOnly val="1"/>
    <c:dispBlanksAs val="zero"/>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8CF52-F26C-464D-B6D0-286BE50F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902</Words>
  <Characters>5147</Characters>
  <Application>Microsoft Office Word</Application>
  <DocSecurity>0</DocSecurity>
  <Lines>42</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People of the World</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dc:creator>
  <cp:lastModifiedBy>LOAY SHEHADEH</cp:lastModifiedBy>
  <cp:revision>5</cp:revision>
  <cp:lastPrinted>2024-09-30T07:18:00Z</cp:lastPrinted>
  <dcterms:created xsi:type="dcterms:W3CDTF">2024-09-30T07:12:00Z</dcterms:created>
  <dcterms:modified xsi:type="dcterms:W3CDTF">2024-09-30T07:18:00Z</dcterms:modified>
</cp:coreProperties>
</file>